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80" w:hanging="572"/>
        <w:spacing w:after="0" w:line="23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001-36708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5"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6"/>
              </w:rPr>
              <w:t>Maryland</w:t>
            </w: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3960" w:type="dxa"/>
            <w:vAlign w:val="bottom"/>
          </w:tcPr>
          <w:p>
            <w:pPr>
              <w:jc w:val="right"/>
              <w:ind w:right="1758"/>
              <w:spacing w:after="0"/>
              <w:rPr>
                <w:sz w:val="20"/>
                <w:szCs w:val="20"/>
                <w:color w:val="auto"/>
              </w:rPr>
            </w:pPr>
            <w:r>
              <w:rPr>
                <w:rFonts w:ascii="Arial" w:cs="Arial" w:eastAsia="Arial" w:hAnsi="Arial"/>
                <w:sz w:val="18"/>
                <w:szCs w:val="18"/>
                <w:b w:val="1"/>
                <w:bCs w:val="1"/>
                <w:color w:val="auto"/>
              </w:rPr>
              <w:t>46-5230630</w:t>
            </w:r>
          </w:p>
        </w:tc>
      </w:tr>
      <w:tr>
        <w:trPr>
          <w:trHeight w:val="148"/>
        </w:trPr>
        <w:tc>
          <w:tcPr>
            <w:tcW w:w="30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96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2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incorporation or organization)</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3"/>
              </w:rPr>
              <w:t>2101 Riverfront Drive, Suite A</w:t>
            </w: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12"/>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1"/>
              </w:rPr>
              <w:t>Little Rock, Arkansas</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jc w:val="right"/>
              <w:ind w:right="1958"/>
              <w:spacing w:after="0"/>
              <w:rPr>
                <w:sz w:val="20"/>
                <w:szCs w:val="20"/>
                <w:color w:val="auto"/>
              </w:rPr>
            </w:pPr>
            <w:r>
              <w:rPr>
                <w:rFonts w:ascii="Arial" w:cs="Arial" w:eastAsia="Arial" w:hAnsi="Arial"/>
                <w:sz w:val="18"/>
                <w:szCs w:val="18"/>
                <w:b w:val="1"/>
                <w:bCs w:val="1"/>
                <w:color w:val="auto"/>
              </w:rPr>
              <w:t>72202</w:t>
            </w:r>
          </w:p>
        </w:tc>
      </w:tr>
      <w:tr>
        <w:trPr>
          <w:trHeight w:val="186"/>
        </w:trPr>
        <w:tc>
          <w:tcPr>
            <w:tcW w:w="302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5"/>
              </w:rPr>
              <w:t>(Zip Code)</w:t>
            </w:r>
          </w:p>
        </w:tc>
      </w:tr>
      <w:tr>
        <w:trPr>
          <w:trHeight w:val="216"/>
        </w:trPr>
        <w:tc>
          <w:tcPr>
            <w:tcW w:w="9220" w:type="dxa"/>
            <w:vAlign w:val="bottom"/>
            <w:gridSpan w:val="4"/>
          </w:tcPr>
          <w:p>
            <w:pPr>
              <w:jc w:val="center"/>
              <w:ind w:right="838"/>
              <w:spacing w:after="0"/>
              <w:rPr>
                <w:sz w:val="20"/>
                <w:szCs w:val="20"/>
                <w:color w:val="auto"/>
              </w:rPr>
            </w:pPr>
            <w:r>
              <w:rPr>
                <w:rFonts w:ascii="Arial" w:cs="Arial" w:eastAsia="Arial" w:hAnsi="Arial"/>
                <w:sz w:val="14"/>
                <w:szCs w:val="14"/>
                <w:b w:val="1"/>
                <w:bCs w:val="1"/>
                <w:color w:val="auto"/>
                <w:w w:val="92"/>
              </w:rPr>
              <w:t>Registrant’s telephone number, including area code: (501) 850-0820</w:t>
            </w:r>
          </w:p>
        </w:tc>
      </w:tr>
      <w:tr>
        <w:trPr>
          <w:trHeight w:val="80"/>
        </w:trPr>
        <w:tc>
          <w:tcPr>
            <w:tcW w:w="3040" w:type="dxa"/>
            <w:vAlign w:val="bottom"/>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r>
      <w:tr>
        <w:trPr>
          <w:trHeight w:val="276"/>
        </w:trPr>
        <w:tc>
          <w:tcPr>
            <w:tcW w:w="9220" w:type="dxa"/>
            <w:vAlign w:val="bottom"/>
            <w:gridSpan w:val="4"/>
          </w:tcPr>
          <w:p>
            <w:pPr>
              <w:ind w:left="23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0"/>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88"/>
              </w:rPr>
              <w:t>Title of each class</w:t>
            </w:r>
          </w:p>
        </w:tc>
        <w:tc>
          <w:tcPr>
            <w:tcW w:w="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Trading Symbol(s)</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89"/>
              </w:rPr>
              <w:t>Name of each exchange on which registered</w:t>
            </w:r>
          </w:p>
        </w:tc>
      </w:tr>
      <w:tr>
        <w:trPr>
          <w:trHeight w:val="256"/>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90"/>
              </w:rPr>
              <w:t>Common Stock</w:t>
            </w:r>
          </w:p>
        </w:tc>
        <w:tc>
          <w:tcPr>
            <w:tcW w:w="2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UNIT</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93"/>
              </w:rPr>
              <w:t>The NASDAQ Global Select Market</w:t>
            </w:r>
          </w:p>
        </w:tc>
      </w:tr>
    </w:tbl>
    <w:p>
      <w:pPr>
        <w:spacing w:after="0" w:line="94"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298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60" w:firstLine="51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28, 2022, the registrant had 237,106,412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ability to delever and achieve the ‘covenant reversion date’ under our 7.875% senior secured notes due 2025, which would permit us to pay additional dividends to shareholders; our expectations about our ability to maintain our status as a real estate investment trust (a “REIT”); our expectations regarding the effect of the COVID-19 pandemic on our results of operations and financial condition, including the potential need to perform an interim goodwill analysis and report an impairment charge related thereto; our expectations regarding the effect of the Coronavirus Aid, Relief and Economic Security Act (the “CARES Act”), the Consolidated Appropriations Act of 2021 (the “2021 Appropriations Act”) and other tax related legislation on our tax position;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and expectations regarding the payment of dividends.</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3"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jc w:val="both"/>
        <w:ind w:left="1000" w:right="8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w:t>
      </w:r>
    </w:p>
    <w:p>
      <w:pPr>
        <w:spacing w:after="0" w:line="75"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 and fund our capital funding commitments;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8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CARES Act, the Families First Coronavirus Response Act and the 2021 Appropriations Act;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2" w:lineRule="exact"/>
        <w:rPr>
          <w:rFonts w:ascii="Arial" w:cs="Arial" w:eastAsia="Arial" w:hAnsi="Arial"/>
          <w:sz w:val="18"/>
          <w:szCs w:val="18"/>
          <w:color w:val="auto"/>
        </w:rPr>
      </w:pPr>
    </w:p>
    <w:p>
      <w:pPr>
        <w:ind w:left="1000" w:right="20" w:hanging="493"/>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as well as those described from time to time in our future reports filed with the U.S. Securities and Exchange Commission (the “SEC”).</w:t>
      </w:r>
    </w:p>
    <w:p>
      <w:pPr>
        <w:spacing w:after="0" w:line="14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94"/>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33"/>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760" w:type="dxa"/>
            <w:vAlign w:val="bottom"/>
            <w:gridSpan w:val="33"/>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34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760" w:type="dxa"/>
            <w:vAlign w:val="bottom"/>
            <w:gridSpan w:val="33"/>
          </w:tcPr>
          <w:p>
            <w:pPr>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60" w:type="dxa"/>
            <w:vAlign w:val="bottom"/>
            <w:gridSpan w:val="33"/>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w:t>
              </w:r>
            </w:hyperlink>
          </w:p>
        </w:tc>
        <w:tc>
          <w:tcPr>
            <w:tcW w:w="468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tcBorders>
              <w:top w:val="single" w:sz="8" w:color="0000EE"/>
            </w:tcBorders>
            <w:gridSpan w:val="2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53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tcBorders>
              <w:top w:val="single" w:sz="8" w:color="0000EE"/>
            </w:tcBorders>
            <w:gridSpan w:val="25"/>
          </w:tcPr>
          <w:p>
            <w:pPr>
              <w:ind w:left="120"/>
              <w:spacing w:after="0"/>
              <w:rPr>
                <w:rFonts w:ascii="Arial" w:cs="Arial" w:eastAsia="Arial" w:hAnsi="Arial"/>
                <w:sz w:val="18"/>
                <w:szCs w:val="18"/>
                <w:color w:val="auto"/>
              </w:rPr>
            </w:pPr>
            <w:r>
              <w:rPr>
                <w:rFonts w:ascii="Arial" w:cs="Arial" w:eastAsia="Arial" w:hAnsi="Arial"/>
                <w:sz w:val="18"/>
                <w:szCs w:val="18"/>
                <w:color w:val="auto"/>
              </w:rPr>
              <w:t>1.</w:t>
            </w:r>
            <w:hyperlink w:anchor="page10">
              <w:r>
                <w:rPr>
                  <w:rFonts w:ascii="Arial" w:cs="Arial" w:eastAsia="Arial" w:hAnsi="Arial"/>
                  <w:sz w:val="18"/>
                  <w:szCs w:val="18"/>
                  <w:color w:val="auto"/>
                </w:rPr>
                <w:t>Organization and Description of Business</w:t>
              </w:r>
            </w:hyperlink>
          </w:p>
        </w:tc>
        <w:tc>
          <w:tcPr>
            <w:tcW w:w="578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2.</w:t>
            </w:r>
            <w:hyperlink w:anchor="page10">
              <w:r>
                <w:rPr>
                  <w:rFonts w:ascii="Arial" w:cs="Arial" w:eastAsia="Arial" w:hAnsi="Arial"/>
                  <w:sz w:val="18"/>
                  <w:szCs w:val="18"/>
                  <w:color w:val="auto"/>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3.</w:t>
            </w:r>
            <w:hyperlink w:anchor="page12">
              <w:r>
                <w:rPr>
                  <w:rFonts w:ascii="Arial" w:cs="Arial" w:eastAsia="Arial" w:hAnsi="Arial"/>
                  <w:sz w:val="18"/>
                  <w:szCs w:val="18"/>
                  <w:color w:val="auto"/>
                </w:rPr>
                <w:t>Revenues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4.</w:t>
            </w:r>
            <w:hyperlink w:anchor="page13">
              <w:r>
                <w:rPr>
                  <w:rFonts w:ascii="Arial" w:cs="Arial" w:eastAsia="Arial" w:hAnsi="Arial"/>
                  <w:sz w:val="18"/>
                  <w:szCs w:val="18"/>
                  <w:color w:val="auto"/>
                </w:rPr>
                <w:t>Leases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5.</w:t>
            </w:r>
            <w:hyperlink w:anchor="page14">
              <w:r>
                <w:rPr>
                  <w:rFonts w:ascii="Arial" w:cs="Arial" w:eastAsia="Arial" w:hAnsi="Arial"/>
                  <w:sz w:val="18"/>
                  <w:szCs w:val="18"/>
                  <w:color w:val="auto"/>
                </w:rPr>
                <w:t>Investments in Unconsolidated Entities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6.</w:t>
            </w:r>
            <w:hyperlink w:anchor="page15">
              <w:r>
                <w:rPr>
                  <w:rFonts w:ascii="Arial" w:cs="Arial" w:eastAsia="Arial" w:hAnsi="Arial"/>
                  <w:sz w:val="18"/>
                  <w:szCs w:val="18"/>
                  <w:color w:val="auto"/>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7.</w:t>
            </w:r>
            <w:hyperlink w:anchor="page17">
              <w:r>
                <w:rPr>
                  <w:rFonts w:ascii="Arial" w:cs="Arial" w:eastAsia="Arial" w:hAnsi="Arial"/>
                  <w:sz w:val="18"/>
                  <w:szCs w:val="18"/>
                  <w:color w:val="auto"/>
                </w:rPr>
                <w:t>Property Plant and Equipment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8.</w:t>
            </w:r>
            <w:hyperlink w:anchor="page17">
              <w:r>
                <w:rPr>
                  <w:rFonts w:ascii="Arial" w:cs="Arial" w:eastAsia="Arial" w:hAnsi="Arial"/>
                  <w:sz w:val="18"/>
                  <w:szCs w:val="18"/>
                  <w:color w:val="auto"/>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gridSpan w:val="4"/>
            <w:shd w:val="clear" w:color="auto" w:fill="000000"/>
          </w:tcPr>
          <w:p>
            <w:pPr>
              <w:spacing w:after="0" w:line="20" w:lineRule="exact"/>
              <w:rPr>
                <w:sz w:val="1"/>
                <w:szCs w:val="1"/>
                <w:color w:val="auto"/>
              </w:rPr>
            </w:pPr>
          </w:p>
        </w:tc>
        <w:tc>
          <w:tcPr>
            <w:tcW w:w="420" w:type="dxa"/>
            <w:vAlign w:val="bottom"/>
            <w:tcBorders>
              <w:left w:val="single" w:sz="8" w:color="auto"/>
            </w:tcBorders>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9.</w:t>
            </w:r>
            <w:hyperlink w:anchor="page19">
              <w:r>
                <w:rPr>
                  <w:rFonts w:ascii="Arial" w:cs="Arial" w:eastAsia="Arial" w:hAnsi="Arial"/>
                  <w:sz w:val="18"/>
                  <w:szCs w:val="18"/>
                  <w:color w:val="auto"/>
                </w:rPr>
                <w:t>Goodwill and Intangible Assets and Liabilities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gridSpan w:val="4"/>
            <w:shd w:val="clear" w:color="auto" w:fill="000000"/>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10.</w:t>
            </w:r>
            <w:hyperlink w:anchor="page20">
              <w:r>
                <w:rPr>
                  <w:rFonts w:ascii="Arial" w:cs="Arial" w:eastAsia="Arial" w:hAnsi="Arial"/>
                  <w:sz w:val="18"/>
                  <w:szCs w:val="18"/>
                  <w:color w:val="auto"/>
                </w:rPr>
                <w:t>Notes and Other Debt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11.</w:t>
            </w:r>
            <w:hyperlink w:anchor="page21">
              <w:r>
                <w:rPr>
                  <w:rFonts w:ascii="Arial" w:cs="Arial" w:eastAsia="Arial" w:hAnsi="Arial"/>
                  <w:sz w:val="18"/>
                  <w:szCs w:val="18"/>
                  <w:color w:val="auto"/>
                </w:rPr>
                <w:t>Earnings Per Share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12.</w:t>
            </w:r>
            <w:hyperlink w:anchor="page22">
              <w:r>
                <w:rPr>
                  <w:rFonts w:ascii="Arial" w:cs="Arial" w:eastAsia="Arial" w:hAnsi="Arial"/>
                  <w:sz w:val="18"/>
                  <w:szCs w:val="18"/>
                  <w:color w:val="auto"/>
                </w:rPr>
                <w:t>Segment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13.</w:t>
            </w:r>
            <w:hyperlink w:anchor="page24">
              <w:r>
                <w:rPr>
                  <w:rFonts w:ascii="Arial" w:cs="Arial" w:eastAsia="Arial" w:hAnsi="Arial"/>
                  <w:sz w:val="18"/>
                  <w:szCs w:val="18"/>
                  <w:color w:val="auto"/>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14.</w:t>
            </w:r>
            <w:hyperlink w:anchor="page27">
              <w:r>
                <w:rPr>
                  <w:rFonts w:ascii="Arial" w:cs="Arial" w:eastAsia="Arial" w:hAnsi="Arial"/>
                  <w:sz w:val="18"/>
                  <w:szCs w:val="18"/>
                  <w:color w:val="auto"/>
                </w:rPr>
                <w:t>Accumulated Other Comprehensive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40" w:type="dxa"/>
            <w:vAlign w:val="bottom"/>
            <w:gridSpan w:val="9"/>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15.</w:t>
            </w:r>
            <w:hyperlink w:anchor="page27">
              <w:r>
                <w:rPr>
                  <w:rFonts w:ascii="Arial" w:cs="Arial" w:eastAsia="Arial" w:hAnsi="Arial"/>
                  <w:sz w:val="18"/>
                  <w:szCs w:val="18"/>
                  <w:color w:val="auto"/>
                </w:rPr>
                <w:t>Capital Stock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3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tcBorders>
              <w:top w:val="single" w:sz="8" w:color="0000EE"/>
            </w:tcBorders>
            <w:gridSpan w:val="32"/>
          </w:tcPr>
          <w:p>
            <w:pPr>
              <w:ind w:left="120"/>
              <w:spacing w:after="0"/>
              <w:rPr>
                <w:rFonts w:ascii="Arial" w:cs="Arial" w:eastAsia="Arial" w:hAnsi="Arial"/>
                <w:sz w:val="18"/>
                <w:szCs w:val="18"/>
                <w:color w:val="auto"/>
              </w:rPr>
            </w:pPr>
            <w:r>
              <w:rPr>
                <w:rFonts w:ascii="Arial" w:cs="Arial" w:eastAsia="Arial" w:hAnsi="Arial"/>
                <w:sz w:val="18"/>
                <w:szCs w:val="18"/>
                <w:color w:val="auto"/>
              </w:rPr>
              <w:t>1.</w:t>
            </w:r>
            <w:hyperlink w:anchor="page27">
              <w:r>
                <w:rPr>
                  <w:rFonts w:ascii="Arial" w:cs="Arial" w:eastAsia="Arial" w:hAnsi="Arial"/>
                  <w:sz w:val="18"/>
                  <w:szCs w:val="18"/>
                  <w:color w:val="auto"/>
                </w:rPr>
                <w:t>Overview</w:t>
              </w:r>
            </w:hyperlink>
          </w:p>
        </w:tc>
        <w:tc>
          <w:tcPr>
            <w:tcW w:w="3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2.</w:t>
            </w:r>
            <w:hyperlink w:anchor="page29">
              <w:r>
                <w:rPr>
                  <w:rFonts w:ascii="Arial" w:cs="Arial" w:eastAsia="Arial" w:hAnsi="Arial"/>
                  <w:sz w:val="18"/>
                  <w:szCs w:val="18"/>
                  <w:color w:val="auto"/>
                </w:rPr>
                <w:t>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3.</w:t>
            </w:r>
            <w:hyperlink w:anchor="page37">
              <w:r>
                <w:rPr>
                  <w:rFonts w:ascii="Arial" w:cs="Arial" w:eastAsia="Arial" w:hAnsi="Arial"/>
                  <w:sz w:val="18"/>
                  <w:szCs w:val="18"/>
                  <w:color w:val="auto"/>
                </w:rPr>
                <w:t>Non-GAAP Financial Measures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3"/>
          </w:tcPr>
          <w:p>
            <w:pPr>
              <w:ind w:left="120"/>
              <w:spacing w:after="0"/>
              <w:rPr>
                <w:rFonts w:ascii="Arial" w:cs="Arial" w:eastAsia="Arial" w:hAnsi="Arial"/>
                <w:sz w:val="18"/>
                <w:szCs w:val="18"/>
                <w:color w:val="auto"/>
              </w:rPr>
            </w:pPr>
            <w:r>
              <w:rPr>
                <w:rFonts w:ascii="Arial" w:cs="Arial" w:eastAsia="Arial" w:hAnsi="Arial"/>
                <w:sz w:val="18"/>
                <w:szCs w:val="18"/>
                <w:color w:val="auto"/>
              </w:rPr>
              <w:t>4.</w:t>
            </w:r>
            <w:hyperlink w:anchor="page38">
              <w:r>
                <w:rPr>
                  <w:rFonts w:ascii="Arial" w:cs="Arial" w:eastAsia="Arial" w:hAnsi="Arial"/>
                  <w:sz w:val="18"/>
                  <w:szCs w:val="18"/>
                  <w:color w:val="auto"/>
                </w:rPr>
                <w:t>Liquidity and Capital Resources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28"/>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540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3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14"/>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OTHER INFORMATION</w:t>
              </w:r>
            </w:hyperlink>
          </w:p>
        </w:tc>
        <w:tc>
          <w:tcPr>
            <w:tcW w:w="7740" w:type="dxa"/>
            <w:vAlign w:val="bottom"/>
            <w:gridSpan w:val="21"/>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3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Risk Factors</w:t>
              </w:r>
            </w:hyperlink>
          </w:p>
        </w:tc>
        <w:tc>
          <w:tcPr>
            <w:tcW w:w="360" w:type="dxa"/>
            <w:vAlign w:val="bottom"/>
            <w:tcBorders>
              <w:top w:val="single" w:sz="8" w:color="0000EE"/>
            </w:tcBorders>
          </w:tcPr>
          <w:p>
            <w:pPr>
              <w:spacing w:after="0"/>
              <w:rPr>
                <w:sz w:val="18"/>
                <w:szCs w:val="18"/>
                <w:color w:val="auto"/>
              </w:rPr>
            </w:pPr>
          </w:p>
        </w:tc>
        <w:tc>
          <w:tcPr>
            <w:tcW w:w="8440" w:type="dxa"/>
            <w:vAlign w:val="bottom"/>
            <w:gridSpan w:val="2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Unregistered Sales of Equity Securities and Use of Proceeds</w:t>
              </w:r>
            </w:hyperlink>
          </w:p>
        </w:tc>
        <w:tc>
          <w:tcPr>
            <w:tcW w:w="542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Defaults Upon Senior Securities</w:t>
              </w:r>
            </w:hyperlink>
          </w:p>
        </w:tc>
        <w:tc>
          <w:tcPr>
            <w:tcW w:w="7380" w:type="dxa"/>
            <w:vAlign w:val="bottom"/>
            <w:gridSpan w:val="2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3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8000" w:type="dxa"/>
            <w:vAlign w:val="bottom"/>
            <w:gridSpan w:val="2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8440" w:type="dxa"/>
            <w:vAlign w:val="bottom"/>
            <w:gridSpan w:val="2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80" w:type="dxa"/>
            <w:vAlign w:val="bottom"/>
            <w:tcBorders>
              <w:top w:val="single" w:sz="8" w:color="0000EE"/>
            </w:tcBorders>
          </w:tcPr>
          <w:p>
            <w:pPr>
              <w:spacing w:after="0"/>
              <w:rPr>
                <w:sz w:val="24"/>
                <w:szCs w:val="24"/>
                <w:color w:val="auto"/>
              </w:rPr>
            </w:pPr>
          </w:p>
        </w:tc>
        <w:tc>
          <w:tcPr>
            <w:tcW w:w="5980" w:type="dxa"/>
            <w:vAlign w:val="bottom"/>
            <w:gridSpan w:val="3"/>
          </w:tcPr>
          <w:p>
            <w:pPr>
              <w:jc w:val="center"/>
              <w:ind w:left="2610"/>
              <w:spacing w:after="0"/>
              <w:rPr>
                <w:sz w:val="20"/>
                <w:szCs w:val="20"/>
                <w:color w:val="auto"/>
              </w:rPr>
            </w:pPr>
            <w:r>
              <w:rPr>
                <w:rFonts w:ascii="Arial" w:cs="Arial" w:eastAsia="Arial" w:hAnsi="Arial"/>
                <w:sz w:val="18"/>
                <w:szCs w:val="18"/>
                <w:b w:val="1"/>
                <w:bCs w:val="1"/>
                <w:color w:val="auto"/>
              </w:rPr>
              <w:t>PART I—FINANCIAL INFORMATION</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5320" w:type="dxa"/>
            <w:vAlign w:val="bottom"/>
          </w:tcPr>
          <w:p>
            <w:pPr>
              <w:jc w:val="center"/>
              <w:ind w:left="3270"/>
              <w:spacing w:after="0"/>
              <w:rPr>
                <w:sz w:val="20"/>
                <w:szCs w:val="20"/>
                <w:color w:val="auto"/>
              </w:rPr>
            </w:pPr>
            <w:r>
              <w:rPr>
                <w:rFonts w:ascii="Arial" w:cs="Arial" w:eastAsia="Arial" w:hAnsi="Arial"/>
                <w:sz w:val="18"/>
                <w:szCs w:val="18"/>
                <w:b w:val="1"/>
                <w:bCs w:val="1"/>
                <w:color w:val="auto"/>
                <w:w w:val="94"/>
              </w:rPr>
              <w:t>Uniti Group Inc.</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980" w:type="dxa"/>
            <w:vAlign w:val="bottom"/>
            <w:gridSpan w:val="3"/>
          </w:tcPr>
          <w:p>
            <w:pPr>
              <w:jc w:val="center"/>
              <w:ind w:left="26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0" w:type="dxa"/>
            <w:vAlign w:val="bottom"/>
            <w:gridSpan w:val="2"/>
            <w:vMerge w:val="restart"/>
          </w:tcPr>
          <w:p>
            <w:pPr>
              <w:jc w:val="right"/>
              <w:ind w:right="840"/>
              <w:spacing w:after="0"/>
              <w:rPr>
                <w:sz w:val="20"/>
                <w:szCs w:val="20"/>
                <w:color w:val="auto"/>
              </w:rPr>
            </w:pPr>
            <w:r>
              <w:rPr>
                <w:rFonts w:ascii="Arial" w:cs="Arial" w:eastAsia="Arial" w:hAnsi="Arial"/>
                <w:sz w:val="18"/>
                <w:szCs w:val="18"/>
                <w:b w:val="1"/>
                <w:bCs w:val="1"/>
                <w:color w:val="auto"/>
                <w:w w:val="93"/>
              </w:rPr>
              <w:t>(Unaudited)</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Arial" w:cs="Arial" w:eastAsia="Arial" w:hAnsi="Arial"/>
                <w:sz w:val="18"/>
                <w:szCs w:val="18"/>
                <w:color w:val="auto"/>
              </w:rPr>
              <w:t>(Thousands, except par value)</w:t>
            </w:r>
          </w:p>
        </w:tc>
        <w:tc>
          <w:tcPr>
            <w:tcW w:w="140" w:type="dxa"/>
            <w:vAlign w:val="bottom"/>
          </w:tcPr>
          <w:p>
            <w:pPr>
              <w:spacing w:after="0"/>
              <w:rPr>
                <w:sz w:val="20"/>
                <w:szCs w:val="20"/>
                <w:color w:val="auto"/>
              </w:rPr>
            </w:pPr>
          </w:p>
        </w:tc>
        <w:tc>
          <w:tcPr>
            <w:tcW w:w="23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December 31, 2021</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3,546,501</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3,508,939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51,129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41,269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38,455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357,183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364,630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Straight-line revenue receivable</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48,865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81,810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80,271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81,556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Investment in unconsolidated entities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64,333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64,223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income tax assets, net</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15,385</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4,889,909</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4,809,243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accrued expenses and other liabilities</w:t>
            </w:r>
          </w:p>
        </w:tc>
        <w:tc>
          <w:tcPr>
            <w:tcW w:w="66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122,157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Settlement payable (Note 13)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242,261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239,384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liabilities, net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175,112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68,298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109,826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1,134,585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1,134,236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Derivative liability, net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7,269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59,679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57,355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Notes and other debt, net</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5,120,281</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5,090,537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6,981,931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6,923,017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Shareholders' Deficit:</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ind w:left="260"/>
              <w:spacing w:after="0"/>
              <w:rPr>
                <w:sz w:val="20"/>
                <w:szCs w:val="20"/>
                <w:color w:val="auto"/>
              </w:rPr>
            </w:pPr>
            <w:r>
              <w:rPr>
                <w:rFonts w:ascii="Arial" w:cs="Arial" w:eastAsia="Arial" w:hAnsi="Arial"/>
                <w:sz w:val="18"/>
                <w:szCs w:val="18"/>
                <w:color w:val="auto"/>
                <w:w w:val="94"/>
              </w:rPr>
              <w:t>Preferred stock, $0.0001 par value, 50,000 shares authorized, no shares issued and</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500,000 shares authorized, issued and outstanding:</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235,298 shares at March 31, 2022 and 234,779 at December 31, 2021</w:t>
            </w: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1,220,039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1,214,830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(6,341)</w:t>
            </w: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Distributions in excess of accumulated earnings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(3,316,781)</w:t>
            </w:r>
          </w:p>
        </w:tc>
        <w:tc>
          <w:tcPr>
            <w:tcW w:w="180" w:type="dxa"/>
            <w:vAlign w:val="bottom"/>
          </w:tcPr>
          <w:p>
            <w:pPr>
              <w:spacing w:after="0"/>
              <w:rPr>
                <w:sz w:val="19"/>
                <w:szCs w:val="19"/>
                <w:color w:val="auto"/>
              </w:rPr>
            </w:pP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(3,333,481)</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Uniti shareholders'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(2,103,060)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(2,127,792)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Operating partnership units</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ind w:left="380"/>
              <w:spacing w:after="0"/>
              <w:rPr>
                <w:sz w:val="20"/>
                <w:szCs w:val="20"/>
                <w:color w:val="auto"/>
              </w:rPr>
            </w:pPr>
            <w:r>
              <w:rPr>
                <w:rFonts w:ascii="Arial" w:cs="Arial" w:eastAsia="Arial" w:hAnsi="Arial"/>
                <w:sz w:val="18"/>
                <w:szCs w:val="18"/>
                <w:color w:val="auto"/>
              </w:rPr>
              <w:t>Cumulative non-voting convertible preferred stock, $0.01 par value, 6 shares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authorized, 3 issued and outstanding</w:t>
            </w:r>
          </w:p>
        </w:tc>
        <w:tc>
          <w:tcPr>
            <w:tcW w:w="14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shareholders' deficit</w:t>
            </w:r>
          </w:p>
        </w:tc>
        <w:tc>
          <w:tcPr>
            <w:tcW w:w="1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(2,092,022)</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(2,113,774)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4,889,909</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80" w:type="dxa"/>
            <w:vAlign w:val="bottom"/>
            <w:tcBorders>
              <w:bottom w:val="single" w:sz="8" w:color="CFF0FC"/>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Leasing</w:t>
            </w:r>
          </w:p>
        </w:tc>
        <w:tc>
          <w:tcPr>
            <w:tcW w:w="64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204,641</w:t>
            </w:r>
          </w:p>
        </w:tc>
        <w:tc>
          <w:tcPr>
            <w:tcW w:w="160" w:type="dxa"/>
            <w:vAlign w:val="bottom"/>
          </w:tcPr>
          <w:p>
            <w:pPr>
              <w:spacing w:after="0"/>
              <w:rPr>
                <w:sz w:val="19"/>
                <w:szCs w:val="19"/>
                <w:color w:val="auto"/>
              </w:rPr>
            </w:pPr>
          </w:p>
        </w:tc>
        <w:tc>
          <w:tcPr>
            <w:tcW w:w="9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278,034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96,172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23,870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and amortization)</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60"/>
              <w:spacing w:after="0"/>
              <w:rPr>
                <w:sz w:val="20"/>
                <w:szCs w:val="20"/>
                <w:color w:val="auto"/>
              </w:rPr>
            </w:pPr>
            <w:r>
              <w:rPr>
                <w:rFonts w:ascii="Arial" w:cs="Arial" w:eastAsia="Arial" w:hAnsi="Arial"/>
                <w:sz w:val="18"/>
                <w:szCs w:val="18"/>
                <w:color w:val="auto"/>
              </w:rPr>
              <w:t>Transaction related and other costs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tcPr>
          <w:p>
            <w:pPr>
              <w:ind w:left="5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b w:val="1"/>
                <w:bCs w:val="1"/>
                <w:color w:val="auto"/>
                <w:w w:val="89"/>
              </w:rPr>
              <w:t>Income (loss) before income taxes and equity in earnings from unconsolidated entities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50,243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29"/>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(2,071)</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52,858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1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52,730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8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52,394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color w:val="auto"/>
              </w:rPr>
              <w:t>Income (loss) per common share: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67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FF0FC"/>
            </w:tcBorders>
            <w:vMerge w:val="continue"/>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b w:val="1"/>
                <w:bCs w:val="1"/>
                <w:color w:val="auto"/>
              </w:rPr>
              <w:t>Weighted-average number of common shares outstanding:</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235,046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52,858</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termination</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3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55,688</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Comprehensive income (loss) attributable to noncontrolling interest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 attributable to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55,553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60"/>
              <w:spacing w:after="0" w:line="143" w:lineRule="exact"/>
              <w:rPr>
                <w:sz w:val="20"/>
                <w:szCs w:val="20"/>
                <w:color w:val="auto"/>
              </w:rPr>
            </w:pPr>
            <w:r>
              <w:rPr>
                <w:rFonts w:ascii="Arial" w:cs="Arial" w:eastAsia="Arial" w:hAnsi="Arial"/>
                <w:sz w:val="14"/>
                <w:szCs w:val="14"/>
                <w:color w:val="auto"/>
              </w:rPr>
              <w:t>Noncontrolling</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8"/>
              </w:rPr>
              <w:t>Distributions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Interest - Non-</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in Excess of</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voting</w:t>
            </w: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Comprehensive</w:t>
            </w: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Interest - OP</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Preferred</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67"/>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(Thousands, except share data)</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Preferred Stock</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color w:val="auto"/>
              </w:rPr>
              <w:t>Common Stock</w:t>
            </w: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94"/>
              </w:rPr>
              <w:t>Earnings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4"/>
          </w:tcPr>
          <w:p>
            <w:pPr>
              <w:ind w:left="40"/>
              <w:spacing w:after="0" w:line="183"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5"/>
                <w:szCs w:val="15"/>
                <w:color w:val="auto"/>
              </w:rPr>
            </w:pPr>
          </w:p>
        </w:tc>
        <w:tc>
          <w:tcPr>
            <w:tcW w:w="700" w:type="dxa"/>
            <w:vAlign w:val="bottom"/>
            <w:gridSpan w:val="4"/>
          </w:tcPr>
          <w:p>
            <w:pPr>
              <w:spacing w:after="0" w:line="183" w:lineRule="exact"/>
              <w:rPr>
                <w:sz w:val="20"/>
                <w:szCs w:val="20"/>
                <w:color w:val="auto"/>
              </w:rPr>
            </w:pPr>
            <w:r>
              <w:rPr>
                <w:rFonts w:ascii="Arial" w:cs="Arial" w:eastAsia="Arial" w:hAnsi="Arial"/>
                <w:sz w:val="16"/>
                <w:szCs w:val="16"/>
                <w:color w:val="auto"/>
              </w:rPr>
              <w:t>Amount</w:t>
            </w:r>
          </w:p>
        </w:tc>
        <w:tc>
          <w:tcPr>
            <w:tcW w:w="1060" w:type="dxa"/>
            <w:vAlign w:val="bottom"/>
            <w:gridSpan w:val="4"/>
          </w:tcPr>
          <w:p>
            <w:pPr>
              <w:ind w:left="240"/>
              <w:spacing w:after="0" w:line="183" w:lineRule="exact"/>
              <w:rPr>
                <w:sz w:val="20"/>
                <w:szCs w:val="20"/>
                <w:color w:val="auto"/>
              </w:rPr>
            </w:pPr>
            <w:r>
              <w:rPr>
                <w:rFonts w:ascii="Arial" w:cs="Arial" w:eastAsia="Arial" w:hAnsi="Arial"/>
                <w:sz w:val="16"/>
                <w:szCs w:val="16"/>
                <w:color w:val="auto"/>
              </w:rPr>
              <w:t>Shares</w:t>
            </w:r>
          </w:p>
        </w:tc>
        <w:tc>
          <w:tcPr>
            <w:tcW w:w="20" w:type="dxa"/>
            <w:vAlign w:val="bottom"/>
          </w:tcPr>
          <w:p>
            <w:pPr>
              <w:spacing w:after="0"/>
              <w:rPr>
                <w:sz w:val="15"/>
                <w:szCs w:val="15"/>
                <w:color w:val="auto"/>
              </w:rPr>
            </w:pPr>
          </w:p>
        </w:tc>
        <w:tc>
          <w:tcPr>
            <w:tcW w:w="700" w:type="dxa"/>
            <w:vAlign w:val="bottom"/>
            <w:gridSpan w:val="4"/>
          </w:tcPr>
          <w:p>
            <w:pPr>
              <w:spacing w:after="0" w:line="183" w:lineRule="exact"/>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8"/>
              </w:rPr>
              <w:t>231,261,958</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1,209,141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(20,367)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2"/>
              </w:rPr>
              <w:t>(3,330,455)</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69,157</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2"/>
              </w:rPr>
              <w:t>(2,072,376)</w:t>
            </w: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Cumulative effect adjustment</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for adoption of new accounting</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440" w:type="dxa"/>
            <w:vAlign w:val="bottom"/>
            <w:gridSpan w:val="2"/>
            <w:vMerge w:val="restart"/>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300" w:type="dxa"/>
            <w:vAlign w:val="bottom"/>
            <w:gridSpan w:val="2"/>
            <w:vMerge w:val="restart"/>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(59,908)</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14,598</w:t>
            </w:r>
          </w:p>
        </w:tc>
        <w:tc>
          <w:tcPr>
            <w:tcW w:w="16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(45,310)</w:t>
            </w: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standard</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loss</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(4,438)</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(4,502)</w:t>
            </w: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(35,128)</w:t>
            </w: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(35,128)</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declared ($0.15 per share)</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interest declared</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Payments related to tax</w:t>
            </w: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withholding for stock-based</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(2,306)</w:t>
            </w: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(2,306)</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compensation</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396,481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3,335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35,764</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employee stock purchase plan</w:t>
            </w:r>
          </w:p>
        </w:tc>
        <w:tc>
          <w:tcPr>
            <w:tcW w:w="52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980" w:type="dxa"/>
            <w:vAlign w:val="bottom"/>
            <w:gridSpan w:val="2"/>
          </w:tcPr>
          <w:p>
            <w:pPr>
              <w:spacing w:after="0"/>
              <w:rPr>
                <w:sz w:val="20"/>
                <w:szCs w:val="20"/>
                <w:color w:val="auto"/>
              </w:rPr>
            </w:pPr>
            <w:r>
              <w:rPr>
                <w:rFonts w:ascii="Arial" w:cs="Arial" w:eastAsia="Arial" w:hAnsi="Arial"/>
                <w:sz w:val="14"/>
                <w:szCs w:val="14"/>
                <w:color w:val="auto"/>
              </w:rPr>
              <w:t>Balance at March 31 2021</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440" w:type="dxa"/>
            <w:vAlign w:val="bottom"/>
            <w:gridSpan w:val="2"/>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231,694,203</w:t>
            </w:r>
          </w:p>
        </w:tc>
        <w:tc>
          <w:tcPr>
            <w:tcW w:w="160" w:type="dxa"/>
            <w:vAlign w:val="bottom"/>
          </w:tcPr>
          <w:p>
            <w:pPr>
              <w:spacing w:after="0"/>
              <w:rPr>
                <w:sz w:val="22"/>
                <w:szCs w:val="22"/>
                <w:color w:val="auto"/>
              </w:rPr>
            </w:pPr>
          </w:p>
        </w:tc>
        <w:tc>
          <w:tcPr>
            <w:tcW w:w="300" w:type="dxa"/>
            <w:vAlign w:val="bottom"/>
            <w:gridSpan w:val="2"/>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1,150,550</w:t>
            </w:r>
          </w:p>
        </w:tc>
        <w:tc>
          <w:tcPr>
            <w:tcW w:w="16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(17,580)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(3,355,423)</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68,615</w:t>
            </w:r>
          </w:p>
        </w:tc>
        <w:tc>
          <w:tcPr>
            <w:tcW w:w="120" w:type="dxa"/>
            <w:vAlign w:val="bottom"/>
          </w:tcPr>
          <w:p>
            <w:pPr>
              <w:spacing w:after="0"/>
              <w:rPr>
                <w:sz w:val="22"/>
                <w:szCs w:val="22"/>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(2,153,690)</w:t>
            </w:r>
          </w:p>
        </w:tc>
        <w:tc>
          <w:tcPr>
            <w:tcW w:w="0" w:type="dxa"/>
            <w:vAlign w:val="bottom"/>
          </w:tcPr>
          <w:p>
            <w:pPr>
              <w:spacing w:after="0"/>
              <w:rPr>
                <w:sz w:val="1"/>
                <w:szCs w:val="1"/>
                <w:color w:val="auto"/>
              </w:rPr>
            </w:pPr>
          </w:p>
        </w:tc>
      </w:tr>
      <w:tr>
        <w:trPr>
          <w:trHeight w:val="197"/>
        </w:trPr>
        <w:tc>
          <w:tcPr>
            <w:tcW w:w="19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4"/>
                <w:szCs w:val="14"/>
                <w:color w:val="auto"/>
              </w:rPr>
              <w:t>Balance at December 31, 2021</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gridSpan w:val="2"/>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234,779,247</w:t>
            </w:r>
          </w:p>
        </w:tc>
        <w:tc>
          <w:tcPr>
            <w:tcW w:w="160" w:type="dxa"/>
            <w:vAlign w:val="bottom"/>
          </w:tcPr>
          <w:p>
            <w:pPr>
              <w:spacing w:after="0"/>
              <w:rPr>
                <w:sz w:val="19"/>
                <w:szCs w:val="19"/>
                <w:color w:val="auto"/>
              </w:rPr>
            </w:pPr>
          </w:p>
        </w:tc>
        <w:tc>
          <w:tcPr>
            <w:tcW w:w="300" w:type="dxa"/>
            <w:vAlign w:val="bottom"/>
            <w:gridSpan w:val="2"/>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1,214,830</w:t>
            </w:r>
          </w:p>
        </w:tc>
        <w:tc>
          <w:tcPr>
            <w:tcW w:w="1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(9,164)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(3,333,481)</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13,893</w:t>
            </w:r>
          </w:p>
        </w:tc>
        <w:tc>
          <w:tcPr>
            <w:tcW w:w="12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(2,113,774)</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5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52,730</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(35,905)</w:t>
            </w: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(35,905)</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declared ($0.15 per share)</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interest declared</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non-voting</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convertible preferred stock</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tcPr>
          <w:p>
            <w:pPr>
              <w:spacing w:after="0" w:line="143" w:lineRule="exact"/>
              <w:rPr>
                <w:sz w:val="20"/>
                <w:szCs w:val="20"/>
                <w:color w:val="auto"/>
              </w:rPr>
            </w:pPr>
            <w:r>
              <w:rPr>
                <w:rFonts w:ascii="Arial" w:cs="Arial" w:eastAsia="Arial" w:hAnsi="Arial"/>
                <w:sz w:val="14"/>
                <w:szCs w:val="14"/>
                <w:color w:val="auto"/>
              </w:rPr>
              <w:t>Exchange of noncontrolling</w:t>
            </w:r>
          </w:p>
        </w:tc>
        <w:tc>
          <w:tcPr>
            <w:tcW w:w="52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157,733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3,158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(3,158)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Payments related to tax</w:t>
            </w:r>
          </w:p>
        </w:tc>
        <w:tc>
          <w:tcPr>
            <w:tcW w:w="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withholding for stock-based</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(1,525)</w:t>
            </w: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compensation</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331,686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3,312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w:t>
            </w:r>
          </w:p>
        </w:tc>
        <w:tc>
          <w:tcPr>
            <w:tcW w:w="5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29,324</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employee stock purchase plan</w:t>
            </w:r>
          </w:p>
        </w:tc>
        <w:tc>
          <w:tcPr>
            <w:tcW w:w="52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4"/>
                <w:szCs w:val="14"/>
                <w:color w:val="auto"/>
              </w:rPr>
              <w:t>Balance at March 31, 2022</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gridSpan w:val="2"/>
          </w:tcPr>
          <w:p>
            <w:pPr>
              <w:jc w:val="right"/>
              <w:ind w:right="279"/>
              <w:spacing w:after="0"/>
              <w:rPr>
                <w:sz w:val="20"/>
                <w:szCs w:val="20"/>
                <w:color w:val="auto"/>
              </w:rPr>
            </w:pPr>
            <w:r>
              <w:rPr>
                <w:rFonts w:ascii="Arial" w:cs="Arial" w:eastAsia="Arial" w:hAnsi="Arial"/>
                <w:sz w:val="15"/>
                <w:szCs w:val="15"/>
                <w:color w:val="auto"/>
                <w:w w:val="71"/>
              </w:rPr>
              <w:t>$</w:t>
            </w:r>
          </w:p>
        </w:tc>
        <w:tc>
          <w:tcPr>
            <w:tcW w:w="1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235,297,990</w:t>
            </w:r>
          </w:p>
        </w:tc>
        <w:tc>
          <w:tcPr>
            <w:tcW w:w="160" w:type="dxa"/>
            <w:vAlign w:val="bottom"/>
          </w:tcPr>
          <w:p>
            <w:pPr>
              <w:spacing w:after="0"/>
              <w:rPr>
                <w:sz w:val="19"/>
                <w:szCs w:val="19"/>
                <w:color w:val="auto"/>
              </w:rPr>
            </w:pPr>
          </w:p>
        </w:tc>
        <w:tc>
          <w:tcPr>
            <w:tcW w:w="300" w:type="dxa"/>
            <w:vAlign w:val="bottom"/>
            <w:gridSpan w:val="2"/>
          </w:tcPr>
          <w:p>
            <w:pPr>
              <w:jc w:val="right"/>
              <w:ind w:right="139"/>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1,220,039</w:t>
            </w:r>
          </w:p>
        </w:tc>
        <w:tc>
          <w:tcPr>
            <w:tcW w:w="1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(6,341)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(3,316,781)</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10,788</w:t>
            </w:r>
          </w:p>
        </w:tc>
        <w:tc>
          <w:tcPr>
            <w:tcW w:w="12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(2,092,022)</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3"/>
                <w:szCs w:val="13"/>
                <w:b w:val="1"/>
                <w:bCs w:val="1"/>
                <w:color w:val="auto"/>
              </w:rPr>
              <w:t>Three Months Ended March 31,</w:t>
            </w:r>
          </w:p>
        </w:tc>
        <w:tc>
          <w:tcPr>
            <w:tcW w:w="1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300" w:type="dxa"/>
            <w:vAlign w:val="bottom"/>
            <w:gridSpan w:val="2"/>
          </w:tcPr>
          <w:p>
            <w:pPr>
              <w:spacing w:after="0" w:line="142" w:lineRule="exact"/>
              <w:rPr>
                <w:sz w:val="20"/>
                <w:szCs w:val="20"/>
                <w:color w:val="auto"/>
              </w:rPr>
            </w:pPr>
            <w:r>
              <w:rPr>
                <w:rFonts w:ascii="Arial" w:cs="Arial" w:eastAsia="Arial" w:hAnsi="Arial"/>
                <w:sz w:val="13"/>
                <w:szCs w:val="13"/>
                <w:color w:val="auto"/>
              </w:rPr>
              <w:t>(Thousands)</w:t>
            </w:r>
          </w:p>
        </w:tc>
        <w:tc>
          <w:tcPr>
            <w:tcW w:w="520" w:type="dxa"/>
            <w:vAlign w:val="bottom"/>
          </w:tcPr>
          <w:p>
            <w:pPr>
              <w:spacing w:after="0"/>
              <w:rPr>
                <w:sz w:val="12"/>
                <w:szCs w:val="12"/>
                <w:color w:val="auto"/>
              </w:rPr>
            </w:pPr>
          </w:p>
        </w:tc>
        <w:tc>
          <w:tcPr>
            <w:tcW w:w="1740" w:type="dxa"/>
            <w:vAlign w:val="bottom"/>
          </w:tcPr>
          <w:p>
            <w:pPr>
              <w:jc w:val="right"/>
              <w:ind w:right="957"/>
              <w:spacing w:after="0" w:line="142" w:lineRule="exact"/>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ind w:right="957"/>
              <w:spacing w:after="0" w:line="14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2"/>
                <w:szCs w:val="12"/>
                <w:color w:val="auto"/>
              </w:rPr>
            </w:pPr>
          </w:p>
        </w:tc>
      </w:tr>
      <w:tr>
        <w:trPr>
          <w:trHeight w:val="142"/>
        </w:trPr>
        <w:tc>
          <w:tcPr>
            <w:tcW w:w="600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 from operating activities</w:t>
            </w:r>
          </w:p>
        </w:tc>
        <w:tc>
          <w:tcPr>
            <w:tcW w:w="30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7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r>
      <w:tr>
        <w:trPr>
          <w:trHeight w:val="148"/>
        </w:trPr>
        <w:tc>
          <w:tcPr>
            <w:tcW w:w="630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52,858</w:t>
            </w:r>
          </w:p>
        </w:tc>
        <w:tc>
          <w:tcPr>
            <w:tcW w:w="300" w:type="dxa"/>
            <w:vAlign w:val="bottom"/>
          </w:tcPr>
          <w:p>
            <w:pPr>
              <w:spacing w:after="0"/>
              <w:rPr>
                <w:sz w:val="12"/>
                <w:szCs w:val="12"/>
                <w:color w:val="auto"/>
              </w:rPr>
            </w:pPr>
          </w:p>
        </w:tc>
        <w:tc>
          <w:tcPr>
            <w:tcW w:w="860" w:type="dxa"/>
            <w:vAlign w:val="bottom"/>
          </w:tcPr>
          <w:p>
            <w:pPr>
              <w:jc w:val="right"/>
              <w:ind w:right="748"/>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(4,502)</w:t>
            </w:r>
          </w:p>
        </w:tc>
      </w:tr>
      <w:tr>
        <w:trPr>
          <w:trHeight w:val="149"/>
        </w:trPr>
        <w:tc>
          <w:tcPr>
            <w:tcW w:w="6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Adjustments to reconcile net income (loss) to net cash provided by operating activities:</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Depreciation and amortization</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71,457</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70,964</w:t>
            </w:r>
          </w:p>
        </w:tc>
        <w:tc>
          <w:tcPr>
            <w:tcW w:w="100" w:type="dxa"/>
            <w:vAlign w:val="bottom"/>
          </w:tcPr>
          <w:p>
            <w:pPr>
              <w:spacing w:after="0"/>
              <w:rPr>
                <w:sz w:val="12"/>
                <w:szCs w:val="12"/>
                <w:color w:val="auto"/>
              </w:rPr>
            </w:pP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Amortization of deferred financing costs and debt discount</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4,514</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4,959</w:t>
            </w:r>
          </w:p>
        </w:tc>
        <w:tc>
          <w:tcPr>
            <w:tcW w:w="100" w:type="dxa"/>
            <w:vAlign w:val="bottom"/>
            <w:shd w:val="clear" w:color="auto" w:fill="CFF0FC"/>
          </w:tcPr>
          <w:p>
            <w:pPr>
              <w:spacing w:after="0"/>
              <w:rPr>
                <w:sz w:val="12"/>
                <w:szCs w:val="12"/>
                <w:color w:val="auto"/>
              </w:rPr>
            </w:pP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Loss on debt extinguishment</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37,965</w:t>
            </w:r>
          </w:p>
        </w:tc>
        <w:tc>
          <w:tcPr>
            <w:tcW w:w="100" w:type="dxa"/>
            <w:vAlign w:val="bottom"/>
          </w:tcPr>
          <w:p>
            <w:pPr>
              <w:spacing w:after="0"/>
              <w:rPr>
                <w:sz w:val="12"/>
                <w:szCs w:val="12"/>
                <w:color w:val="auto"/>
              </w:rPr>
            </w:pP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Interest rate swap termination</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2,830</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2,829</w:t>
            </w:r>
          </w:p>
        </w:tc>
        <w:tc>
          <w:tcPr>
            <w:tcW w:w="100" w:type="dxa"/>
            <w:vAlign w:val="bottom"/>
            <w:shd w:val="clear" w:color="auto" w:fill="CFF0FC"/>
          </w:tcPr>
          <w:p>
            <w:pPr>
              <w:spacing w:after="0"/>
              <w:rPr>
                <w:sz w:val="12"/>
                <w:szCs w:val="12"/>
                <w:color w:val="auto"/>
              </w:rPr>
            </w:pP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Deferred income taxes</w:t>
            </w:r>
          </w:p>
        </w:tc>
        <w:tc>
          <w:tcPr>
            <w:tcW w:w="52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(3,664)</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(3,428)</w:t>
            </w:r>
          </w:p>
        </w:tc>
      </w:tr>
      <w:tr>
        <w:trPr>
          <w:trHeight w:val="149"/>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Equity in earnings of unconsolidated entities</w:t>
            </w:r>
          </w:p>
        </w:tc>
        <w:tc>
          <w:tcPr>
            <w:tcW w:w="52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(544)</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(398)</w:t>
            </w: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Distributions of cumulative earnings from unconsolidated entities</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980</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960</w:t>
            </w:r>
          </w:p>
        </w:tc>
        <w:tc>
          <w:tcPr>
            <w:tcW w:w="100" w:type="dxa"/>
            <w:vAlign w:val="bottom"/>
          </w:tcPr>
          <w:p>
            <w:pPr>
              <w:spacing w:after="0"/>
              <w:rPr>
                <w:sz w:val="12"/>
                <w:szCs w:val="12"/>
                <w:color w:val="auto"/>
              </w:rPr>
            </w:pP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Cash paid for interest rate swap settlement</w:t>
            </w:r>
          </w:p>
        </w:tc>
        <w:tc>
          <w:tcPr>
            <w:tcW w:w="52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(3,144)</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(2,989)</w:t>
            </w: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Straight-line revenues and amortization of below-market lease intangibles</w:t>
            </w:r>
          </w:p>
        </w:tc>
        <w:tc>
          <w:tcPr>
            <w:tcW w:w="52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(11,022)</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(6,906)</w:t>
            </w: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3,335</w:t>
            </w:r>
          </w:p>
        </w:tc>
        <w:tc>
          <w:tcPr>
            <w:tcW w:w="100" w:type="dxa"/>
            <w:vAlign w:val="bottom"/>
            <w:shd w:val="clear" w:color="auto" w:fill="CFF0FC"/>
          </w:tcPr>
          <w:p>
            <w:pPr>
              <w:spacing w:after="0"/>
              <w:rPr>
                <w:sz w:val="12"/>
                <w:szCs w:val="12"/>
                <w:color w:val="auto"/>
              </w:rPr>
            </w:pPr>
          </w:p>
        </w:tc>
      </w:tr>
      <w:tr>
        <w:trPr>
          <w:trHeight w:val="149"/>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Change in fair value of contingent consideration</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Loss on asset disposals</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FF0FC"/>
          </w:tcPr>
          <w:p>
            <w:pPr>
              <w:spacing w:after="0"/>
              <w:rPr>
                <w:sz w:val="12"/>
                <w:szCs w:val="12"/>
                <w:color w:val="auto"/>
              </w:rPr>
            </w:pP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Accretion of settlement obligation</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2,876</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4,553</w:t>
            </w:r>
          </w:p>
        </w:tc>
        <w:tc>
          <w:tcPr>
            <w:tcW w:w="100" w:type="dxa"/>
            <w:vAlign w:val="bottom"/>
          </w:tcPr>
          <w:p>
            <w:pPr>
              <w:spacing w:after="0"/>
              <w:rPr>
                <w:sz w:val="12"/>
                <w:szCs w:val="12"/>
                <w:color w:val="auto"/>
              </w:rPr>
            </w:pP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52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(318)</w:t>
            </w: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FF0FC"/>
          </w:tcPr>
          <w:p>
            <w:pPr>
              <w:spacing w:after="0"/>
              <w:rPr>
                <w:sz w:val="12"/>
                <w:szCs w:val="12"/>
                <w:color w:val="auto"/>
              </w:rPr>
            </w:pP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Changes in assets and liabilities, net of acquisitions:</w:t>
            </w:r>
          </w:p>
        </w:tc>
        <w:tc>
          <w:tcPr>
            <w:tcW w:w="5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00" w:type="dxa"/>
            <w:vAlign w:val="bottom"/>
            <w:gridSpan w:val="2"/>
            <w:shd w:val="clear" w:color="auto" w:fill="CFF0FC"/>
          </w:tcPr>
          <w:p>
            <w:pPr>
              <w:ind w:left="380"/>
              <w:spacing w:after="0"/>
              <w:rPr>
                <w:sz w:val="20"/>
                <w:szCs w:val="20"/>
                <w:color w:val="auto"/>
              </w:rPr>
            </w:pPr>
            <w:r>
              <w:rPr>
                <w:rFonts w:ascii="Arial" w:cs="Arial" w:eastAsia="Arial" w:hAnsi="Arial"/>
                <w:sz w:val="13"/>
                <w:szCs w:val="13"/>
                <w:color w:val="auto"/>
              </w:rPr>
              <w:t>Accounts receivable</w:t>
            </w:r>
          </w:p>
        </w:tc>
        <w:tc>
          <w:tcPr>
            <w:tcW w:w="52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(2,814)</w:t>
            </w: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11,466</w:t>
            </w:r>
          </w:p>
        </w:tc>
        <w:tc>
          <w:tcPr>
            <w:tcW w:w="100" w:type="dxa"/>
            <w:vAlign w:val="bottom"/>
            <w:shd w:val="clear" w:color="auto" w:fill="CFF0FC"/>
          </w:tcPr>
          <w:p>
            <w:pPr>
              <w:spacing w:after="0"/>
              <w:rPr>
                <w:sz w:val="12"/>
                <w:szCs w:val="12"/>
                <w:color w:val="auto"/>
              </w:rPr>
            </w:pPr>
          </w:p>
        </w:tc>
      </w:tr>
      <w:tr>
        <w:trPr>
          <w:trHeight w:val="148"/>
        </w:trPr>
        <w:tc>
          <w:tcPr>
            <w:tcW w:w="6300" w:type="dxa"/>
            <w:vAlign w:val="bottom"/>
            <w:gridSpan w:val="2"/>
          </w:tcPr>
          <w:p>
            <w:pPr>
              <w:ind w:left="380"/>
              <w:spacing w:after="0"/>
              <w:rPr>
                <w:sz w:val="20"/>
                <w:szCs w:val="20"/>
                <w:color w:val="auto"/>
              </w:rPr>
            </w:pPr>
            <w:r>
              <w:rPr>
                <w:rFonts w:ascii="Arial" w:cs="Arial" w:eastAsia="Arial" w:hAnsi="Arial"/>
                <w:sz w:val="13"/>
                <w:szCs w:val="13"/>
                <w:color w:val="auto"/>
              </w:rPr>
              <w:t>Other assets</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157</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47,630</w:t>
            </w:r>
          </w:p>
        </w:tc>
        <w:tc>
          <w:tcPr>
            <w:tcW w:w="100" w:type="dxa"/>
            <w:vAlign w:val="bottom"/>
          </w:tcPr>
          <w:p>
            <w:pPr>
              <w:spacing w:after="0"/>
              <w:rPr>
                <w:sz w:val="12"/>
                <w:szCs w:val="12"/>
                <w:color w:val="auto"/>
              </w:rPr>
            </w:pPr>
          </w:p>
        </w:tc>
      </w:tr>
      <w:tr>
        <w:trPr>
          <w:trHeight w:val="148"/>
        </w:trPr>
        <w:tc>
          <w:tcPr>
            <w:tcW w:w="6300" w:type="dxa"/>
            <w:vAlign w:val="bottom"/>
            <w:gridSpan w:val="2"/>
            <w:shd w:val="clear" w:color="auto" w:fill="CFF0FC"/>
          </w:tcPr>
          <w:p>
            <w:pPr>
              <w:ind w:left="380"/>
              <w:spacing w:after="0"/>
              <w:rPr>
                <w:sz w:val="20"/>
                <w:szCs w:val="20"/>
                <w:color w:val="auto"/>
              </w:rPr>
            </w:pPr>
            <w:r>
              <w:rPr>
                <w:rFonts w:ascii="Arial" w:cs="Arial" w:eastAsia="Arial" w:hAnsi="Arial"/>
                <w:sz w:val="13"/>
                <w:szCs w:val="13"/>
                <w:color w:val="auto"/>
              </w:rPr>
              <w:t>Accounts payable, accrued expenses and other liabilities</w:t>
            </w:r>
          </w:p>
        </w:tc>
        <w:tc>
          <w:tcPr>
            <w:tcW w:w="52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(54,920)</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(40,110)</w:t>
            </w:r>
          </w:p>
        </w:tc>
      </w:tr>
      <w:tr>
        <w:trPr>
          <w:trHeight w:val="142"/>
        </w:trPr>
        <w:tc>
          <w:tcPr>
            <w:tcW w:w="6300" w:type="dxa"/>
            <w:vAlign w:val="bottom"/>
            <w:gridSpan w:val="2"/>
          </w:tcPr>
          <w:p>
            <w:pPr>
              <w:spacing w:after="0" w:line="142" w:lineRule="exact"/>
              <w:rPr>
                <w:sz w:val="20"/>
                <w:szCs w:val="20"/>
                <w:color w:val="auto"/>
              </w:rPr>
            </w:pPr>
            <w:r>
              <w:rPr>
                <w:rFonts w:ascii="Arial" w:cs="Arial" w:eastAsia="Arial" w:hAnsi="Arial"/>
                <w:sz w:val="13"/>
                <w:szCs w:val="13"/>
                <w:color w:val="auto"/>
              </w:rPr>
              <w:t>Net cash provided by operating activities</w:t>
            </w:r>
          </w:p>
        </w:tc>
        <w:tc>
          <w:tcPr>
            <w:tcW w:w="5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63,221</w:t>
            </w:r>
          </w:p>
        </w:tc>
        <w:tc>
          <w:tcPr>
            <w:tcW w:w="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126,664</w:t>
            </w:r>
          </w:p>
        </w:tc>
        <w:tc>
          <w:tcPr>
            <w:tcW w:w="100" w:type="dxa"/>
            <w:vAlign w:val="bottom"/>
          </w:tcPr>
          <w:p>
            <w:pPr>
              <w:spacing w:after="0"/>
              <w:rPr>
                <w:sz w:val="12"/>
                <w:szCs w:val="12"/>
                <w:color w:val="auto"/>
              </w:rPr>
            </w:pPr>
          </w:p>
        </w:tc>
      </w:tr>
      <w:tr>
        <w:trPr>
          <w:trHeight w:val="148"/>
        </w:trPr>
        <w:tc>
          <w:tcPr>
            <w:tcW w:w="630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Other capital expenditures</w:t>
            </w:r>
          </w:p>
        </w:tc>
        <w:tc>
          <w:tcPr>
            <w:tcW w:w="52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(94,728)</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(84,377)</w:t>
            </w: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Proceeds from sale of other equipment</w:t>
            </w:r>
          </w:p>
        </w:tc>
        <w:tc>
          <w:tcPr>
            <w:tcW w:w="52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379</w:t>
            </w:r>
          </w:p>
        </w:tc>
        <w:tc>
          <w:tcPr>
            <w:tcW w:w="30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2"/>
        </w:trPr>
        <w:tc>
          <w:tcPr>
            <w:tcW w:w="6300" w:type="dxa"/>
            <w:vAlign w:val="bottom"/>
            <w:gridSpan w:val="2"/>
          </w:tcPr>
          <w:p>
            <w:pPr>
              <w:spacing w:after="0" w:line="142" w:lineRule="exact"/>
              <w:rPr>
                <w:sz w:val="20"/>
                <w:szCs w:val="20"/>
                <w:color w:val="auto"/>
              </w:rPr>
            </w:pPr>
            <w:r>
              <w:rPr>
                <w:rFonts w:ascii="Arial" w:cs="Arial" w:eastAsia="Arial" w:hAnsi="Arial"/>
                <w:sz w:val="13"/>
                <w:szCs w:val="13"/>
                <w:color w:val="auto"/>
              </w:rPr>
              <w:t>Net cash used in investing activities</w:t>
            </w:r>
          </w:p>
        </w:tc>
        <w:tc>
          <w:tcPr>
            <w:tcW w:w="5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(94,349)</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(84,377)</w:t>
            </w:r>
          </w:p>
        </w:tc>
        <w:tc>
          <w:tcPr>
            <w:tcW w:w="100" w:type="dxa"/>
            <w:vAlign w:val="bottom"/>
          </w:tcPr>
          <w:p>
            <w:pPr>
              <w:spacing w:after="0"/>
              <w:rPr>
                <w:sz w:val="12"/>
                <w:szCs w:val="12"/>
                <w:color w:val="auto"/>
              </w:rPr>
            </w:pPr>
          </w:p>
        </w:tc>
      </w:tr>
      <w:tr>
        <w:trPr>
          <w:trHeight w:val="148"/>
        </w:trPr>
        <w:tc>
          <w:tcPr>
            <w:tcW w:w="630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Repayment of debt</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(1,051,181)</w:t>
            </w: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Proceeds from issuance of notes</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1,110,000</w:t>
            </w:r>
          </w:p>
        </w:tc>
        <w:tc>
          <w:tcPr>
            <w:tcW w:w="100" w:type="dxa"/>
            <w:vAlign w:val="bottom"/>
            <w:shd w:val="clear" w:color="auto" w:fill="CFF0FC"/>
          </w:tcPr>
          <w:p>
            <w:pPr>
              <w:spacing w:after="0"/>
              <w:rPr>
                <w:sz w:val="12"/>
                <w:szCs w:val="12"/>
                <w:color w:val="auto"/>
              </w:rPr>
            </w:pP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Dividends paid</w:t>
            </w:r>
          </w:p>
        </w:tc>
        <w:tc>
          <w:tcPr>
            <w:tcW w:w="52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(105)</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(34,961)</w:t>
            </w: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Payments of settlement payable</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(24,505)</w:t>
            </w:r>
          </w:p>
        </w:tc>
      </w:tr>
      <w:tr>
        <w:trPr>
          <w:trHeight w:val="149"/>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Payments of contingent consideration</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(2,979)</w:t>
            </w: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Distributions paid to noncontrolling interest</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(520)</w:t>
            </w: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Borrowings under revolving credit facility</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85,000</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105,000</w:t>
            </w:r>
          </w:p>
        </w:tc>
        <w:tc>
          <w:tcPr>
            <w:tcW w:w="100" w:type="dxa"/>
            <w:vAlign w:val="bottom"/>
          </w:tcPr>
          <w:p>
            <w:pPr>
              <w:spacing w:after="0"/>
              <w:rPr>
                <w:sz w:val="12"/>
                <w:szCs w:val="12"/>
                <w:color w:val="auto"/>
              </w:rPr>
            </w:pPr>
          </w:p>
        </w:tc>
      </w:tr>
      <w:tr>
        <w:trPr>
          <w:trHeight w:val="149"/>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Payments under revolving credit facility</w:t>
            </w:r>
          </w:p>
        </w:tc>
        <w:tc>
          <w:tcPr>
            <w:tcW w:w="52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(60,000)</w:t>
            </w: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(55,000)</w:t>
            </w: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Finance lease payments</w:t>
            </w:r>
          </w:p>
        </w:tc>
        <w:tc>
          <w:tcPr>
            <w:tcW w:w="52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(280)</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(710)</w:t>
            </w:r>
          </w:p>
        </w:tc>
      </w:tr>
      <w:tr>
        <w:trPr>
          <w:trHeight w:val="149"/>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Payments for financing costs</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(22,931)</w:t>
            </w: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Payment of tender premium</w:t>
            </w: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(17,550)</w:t>
            </w: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Employee stock purchase program</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FF0FC"/>
          </w:tcPr>
          <w:p>
            <w:pPr>
              <w:spacing w:after="0"/>
              <w:rPr>
                <w:sz w:val="12"/>
                <w:szCs w:val="12"/>
                <w:color w:val="auto"/>
              </w:rPr>
            </w:pPr>
          </w:p>
        </w:tc>
      </w:tr>
      <w:tr>
        <w:trPr>
          <w:trHeight w:val="149"/>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Payments related to tax withholding for stock-based compensation</w:t>
            </w:r>
          </w:p>
        </w:tc>
        <w:tc>
          <w:tcPr>
            <w:tcW w:w="52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(1,525)</w:t>
            </w:r>
          </w:p>
        </w:tc>
        <w:tc>
          <w:tcPr>
            <w:tcW w:w="860" w:type="dxa"/>
            <w:vAlign w:val="bottom"/>
          </w:tcPr>
          <w:p>
            <w:pPr>
              <w:spacing w:after="0"/>
              <w:rPr>
                <w:sz w:val="12"/>
                <w:szCs w:val="12"/>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3"/>
                <w:szCs w:val="13"/>
                <w:color w:val="auto"/>
              </w:rPr>
              <w:t>(2,306)</w:t>
            </w:r>
          </w:p>
        </w:tc>
      </w:tr>
      <w:tr>
        <w:trPr>
          <w:trHeight w:val="142"/>
        </w:trPr>
        <w:tc>
          <w:tcPr>
            <w:tcW w:w="6300" w:type="dxa"/>
            <w:vAlign w:val="bottom"/>
            <w:tcBorders>
              <w:top w:val="single" w:sz="8" w:color="CFF0FC"/>
            </w:tcBorders>
            <w:gridSpan w:val="2"/>
            <w:shd w:val="clear" w:color="auto" w:fill="CFF0FC"/>
          </w:tcPr>
          <w:p>
            <w:pPr>
              <w:spacing w:after="0" w:line="142" w:lineRule="exact"/>
              <w:rPr>
                <w:sz w:val="20"/>
                <w:szCs w:val="20"/>
                <w:color w:val="auto"/>
              </w:rPr>
            </w:pPr>
            <w:r>
              <w:rPr>
                <w:rFonts w:ascii="Arial" w:cs="Arial" w:eastAsia="Arial" w:hAnsi="Arial"/>
                <w:sz w:val="13"/>
                <w:szCs w:val="13"/>
                <w:color w:val="auto"/>
              </w:rPr>
              <w:t>Net cash provided by financing activities</w:t>
            </w:r>
          </w:p>
        </w:tc>
        <w:tc>
          <w:tcPr>
            <w:tcW w:w="520" w:type="dxa"/>
            <w:vAlign w:val="bottom"/>
            <w:tcBorders>
              <w:top w:val="single" w:sz="8" w:color="auto"/>
            </w:tcBorders>
            <w:shd w:val="clear" w:color="auto" w:fill="CFF0FC"/>
          </w:tcPr>
          <w:p>
            <w:pPr>
              <w:spacing w:after="0"/>
              <w:rPr>
                <w:sz w:val="12"/>
                <w:szCs w:val="12"/>
                <w:color w:val="auto"/>
              </w:rPr>
            </w:pPr>
          </w:p>
        </w:tc>
        <w:tc>
          <w:tcPr>
            <w:tcW w:w="1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23,354</w:t>
            </w:r>
          </w:p>
        </w:tc>
        <w:tc>
          <w:tcPr>
            <w:tcW w:w="30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2,645</w:t>
            </w:r>
          </w:p>
        </w:tc>
        <w:tc>
          <w:tcPr>
            <w:tcW w:w="100" w:type="dxa"/>
            <w:vAlign w:val="bottom"/>
            <w:tcBorders>
              <w:top w:val="single" w:sz="8" w:color="CFF0FC"/>
            </w:tcBorders>
            <w:shd w:val="clear" w:color="auto" w:fill="CFF0FC"/>
          </w:tcPr>
          <w:p>
            <w:pPr>
              <w:spacing w:after="0"/>
              <w:rPr>
                <w:sz w:val="12"/>
                <w:szCs w:val="12"/>
                <w:color w:val="auto"/>
              </w:rPr>
            </w:pPr>
          </w:p>
        </w:tc>
      </w:tr>
      <w:tr>
        <w:trPr>
          <w:trHeight w:val="149"/>
        </w:trPr>
        <w:tc>
          <w:tcPr>
            <w:tcW w:w="6000" w:type="dxa"/>
            <w:vAlign w:val="bottom"/>
            <w:tcBorders>
              <w:bottom w:val="single" w:sz="8" w:color="CFF0FC"/>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142"/>
        </w:trPr>
        <w:tc>
          <w:tcPr>
            <w:tcW w:w="6300" w:type="dxa"/>
            <w:vAlign w:val="bottom"/>
            <w:gridSpan w:val="2"/>
            <w:shd w:val="clear" w:color="auto" w:fill="CFF0FC"/>
          </w:tcPr>
          <w:p>
            <w:pPr>
              <w:spacing w:after="0" w:line="142" w:lineRule="exact"/>
              <w:rPr>
                <w:sz w:val="20"/>
                <w:szCs w:val="20"/>
                <w:color w:val="auto"/>
              </w:rPr>
            </w:pPr>
            <w:r>
              <w:rPr>
                <w:rFonts w:ascii="Arial" w:cs="Arial" w:eastAsia="Arial" w:hAnsi="Arial"/>
                <w:sz w:val="13"/>
                <w:szCs w:val="13"/>
                <w:color w:val="auto"/>
              </w:rPr>
              <w:t>Net (decrease) increase in cash and cash equivalents</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(7,774)</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44,932</w:t>
            </w:r>
          </w:p>
        </w:tc>
        <w:tc>
          <w:tcPr>
            <w:tcW w:w="100" w:type="dxa"/>
            <w:vAlign w:val="bottom"/>
            <w:shd w:val="clear" w:color="auto" w:fill="CFF0FC"/>
          </w:tcPr>
          <w:p>
            <w:pPr>
              <w:spacing w:after="0"/>
              <w:rPr>
                <w:sz w:val="12"/>
                <w:szCs w:val="12"/>
                <w:color w:val="auto"/>
              </w:rPr>
            </w:pPr>
          </w:p>
        </w:tc>
      </w:tr>
      <w:tr>
        <w:trPr>
          <w:trHeight w:val="148"/>
        </w:trPr>
        <w:tc>
          <w:tcPr>
            <w:tcW w:w="6300" w:type="dxa"/>
            <w:vAlign w:val="bottom"/>
            <w:tcBorders>
              <w:bottom w:val="single" w:sz="8" w:color="CFF0FC"/>
            </w:tcBorders>
            <w:gridSpan w:val="2"/>
          </w:tcPr>
          <w:p>
            <w:pPr>
              <w:spacing w:after="0"/>
              <w:rPr>
                <w:sz w:val="20"/>
                <w:szCs w:val="20"/>
                <w:color w:val="auto"/>
              </w:rPr>
            </w:pPr>
            <w:r>
              <w:rPr>
                <w:rFonts w:ascii="Arial" w:cs="Arial" w:eastAsia="Arial" w:hAnsi="Arial"/>
                <w:sz w:val="13"/>
                <w:szCs w:val="13"/>
                <w:color w:val="auto"/>
              </w:rPr>
              <w:t>Cash and cash equivalents at beginning of period</w:t>
            </w:r>
          </w:p>
        </w:tc>
        <w:tc>
          <w:tcPr>
            <w:tcW w:w="5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58,903</w:t>
            </w:r>
          </w:p>
        </w:tc>
        <w:tc>
          <w:tcPr>
            <w:tcW w:w="30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77,534</w:t>
            </w:r>
          </w:p>
        </w:tc>
        <w:tc>
          <w:tcPr>
            <w:tcW w:w="100" w:type="dxa"/>
            <w:vAlign w:val="bottom"/>
            <w:tcBorders>
              <w:bottom w:val="single" w:sz="8" w:color="CFF0FC"/>
            </w:tcBorders>
          </w:tcPr>
          <w:p>
            <w:pPr>
              <w:spacing w:after="0"/>
              <w:rPr>
                <w:sz w:val="12"/>
                <w:szCs w:val="12"/>
                <w:color w:val="auto"/>
              </w:rPr>
            </w:pPr>
          </w:p>
        </w:tc>
      </w:tr>
      <w:tr>
        <w:trPr>
          <w:trHeight w:val="142"/>
        </w:trPr>
        <w:tc>
          <w:tcPr>
            <w:tcW w:w="6300" w:type="dxa"/>
            <w:vAlign w:val="bottom"/>
            <w:tcBorders>
              <w:bottom w:val="single" w:sz="8" w:color="CFF0FC"/>
            </w:tcBorders>
            <w:gridSpan w:val="2"/>
            <w:shd w:val="clear" w:color="auto" w:fill="CFF0FC"/>
          </w:tcPr>
          <w:p>
            <w:pPr>
              <w:spacing w:after="0" w:line="142" w:lineRule="exact"/>
              <w:rPr>
                <w:sz w:val="20"/>
                <w:szCs w:val="20"/>
                <w:color w:val="auto"/>
              </w:rPr>
            </w:pPr>
            <w:r>
              <w:rPr>
                <w:rFonts w:ascii="Arial" w:cs="Arial" w:eastAsia="Arial" w:hAnsi="Arial"/>
                <w:sz w:val="13"/>
                <w:szCs w:val="13"/>
                <w:color w:val="auto"/>
              </w:rPr>
              <w:t>Cash and cash equivalents at end of period</w:t>
            </w:r>
          </w:p>
        </w:tc>
        <w:tc>
          <w:tcPr>
            <w:tcW w:w="52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51,129</w:t>
            </w:r>
          </w:p>
        </w:tc>
        <w:tc>
          <w:tcPr>
            <w:tcW w:w="30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748"/>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122,466</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6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3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Non-cash investing and financing activities:</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300" w:type="dxa"/>
            <w:vAlign w:val="bottom"/>
            <w:gridSpan w:val="2"/>
          </w:tcPr>
          <w:p>
            <w:pPr>
              <w:ind w:left="260"/>
              <w:spacing w:after="0"/>
              <w:rPr>
                <w:sz w:val="20"/>
                <w:szCs w:val="20"/>
                <w:color w:val="auto"/>
              </w:rPr>
            </w:pPr>
            <w:r>
              <w:rPr>
                <w:rFonts w:ascii="Arial" w:cs="Arial" w:eastAsia="Arial" w:hAnsi="Arial"/>
                <w:sz w:val="13"/>
                <w:szCs w:val="13"/>
                <w:color w:val="auto"/>
              </w:rPr>
              <w:t>Property and equipment acquired but not yet paid</w:t>
            </w:r>
          </w:p>
        </w:tc>
        <w:tc>
          <w:tcPr>
            <w:tcW w:w="520" w:type="dxa"/>
            <w:vAlign w:val="bottom"/>
          </w:tcPr>
          <w:p>
            <w:pPr>
              <w:jc w:val="right"/>
              <w:ind w:right="408"/>
              <w:spacing w:after="0"/>
              <w:rPr>
                <w:sz w:val="20"/>
                <w:szCs w:val="20"/>
                <w:color w:val="auto"/>
              </w:rPr>
            </w:pPr>
            <w:r>
              <w:rPr>
                <w:rFonts w:ascii="Arial" w:cs="Arial" w:eastAsia="Arial" w:hAnsi="Arial"/>
                <w:sz w:val="10"/>
                <w:szCs w:val="10"/>
                <w:color w:val="auto"/>
                <w:w w:val="71"/>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13,338</w:t>
            </w:r>
          </w:p>
        </w:tc>
        <w:tc>
          <w:tcPr>
            <w:tcW w:w="300" w:type="dxa"/>
            <w:vAlign w:val="bottom"/>
          </w:tcPr>
          <w:p>
            <w:pPr>
              <w:spacing w:after="0"/>
              <w:rPr>
                <w:sz w:val="12"/>
                <w:szCs w:val="12"/>
                <w:color w:val="auto"/>
              </w:rPr>
            </w:pPr>
          </w:p>
        </w:tc>
        <w:tc>
          <w:tcPr>
            <w:tcW w:w="860" w:type="dxa"/>
            <w:vAlign w:val="bottom"/>
          </w:tcPr>
          <w:p>
            <w:pPr>
              <w:jc w:val="right"/>
              <w:ind w:right="748"/>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17,795</w:t>
            </w:r>
          </w:p>
        </w:tc>
        <w:tc>
          <w:tcPr>
            <w:tcW w:w="100" w:type="dxa"/>
            <w:vAlign w:val="bottom"/>
          </w:tcPr>
          <w:p>
            <w:pPr>
              <w:spacing w:after="0"/>
              <w:rPr>
                <w:sz w:val="12"/>
                <w:szCs w:val="12"/>
                <w:color w:val="auto"/>
              </w:rPr>
            </w:pPr>
          </w:p>
        </w:tc>
      </w:tr>
      <w:tr>
        <w:trPr>
          <w:trHeight w:val="148"/>
        </w:trPr>
        <w:tc>
          <w:tcPr>
            <w:tcW w:w="630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Tenant capital improvements</w:t>
            </w:r>
          </w:p>
        </w:tc>
        <w:tc>
          <w:tcPr>
            <w:tcW w:w="52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38,669</w:t>
            </w: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62,888</w:t>
            </w:r>
          </w:p>
        </w:tc>
        <w:tc>
          <w:tcPr>
            <w:tcW w:w="10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Talk America Services (“Talk America”) business, the wind down of which was substantially completed as of the end of the second quarter of 2020. The up-REIT structure is intended to facilitate future acquisition opportunities by providing the Company with the ability to use common units of the Operating Partnership as a tax-efficient acquisition currency. As of March 31, 2022, we are the sole general partner of the Operating Partnership and own approximately 99.8% of the partnership interests in the Operating Partnership.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February 25, 2022, as amended by Amendment No. 1 thereto filed on Form 10-K/A with the SEC on March 22, 2022 (the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Concentration of Credit Risks</w:t>
      </w:r>
      <w:r>
        <w:rPr>
          <w:rFonts w:ascii="Arial" w:cs="Arial" w:eastAsia="Arial" w:hAnsi="Arial"/>
          <w:sz w:val="18"/>
          <w:szCs w:val="18"/>
          <w:color w:val="auto"/>
        </w:rPr>
        <w:t>—Prior to September 2020, we were party to a long-term exclusive triple-net lease (the “Master Lease”) with Windstream Holdings, Inc. (together with Windstream Holdings II, LLC, its successor in interest, and its subsidiaries,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“Windstream”) pursuant to which a substantial portion of our real property was leased to Windstream and from which a substantial portion of our leasing revenues were derived. On September 18, 2020, Uniti and Windstream bifurcated the Master Lease and entered into two structurally similar master leases (collectively, the “Windstream Leases”), which amended and restated the Master Lease in its entirety. Revenue under the Windstream Leases provided</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66.9% and 66.3% of our revenue for the three months ended March 31, 2022 and 2021,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Additionally, the Windstream audited financial statements as of December 31, 2021, and for the year ended December 31, 2021, as of December 31, 2020 and for the period from September 22, 2020 to December 31, 2020 and for the period from January 1, 2020 to September 21, 2020 and for the year ended December 31, 2019 are included as an exhibit to our Annual Report. On September 22, 2020, Windstream filed a Form 15 to terminate all filing obligations under Sections 12(g) and 15(d) under the Exchange Act. Windstream filings are not incorporated by reference in this Quarterly Report on Form 10-Q.</w:t>
      </w:r>
    </w:p>
    <w:p>
      <w:pPr>
        <w:spacing w:after="0" w:line="19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rPr>
        <w:t>—Certain prior year asset and liability categories and related amounts have been reclassified to conform with current year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Stock Compensation (Topic 718), and Derivatives and Hedging—Contracts in Entity’s Own Equity (Subtopic 815- 40)</w:t>
      </w:r>
      <w:r>
        <w:rPr>
          <w:rFonts w:ascii="Arial" w:cs="Arial" w:eastAsia="Arial" w:hAnsi="Arial"/>
          <w:sz w:val="18"/>
          <w:szCs w:val="18"/>
          <w:color w:val="auto"/>
        </w:rPr>
        <w:t>: Issuer’s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Certain Modifications or Exchanges of Freestanding Equity-Classified Written Call Options, which clarifies and reduces diversity in an issuer’s accounting for modifications or exchanges of freestanding equity-classified written call options (for example, warrants) that remain equity classified after modification or exchange (“ASU 2021-04”). ASU 2021-04 is effective for all entities for fiscal years beginning after December 15, 2021, including interim periods within those fiscal years. The Company adopted ASU 2021-04 effective January 1, 2022, and there was no impact on our consolidated financial statements.</w:t>
      </w:r>
    </w:p>
    <w:p>
      <w:pPr>
        <w:spacing w:after="0" w:line="1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July 2021, the FASB issued ASU 2021-05, Leases (Topic 842): Lessors—Certain Leases with Variable Lease Payments (“ASU 2021-05”), which requires lessors to classify leases as operating leases if they (1) have variable lease payments that do not depend on a reference index or rate, and (2) would have resulted in the recognition of a selling loss at lease commencement if classified as sales-type or direct financing. ASU 2021-05 is effective for all entities which have previously adopted Topic 842 for fiscal years beginning after December 15, 2021, including interim periods within those fiscal years. The Company adopted ASU 2021-05 effective January 1, 2022, and there was no impact on our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8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8"/>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Note 3. Revenues</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Disaggregation of Revenue</w:t>
            </w: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820" w:type="dxa"/>
            <w:vAlign w:val="bottom"/>
            <w:gridSpan w:val="3"/>
          </w:tcPr>
          <w:p>
            <w:pPr>
              <w:spacing w:after="0"/>
              <w:rPr>
                <w:sz w:val="20"/>
                <w:szCs w:val="20"/>
                <w:color w:val="auto"/>
              </w:rPr>
            </w:pPr>
            <w:r>
              <w:rPr>
                <w:rFonts w:ascii="Arial" w:cs="Arial" w:eastAsia="Arial" w:hAnsi="Arial"/>
                <w:sz w:val="18"/>
                <w:szCs w:val="18"/>
                <w:color w:val="auto"/>
              </w:rPr>
              <w:t>The following table presents our revenues disaggregated by revenue stream.</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20" w:type="dxa"/>
            <w:vAlign w:val="bottom"/>
            <w:gridSpan w:val="3"/>
          </w:tcPr>
          <w:p>
            <w:pPr>
              <w:spacing w:after="0"/>
              <w:rPr>
                <w:sz w:val="20"/>
                <w:szCs w:val="20"/>
                <w:color w:val="auto"/>
              </w:rPr>
            </w:pPr>
            <w:r>
              <w:rPr>
                <w:rFonts w:ascii="Arial" w:cs="Arial" w:eastAsia="Arial" w:hAnsi="Arial"/>
                <w:sz w:val="18"/>
                <w:szCs w:val="18"/>
                <w:color w:val="auto"/>
              </w:rPr>
              <w:t>Revenue from contracts with customers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20" w:type="dxa"/>
            <w:vAlign w:val="bottom"/>
            <w:gridSpan w:val="3"/>
          </w:tcPr>
          <w:p>
            <w:pPr>
              <w:ind w:left="380"/>
              <w:spacing w:after="0"/>
              <w:rPr>
                <w:sz w:val="20"/>
                <w:szCs w:val="20"/>
                <w:color w:val="auto"/>
              </w:rPr>
            </w:pPr>
            <w:r>
              <w:rPr>
                <w:rFonts w:ascii="Arial" w:cs="Arial" w:eastAsia="Arial" w:hAnsi="Arial"/>
                <w:sz w:val="18"/>
                <w:szCs w:val="18"/>
                <w:color w:val="auto"/>
              </w:rPr>
              <w:t>Lit backhaul</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19,438</w:t>
            </w:r>
          </w:p>
        </w:tc>
        <w:tc>
          <w:tcPr>
            <w:tcW w:w="32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25,044</w:t>
            </w:r>
          </w:p>
        </w:tc>
        <w:tc>
          <w:tcPr>
            <w:tcW w:w="100" w:type="dxa"/>
            <w:vAlign w:val="bottom"/>
          </w:tcPr>
          <w:p>
            <w:pPr>
              <w:spacing w:after="0"/>
              <w:rPr>
                <w:sz w:val="19"/>
                <w:szCs w:val="19"/>
                <w:color w:val="auto"/>
              </w:rPr>
            </w:pPr>
          </w:p>
        </w:tc>
      </w:tr>
      <w:tr>
        <w:trPr>
          <w:trHeight w:val="229"/>
        </w:trPr>
        <w:tc>
          <w:tcPr>
            <w:tcW w:w="682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FF0FC"/>
          </w:tcPr>
          <w:p>
            <w:pPr>
              <w:spacing w:after="0"/>
              <w:rPr>
                <w:sz w:val="19"/>
                <w:szCs w:val="19"/>
                <w:color w:val="auto"/>
              </w:rPr>
            </w:pPr>
          </w:p>
        </w:tc>
      </w:tr>
      <w:tr>
        <w:trPr>
          <w:trHeight w:val="230"/>
        </w:trPr>
        <w:tc>
          <w:tcPr>
            <w:tcW w:w="6820" w:type="dxa"/>
            <w:vAlign w:val="bottom"/>
            <w:gridSpan w:val="3"/>
          </w:tcPr>
          <w:p>
            <w:pPr>
              <w:ind w:left="380"/>
              <w:spacing w:after="0"/>
              <w:rPr>
                <w:sz w:val="20"/>
                <w:szCs w:val="20"/>
                <w:color w:val="auto"/>
              </w:rPr>
            </w:pPr>
            <w:r>
              <w:rPr>
                <w:rFonts w:ascii="Arial" w:cs="Arial" w:eastAsia="Arial" w:hAnsi="Arial"/>
                <w:sz w:val="18"/>
                <w:szCs w:val="18"/>
                <w:color w:val="auto"/>
              </w:rPr>
              <w:t>E-Rate and government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14,276</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19,364</w:t>
            </w:r>
          </w:p>
        </w:tc>
        <w:tc>
          <w:tcPr>
            <w:tcW w:w="100" w:type="dxa"/>
            <w:vAlign w:val="bottom"/>
          </w:tcPr>
          <w:p>
            <w:pPr>
              <w:spacing w:after="0"/>
              <w:rPr>
                <w:sz w:val="19"/>
                <w:szCs w:val="19"/>
                <w:color w:val="auto"/>
              </w:rPr>
            </w:pPr>
          </w:p>
        </w:tc>
      </w:tr>
      <w:tr>
        <w:trPr>
          <w:trHeight w:val="229"/>
        </w:trPr>
        <w:tc>
          <w:tcPr>
            <w:tcW w:w="682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3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gridSpan w:val="3"/>
          </w:tcPr>
          <w:p>
            <w:pPr>
              <w:ind w:left="140"/>
              <w:spacing w:after="0"/>
              <w:rPr>
                <w:sz w:val="20"/>
                <w:szCs w:val="20"/>
                <w:color w:val="auto"/>
              </w:rPr>
            </w:pPr>
            <w:r>
              <w:rPr>
                <w:rFonts w:ascii="Arial" w:cs="Arial" w:eastAsia="Arial" w:hAnsi="Arial"/>
                <w:sz w:val="18"/>
                <w:szCs w:val="18"/>
                <w:color w:val="auto"/>
              </w:rPr>
              <w:t>Fiber Infrastructure</w:t>
            </w:r>
          </w:p>
        </w:tc>
        <w:tc>
          <w:tcPr>
            <w:tcW w:w="2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55,310</w:t>
            </w:r>
          </w:p>
        </w:tc>
        <w:tc>
          <w:tcPr>
            <w:tcW w:w="32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66,224</w:t>
            </w:r>
          </w:p>
        </w:tc>
        <w:tc>
          <w:tcPr>
            <w:tcW w:w="100" w:type="dxa"/>
            <w:vAlign w:val="bottom"/>
          </w:tcPr>
          <w:p>
            <w:pPr>
              <w:spacing w:after="0"/>
              <w:rPr>
                <w:sz w:val="19"/>
                <w:szCs w:val="19"/>
                <w:color w:val="auto"/>
              </w:rPr>
            </w:pPr>
          </w:p>
        </w:tc>
      </w:tr>
      <w:tr>
        <w:trPr>
          <w:trHeight w:val="229"/>
        </w:trPr>
        <w:tc>
          <w:tcPr>
            <w:tcW w:w="6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Leasing</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3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gridSpan w:val="3"/>
          </w:tcPr>
          <w:p>
            <w:pPr>
              <w:spacing w:after="0"/>
              <w:rPr>
                <w:sz w:val="20"/>
                <w:szCs w:val="20"/>
                <w:color w:val="auto"/>
              </w:rPr>
            </w:pPr>
            <w:r>
              <w:rPr>
                <w:rFonts w:ascii="Arial" w:cs="Arial" w:eastAsia="Arial" w:hAnsi="Arial"/>
                <w:sz w:val="18"/>
                <w:szCs w:val="18"/>
                <w:color w:val="auto"/>
              </w:rPr>
              <w:t>Total revenue from contracts with customers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56,469</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67,391</w:t>
            </w:r>
          </w:p>
        </w:tc>
        <w:tc>
          <w:tcPr>
            <w:tcW w:w="100" w:type="dxa"/>
            <w:vAlign w:val="bottom"/>
          </w:tcPr>
          <w:p>
            <w:pPr>
              <w:spacing w:after="0"/>
              <w:rPr>
                <w:sz w:val="19"/>
                <w:szCs w:val="19"/>
                <w:color w:val="auto"/>
              </w:rPr>
            </w:pPr>
          </w:p>
        </w:tc>
      </w:tr>
      <w:tr>
        <w:trPr>
          <w:trHeight w:val="229"/>
        </w:trPr>
        <w:tc>
          <w:tcPr>
            <w:tcW w:w="68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Revenue accounted for under leasing guidance</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820" w:type="dxa"/>
            <w:vAlign w:val="bottom"/>
            <w:gridSpan w:val="3"/>
          </w:tcPr>
          <w:p>
            <w:pPr>
              <w:ind w:left="140"/>
              <w:spacing w:after="0"/>
              <w:rPr>
                <w:sz w:val="20"/>
                <w:szCs w:val="20"/>
                <w:color w:val="auto"/>
              </w:rPr>
            </w:pPr>
            <w:r>
              <w:rPr>
                <w:rFonts w:ascii="Arial" w:cs="Arial" w:eastAsia="Arial" w:hAnsi="Arial"/>
                <w:sz w:val="18"/>
                <w:szCs w:val="18"/>
                <w:color w:val="auto"/>
              </w:rPr>
              <w:t>Leasing</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203,482</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193,769</w:t>
            </w:r>
          </w:p>
        </w:tc>
        <w:tc>
          <w:tcPr>
            <w:tcW w:w="100" w:type="dxa"/>
            <w:vAlign w:val="bottom"/>
          </w:tcPr>
          <w:p>
            <w:pPr>
              <w:spacing w:after="0"/>
              <w:rPr>
                <w:sz w:val="19"/>
                <w:szCs w:val="19"/>
                <w:color w:val="auto"/>
              </w:rPr>
            </w:pPr>
          </w:p>
        </w:tc>
      </w:tr>
      <w:tr>
        <w:trPr>
          <w:trHeight w:val="230"/>
        </w:trPr>
        <w:tc>
          <w:tcPr>
            <w:tcW w:w="68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18,083</w:t>
            </w:r>
          </w:p>
        </w:tc>
        <w:tc>
          <w:tcPr>
            <w:tcW w:w="3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11,426</w:t>
            </w:r>
          </w:p>
        </w:tc>
        <w:tc>
          <w:tcPr>
            <w:tcW w:w="100" w:type="dxa"/>
            <w:vAlign w:val="bottom"/>
            <w:shd w:val="clear" w:color="auto" w:fill="CFF0FC"/>
          </w:tcPr>
          <w:p>
            <w:pPr>
              <w:spacing w:after="0"/>
              <w:rPr>
                <w:sz w:val="19"/>
                <w:szCs w:val="19"/>
                <w:color w:val="auto"/>
              </w:rPr>
            </w:pPr>
          </w:p>
        </w:tc>
      </w:tr>
      <w:tr>
        <w:trPr>
          <w:trHeight w:val="223"/>
        </w:trPr>
        <w:tc>
          <w:tcPr>
            <w:tcW w:w="6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revenue accounted for under leasing guidance</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221,565</w:t>
            </w:r>
          </w:p>
        </w:tc>
        <w:tc>
          <w:tcPr>
            <w:tcW w:w="3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205,195</w:t>
            </w:r>
          </w:p>
        </w:tc>
        <w:tc>
          <w:tcPr>
            <w:tcW w:w="10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278,034</w:t>
            </w:r>
          </w:p>
        </w:tc>
        <w:tc>
          <w:tcPr>
            <w:tcW w:w="3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2022, and December 31, 2021, lease receivables were $19.0 million and $19.4 million, respectively, and receivables from contracts with customers were $19.3 million and $14.7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months ended March 31, 2022, we recognized revenues of $1.8 million which was included in the December 31, 2021 contract liabilities balance.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ASC 606.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 Liabilities</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Balance at March 31, 2022</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9,869</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March 31, 2022, our future revenues (i.e., transaction price related to remaining performance obligations) under contract accounted for under ASC 606 totaled $441.9 million, of which $336.1 million is related to contracts that are currently being invoiced and have an average remaining contract term of 1.7 years, while $105.8 million represents our backlog for sales bookings which have yet to be installed and have an average remaining contract term of 5.6 years. We do not disclose the value of unsatisfied performance obligations for contracts that have an original expected duration of one year or less.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lease communications towers, ground, colocation,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months ended March 31, 2022 and 2021, respectively,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20" w:type="dxa"/>
            <w:vAlign w:val="bottom"/>
          </w:tcPr>
          <w:p>
            <w:pPr>
              <w:jc w:val="right"/>
              <w:ind w:right="739"/>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9"/>
                <w:szCs w:val="19"/>
                <w:color w:val="auto"/>
              </w:rPr>
            </w:pPr>
          </w:p>
        </w:tc>
      </w:tr>
      <w:tr>
        <w:trPr>
          <w:trHeight w:val="223"/>
        </w:trPr>
        <w:tc>
          <w:tcPr>
            <w:tcW w:w="6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221,565</w:t>
            </w:r>
          </w:p>
        </w:tc>
        <w:tc>
          <w:tcPr>
            <w:tcW w:w="3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205,195</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are as of March 31, 2022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14"/>
                <w:szCs w:val="14"/>
                <w:color w:val="auto"/>
              </w:rPr>
            </w:pPr>
          </w:p>
        </w:tc>
        <w:tc>
          <w:tcPr>
            <w:tcW w:w="2200" w:type="dxa"/>
            <w:vAlign w:val="bottom"/>
            <w:gridSpan w:val="2"/>
          </w:tcPr>
          <w:p>
            <w:pPr>
              <w:ind w:left="280"/>
              <w:spacing w:after="0"/>
              <w:rPr>
                <w:sz w:val="20"/>
                <w:szCs w:val="20"/>
                <w:color w:val="auto"/>
              </w:rPr>
            </w:pPr>
            <w:r>
              <w:rPr>
                <w:rFonts w:ascii="Arial" w:cs="Arial" w:eastAsia="Arial" w:hAnsi="Arial"/>
                <w:sz w:val="14"/>
                <w:szCs w:val="14"/>
                <w:b w:val="1"/>
                <w:bCs w:val="1"/>
                <w:color w:val="auto"/>
              </w:rPr>
              <w:t xml:space="preserve">March 31, 2022 </w:t>
            </w:r>
            <w:r>
              <w:rPr>
                <w:rFonts w:ascii="Arial" w:cs="Arial" w:eastAsia="Arial" w:hAnsi="Arial"/>
                <w:sz w:val="12"/>
                <w:szCs w:val="12"/>
                <w:b w:val="1"/>
                <w:bCs w:val="1"/>
                <w:color w:val="auto"/>
              </w:rPr>
              <w:t>(1)</w:t>
            </w:r>
          </w:p>
        </w:tc>
      </w:tr>
      <w:tr>
        <w:trPr>
          <w:trHeight w:val="223"/>
        </w:trPr>
        <w:tc>
          <w:tcPr>
            <w:tcW w:w="8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566,495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772,167</w:t>
            </w:r>
          </w:p>
        </w:tc>
        <w:tc>
          <w:tcPr>
            <w:tcW w:w="12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774,111</w:t>
            </w:r>
          </w:p>
        </w:tc>
        <w:tc>
          <w:tcPr>
            <w:tcW w:w="120" w:type="dxa"/>
            <w:vAlign w:val="bottom"/>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775,326</w:t>
            </w:r>
          </w:p>
        </w:tc>
        <w:tc>
          <w:tcPr>
            <w:tcW w:w="12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776,735</w:t>
            </w:r>
          </w:p>
        </w:tc>
        <w:tc>
          <w:tcPr>
            <w:tcW w:w="120" w:type="dxa"/>
            <w:vAlign w:val="bottom"/>
            <w:shd w:val="clear" w:color="auto" w:fill="CFF0FC"/>
          </w:tcPr>
          <w:p>
            <w:pPr>
              <w:spacing w:after="0"/>
              <w:rPr>
                <w:sz w:val="19"/>
                <w:szCs w:val="19"/>
                <w:color w:val="auto"/>
              </w:rPr>
            </w:pPr>
          </w:p>
        </w:tc>
      </w:tr>
      <w:tr>
        <w:trPr>
          <w:trHeight w:val="230"/>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3,033,462</w:t>
            </w:r>
          </w:p>
        </w:tc>
        <w:tc>
          <w:tcPr>
            <w:tcW w:w="120" w:type="dxa"/>
            <w:vAlign w:val="bottom"/>
            <w:tcBorders>
              <w:bottom w:val="single" w:sz="8" w:color="CFF0FC"/>
            </w:tcBorders>
          </w:tcPr>
          <w:p>
            <w:pPr>
              <w:spacing w:after="0"/>
              <w:rPr>
                <w:sz w:val="19"/>
                <w:szCs w:val="19"/>
                <w:color w:val="auto"/>
              </w:rPr>
            </w:pPr>
          </w:p>
        </w:tc>
      </w:tr>
      <w:tr>
        <w:trPr>
          <w:trHeight w:val="223"/>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6,698,296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3240" w:firstLine="8"/>
        <w:spacing w:after="0" w:line="602" w:lineRule="auto"/>
        <w:tabs>
          <w:tab w:leader="none" w:pos="223" w:val="left"/>
        </w:tabs>
        <w:numPr>
          <w:ilvl w:val="0"/>
          <w:numId w:val="5"/>
        </w:numPr>
        <w:rPr>
          <w:rFonts w:ascii="Arial" w:cs="Arial" w:eastAsia="Arial" w:hAnsi="Arial"/>
          <w:sz w:val="13"/>
          <w:szCs w:val="13"/>
          <w:color w:val="auto"/>
        </w:rPr>
      </w:pPr>
      <w:r>
        <w:rPr>
          <w:rFonts w:ascii="Arial" w:cs="Arial" w:eastAsia="Arial" w:hAnsi="Arial"/>
          <w:sz w:val="16"/>
          <w:szCs w:val="16"/>
          <w:color w:val="auto"/>
        </w:rPr>
        <w:t>Total future minimum lease payments to be received include $5.7 billion relating to the Windstream Leases. The underlying assets under operating leases where we are the lessor are summarized as follows:</w:t>
      </w: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20"/>
                <w:szCs w:val="20"/>
                <w:color w:val="auto"/>
              </w:rPr>
            </w:pPr>
            <w:r>
              <w:rPr>
                <w:rFonts w:ascii="Arial" w:cs="Arial" w:eastAsia="Arial" w:hAnsi="Arial"/>
                <w:sz w:val="14"/>
                <w:szCs w:val="14"/>
                <w:color w:val="auto"/>
              </w:rPr>
              <w:t>(Thousands)</w:t>
            </w: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2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343,934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343,624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Poles</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285,474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Fiber</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3,317,265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3,278,276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Copper</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3,933,940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3,918,281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Conduit</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89,859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Tower assets</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3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8,037,580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7,978,363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(5,433,927)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(5,391,479)</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Underlying assets under operating leases, net</w:t>
            </w:r>
          </w:p>
        </w:tc>
        <w:tc>
          <w:tcPr>
            <w:tcW w:w="23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2,603,653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2,586,884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40" w:type="dxa"/>
            <w:vAlign w:val="bottom"/>
            <w:vMerge w:val="restart"/>
          </w:tcPr>
          <w:p>
            <w:pPr>
              <w:jc w:val="right"/>
              <w:ind w:right="9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44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months ended March 31, 2022 and 2021, respectively, is summarized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jc w:val="right"/>
              <w:ind w:right="7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9"/>
                <w:szCs w:val="19"/>
                <w:color w:val="auto"/>
              </w:rPr>
            </w:pP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Depreciation expense for underlying assets under operating leases</w:t>
            </w:r>
          </w:p>
        </w:tc>
        <w:tc>
          <w:tcPr>
            <w:tcW w:w="16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43,187</w:t>
            </w:r>
          </w:p>
        </w:tc>
        <w:tc>
          <w:tcPr>
            <w:tcW w:w="3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45,913</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commitments under operating leases for communications towers, ground, colocation, dark fiber lease arrangements, and buildings. We also have finance leases for dark fiber lease arrangements and other communications equipment. Our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we have short term lease commitments amounting to approximately $2.5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non-cancellable leases as of March 31, 2022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13,515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14,749</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24,878</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(28,290)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(9,734)</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Unconsolidated Entities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212529"/>
        </w:rPr>
        <w:t>As of March 31, 2022, the Company had an aggregate investment of $64.3 million in its equity method unconsolidated entities, which included a 42% interest in BB Fiber Holdings LLC (“Fiber Holdings”) and a 7% interest in Harmoni Towers LP (“Harmoni”).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Fiber Holdings </w:t>
      </w:r>
      <w:r>
        <w:rPr>
          <w:rFonts w:ascii="Arial" w:cs="Arial" w:eastAsia="Arial" w:hAnsi="Arial"/>
          <w:sz w:val="18"/>
          <w:szCs w:val="18"/>
          <w:color w:val="000000"/>
        </w:rPr>
        <w:t>was primarily established to develop fiber networks as real estate property for long-term investment. On July 1, 2020, the</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Company completed the sale of an ownership stake in the entity that controls the Company’s Midwest fiber network assets (the “Propco”). 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8"/>
          <w:szCs w:val="18"/>
          <w:color w:val="212529"/>
        </w:rPr>
        <w:t>Fiber Holdings</w:t>
      </w:r>
      <w:r>
        <w:rPr>
          <w:rFonts w:ascii="Arial" w:cs="Arial" w:eastAsia="Arial" w:hAnsi="Arial"/>
          <w:sz w:val="18"/>
          <w:szCs w:val="18"/>
          <w:color w:val="auto"/>
        </w:rPr>
        <w:t xml:space="preserve"> was approximately $39.6 million as of March 31, 2022. The Company has not provided financial support to </w:t>
      </w:r>
      <w:r>
        <w:rPr>
          <w:rFonts w:ascii="Arial" w:cs="Arial" w:eastAsia="Arial" w:hAnsi="Arial"/>
          <w:sz w:val="18"/>
          <w:szCs w:val="18"/>
          <w:color w:val="212529"/>
        </w:rPr>
        <w:t>Fiber</w:t>
      </w:r>
      <w:r>
        <w:rPr>
          <w:rFonts w:ascii="Arial" w:cs="Arial" w:eastAsia="Arial" w:hAnsi="Arial"/>
          <w:sz w:val="18"/>
          <w:szCs w:val="18"/>
          <w:color w:val="auto"/>
        </w:rPr>
        <w:t xml:space="preserve"> </w:t>
      </w:r>
      <w:r>
        <w:rPr>
          <w:rFonts w:ascii="Arial" w:cs="Arial" w:eastAsia="Arial" w:hAnsi="Arial"/>
          <w:sz w:val="18"/>
          <w:szCs w:val="18"/>
          <w:color w:val="212529"/>
        </w:rPr>
        <w:t>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Harmoni</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Harmoni was primarily established to develop wireless communication towers as real estate property for long-term investment. We concluded that Harmoni is a VIE; however, the Company determined that it was not the primary beneficiary of Harmoni because the Company lacks the power to direct the activities that most significantly impact its economic performance. The Company’s current investment and maximum exposure to loss as a result of its involvement with Harmoni was approximately $24.7 million as of March 31, 2022. The Company has not provided financial support to Harmoni.</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We provided transition services to Harmoni through January 31, 2022 in exchange for fees and reimbursements. Total transition service fees earned in connection with Harmoni were less than $0.1 million and $0.1 million for the three months ended March 31, 2022 and 2021, respectively, which is included in operating expense on a net basis in our Condensed Consolidated Statements of Income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78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derivative assets and liabilities, our outstanding notes and other debt, settlement payable, contingent consideration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March 31, 2022 and December 31,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59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March 31, 2022</w:t>
            </w: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2,318,873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2,318,873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Senior secured notes - 4.75%, due April 15, 2028</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522,419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522,419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unsecured notes - 6.50% , due February 15, 2029</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995,226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995,226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Senior unsecured notes - 6.00%, due January 15, 2030</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605,822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605,822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Exchangeable senior notes - 4.00%, due June 15, 2024</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460,354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460,354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w w:val="94"/>
              </w:rPr>
              <w:t>Senior secured revolving credit facility, variable rate, due December 10, 2024</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224,978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Settlement payable</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245,750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Derivative liability, net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7,269</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7,269</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5,380,691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5,380,691</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554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5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Quoted Prices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Prices with</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 Active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23"/>
        </w:trPr>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2021</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2,351,576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2,351,576</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rPr>
                <w:sz w:val="20"/>
                <w:szCs w:val="20"/>
                <w:color w:val="auto"/>
              </w:rPr>
            </w:pPr>
            <w:r>
              <w:rPr>
                <w:rFonts w:ascii="Arial" w:cs="Arial" w:eastAsia="Arial" w:hAnsi="Arial"/>
                <w:sz w:val="18"/>
                <w:szCs w:val="18"/>
                <w:color w:val="auto"/>
              </w:rPr>
              <w:t>Senior secured notes - 4.75%, due April 15, 2028</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560,857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560,857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unsecured notes - 6.50% , due February 15, 2029</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1,087,844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1,087,844</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140"/>
              <w:spacing w:after="0"/>
              <w:rPr>
                <w:sz w:val="20"/>
                <w:szCs w:val="20"/>
                <w:color w:val="auto"/>
              </w:rPr>
            </w:pPr>
            <w:r>
              <w:rPr>
                <w:rFonts w:ascii="Arial" w:cs="Arial" w:eastAsia="Arial" w:hAnsi="Arial"/>
                <w:sz w:val="18"/>
                <w:szCs w:val="18"/>
                <w:color w:val="auto"/>
              </w:rPr>
              <w:t>Senior unsecured notes - 6.00%, due January 15, 2030</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659,992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659,992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Exchangeable senior notes - 4.00%, due June 15, 2024</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453,104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453,104</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rPr>
                <w:sz w:val="20"/>
                <w:szCs w:val="20"/>
                <w:color w:val="auto"/>
              </w:rPr>
            </w:pPr>
            <w:r>
              <w:rPr>
                <w:rFonts w:ascii="Arial" w:cs="Arial" w:eastAsia="Arial" w:hAnsi="Arial"/>
                <w:sz w:val="18"/>
                <w:szCs w:val="18"/>
                <w:color w:val="auto"/>
                <w:w w:val="97"/>
              </w:rPr>
              <w:t>Senior secured revolving credit facility, variable rate, due   December 10, 2024</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199,980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199,980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Settlement payable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254,725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254,725</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Derivative liability, net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5,578,491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5,578,491</w:t>
            </w: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768"/>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2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total principal balance of our outstanding notes and other debt was $5.20 billion at March 31, 2022, with a fair value of $5.13 billion. The estimated fair value of our outstanding notes and other debt was based on available external pricing data and current market rates for similar debt instruments, among </w:t>
      </w:r>
      <w:hyperlink w:anchor="page17">
        <w:r>
          <w:rPr>
            <w:rFonts w:ascii="Arial" w:cs="Arial" w:eastAsia="Arial" w:hAnsi="Arial"/>
            <w:sz w:val="17"/>
            <w:szCs w:val="17"/>
            <w:color w:val="auto"/>
          </w:rPr>
          <w:t xml:space="preserve">other factors, which are classified as Level 2 inputs within the fair value hierarchy. Derivative assets and liabilities are carried at fair value. </w:t>
        </w:r>
        <w:r>
          <w:rPr>
            <w:rFonts w:ascii="Arial" w:cs="Arial" w:eastAsia="Arial" w:hAnsi="Arial"/>
            <w:sz w:val="17"/>
            <w:szCs w:val="17"/>
            <w:u w:val="single" w:color="auto"/>
            <w:color w:val="0000EE"/>
          </w:rPr>
          <w:t>See Note 8. The</w:t>
        </w:r>
      </w:hyperlink>
      <w:r>
        <w:rPr>
          <w:rFonts w:ascii="Arial" w:cs="Arial" w:eastAsia="Arial" w:hAnsi="Arial"/>
          <w:sz w:val="17"/>
          <w:szCs w:val="17"/>
          <w:color w:val="auto"/>
        </w:rPr>
        <w:t xml:space="preserve"> </w:t>
      </w:r>
      <w:hyperlink w:anchor="page17">
        <w:r>
          <w:rPr>
            <w:rFonts w:ascii="Arial" w:cs="Arial" w:eastAsia="Arial" w:hAnsi="Arial"/>
            <w:sz w:val="17"/>
            <w:szCs w:val="17"/>
            <w:u w:val="single" w:color="auto"/>
            <w:color w:val="0000EE"/>
          </w:rPr>
          <w:t>fair value of an interest rate swap is determined based on the present value of expected future cash flows using observable, quoted LIBOR swap rates for</w:t>
        </w:r>
      </w:hyperlink>
      <w:r>
        <w:rPr>
          <w:rFonts w:ascii="Arial" w:cs="Arial" w:eastAsia="Arial" w:hAnsi="Arial"/>
          <w:sz w:val="17"/>
          <w:szCs w:val="17"/>
          <w:u w:val="single" w:color="auto"/>
          <w:color w:val="0000EE"/>
        </w:rPr>
        <w:t xml:space="preserve"> </w:t>
      </w:r>
      <w:hyperlink w:anchor="page17">
        <w:r>
          <w:rPr>
            <w:rFonts w:ascii="Arial" w:cs="Arial" w:eastAsia="Arial" w:hAnsi="Arial"/>
            <w:sz w:val="17"/>
            <w:szCs w:val="17"/>
            <w:u w:val="single" w:color="auto"/>
            <w:color w:val="0000EE"/>
          </w:rPr>
          <w:t>the full term of the swap and also incorporate credit valuation adjustments to appropriately reflect both Uniti’s own non-performance risk and non-</w:t>
        </w:r>
      </w:hyperlink>
      <w:hyperlink w:anchor="page17">
        <w:r>
          <w:rPr>
            <w:rFonts w:ascii="Arial" w:cs="Arial" w:eastAsia="Arial" w:hAnsi="Arial"/>
            <w:sz w:val="17"/>
            <w:szCs w:val="17"/>
            <w:u w:val="single" w:color="auto"/>
            <w:color w:val="0000EE"/>
          </w:rPr>
          <w:t>performance risk of the respective counterparties. The Company has determined that the majority of the inputs used to value its derivative assets and</w:t>
        </w:r>
      </w:hyperlink>
      <w:r>
        <w:rPr>
          <w:rFonts w:ascii="Arial" w:cs="Arial" w:eastAsia="Arial" w:hAnsi="Arial"/>
          <w:sz w:val="17"/>
          <w:szCs w:val="17"/>
          <w:u w:val="single" w:color="auto"/>
          <w:color w:val="0000EE"/>
        </w:rPr>
        <w:t xml:space="preserve"> </w:t>
      </w:r>
      <w:hyperlink w:anchor="page17">
        <w:r>
          <w:rPr>
            <w:rFonts w:ascii="Arial" w:cs="Arial" w:eastAsia="Arial" w:hAnsi="Arial"/>
            <w:sz w:val="17"/>
            <w:szCs w:val="17"/>
            <w:u w:val="single" w:color="auto"/>
            <w:color w:val="0000EE"/>
          </w:rPr>
          <w:t>liabilities fall within Level 2 of the fair value hierarchy; however, the associated credit valuation adjustments utilized Level 3 inputs, such as estimates of</w:t>
        </w:r>
      </w:hyperlink>
      <w:r>
        <w:rPr>
          <w:rFonts w:ascii="Arial" w:cs="Arial" w:eastAsia="Arial" w:hAnsi="Arial"/>
          <w:sz w:val="17"/>
          <w:szCs w:val="17"/>
          <w:u w:val="single" w:color="auto"/>
          <w:color w:val="0000EE"/>
        </w:rPr>
        <w:t xml:space="preserve"> </w:t>
      </w:r>
      <w:hyperlink w:anchor="page17">
        <w:r>
          <w:rPr>
            <w:rFonts w:ascii="Arial" w:cs="Arial" w:eastAsia="Arial" w:hAnsi="Arial"/>
            <w:sz w:val="17"/>
            <w:szCs w:val="17"/>
            <w:u w:val="single" w:color="auto"/>
            <w:color w:val="0000EE"/>
          </w:rPr>
          <w:t>credit spreads, to evaluate the likelihood of default by the Company and its counterparties. As of March 31, 2022, the Company has assessed the</w:t>
        </w:r>
      </w:hyperlink>
      <w:r>
        <w:rPr>
          <w:rFonts w:ascii="Arial" w:cs="Arial" w:eastAsia="Arial" w:hAnsi="Arial"/>
          <w:sz w:val="17"/>
          <w:szCs w:val="17"/>
          <w:u w:val="single" w:color="auto"/>
          <w:color w:val="0000EE"/>
        </w:rPr>
        <w:t xml:space="preserve"> </w:t>
      </w:r>
      <w:hyperlink w:anchor="page17">
        <w:r>
          <w:rPr>
            <w:rFonts w:ascii="Arial" w:cs="Arial" w:eastAsia="Arial" w:hAnsi="Arial"/>
            <w:sz w:val="17"/>
            <w:szCs w:val="17"/>
            <w:u w:val="single" w:color="auto"/>
            <w:color w:val="0000EE"/>
          </w:rPr>
          <w:t>significance of the impact of the credit valuation adjustments on the overall valuation of its derivative positions and has determined that the credit valuation</w:t>
        </w:r>
      </w:hyperlink>
      <w:r>
        <w:rPr>
          <w:rFonts w:ascii="Arial" w:cs="Arial" w:eastAsia="Arial" w:hAnsi="Arial"/>
          <w:sz w:val="17"/>
          <w:szCs w:val="17"/>
          <w:u w:val="single" w:color="auto"/>
          <w:color w:val="0000EE"/>
        </w:rPr>
        <w:t xml:space="preserve"> </w:t>
      </w:r>
      <w:hyperlink w:anchor="page17">
        <w:r>
          <w:rPr>
            <w:rFonts w:ascii="Arial" w:cs="Arial" w:eastAsia="Arial" w:hAnsi="Arial"/>
            <w:sz w:val="17"/>
            <w:szCs w:val="17"/>
            <w:u w:val="single" w:color="auto"/>
            <w:color w:val="0000EE"/>
          </w:rPr>
          <w:t>adjustment is not significant to the overall value of the derivatives. As such, the Company classifies its derivative assets and liabilities valuation in Level 2</w:t>
        </w:r>
      </w:hyperlink>
      <w:r>
        <w:rPr>
          <w:rFonts w:ascii="Arial" w:cs="Arial" w:eastAsia="Arial" w:hAnsi="Arial"/>
          <w:sz w:val="17"/>
          <w:szCs w:val="17"/>
          <w:u w:val="single" w:color="auto"/>
          <w:color w:val="0000EE"/>
        </w:rPr>
        <w:t xml:space="preserve"> </w:t>
      </w:r>
      <w:hyperlink w:anchor="page17">
        <w:r>
          <w:rPr>
            <w:rFonts w:ascii="Arial" w:cs="Arial" w:eastAsia="Arial" w:hAnsi="Arial"/>
            <w:sz w:val="17"/>
            <w:szCs w:val="17"/>
            <w:u w:val="single" w:color="auto"/>
            <w:color w:val="0000EE"/>
          </w:rPr>
          <w:t>of the fair value hierarchy</w:t>
        </w:r>
        <w:r>
          <w:rPr>
            <w:rFonts w:ascii="Arial" w:cs="Arial" w:eastAsia="Arial" w:hAnsi="Arial"/>
            <w:sz w:val="17"/>
            <w:szCs w:val="17"/>
            <w:color w:val="000000"/>
          </w:rPr>
          <w:t>.</w:t>
        </w:r>
      </w:hyperlink>
    </w:p>
    <w:p>
      <w:pPr>
        <w:spacing w:after="0" w:line="182" w:lineRule="exact"/>
        <w:rPr>
          <w:rFonts w:ascii="Arial" w:cs="Arial" w:eastAsia="Arial" w:hAnsi="Arial"/>
          <w:sz w:val="17"/>
          <w:szCs w:val="17"/>
          <w:u w:val="single" w:color="auto"/>
          <w:color w:val="0000EE"/>
        </w:rPr>
      </w:pPr>
    </w:p>
    <w:p>
      <w:pPr>
        <w:ind w:right="40"/>
        <w:spacing w:after="0" w:line="311" w:lineRule="auto"/>
        <w:rPr>
          <w:rFonts w:ascii="Arial" w:cs="Arial" w:eastAsia="Arial" w:hAnsi="Arial"/>
          <w:sz w:val="16"/>
          <w:szCs w:val="16"/>
          <w:color w:val="auto"/>
        </w:rPr>
      </w:pPr>
      <w:r>
        <w:rPr>
          <w:rFonts w:ascii="Arial" w:cs="Arial" w:eastAsia="Arial" w:hAnsi="Arial"/>
          <w:sz w:val="16"/>
          <w:szCs w:val="16"/>
          <w:color w:val="auto"/>
        </w:rPr>
        <w:t>Given the limited trade activity of the Exchangeable Notes, the fair value of the Exchangeable Notes (</w:t>
      </w:r>
      <w:hyperlink w:anchor="page20">
        <w:r>
          <w:rPr>
            <w:rFonts w:ascii="Arial" w:cs="Arial" w:eastAsia="Arial" w:hAnsi="Arial"/>
            <w:sz w:val="16"/>
            <w:szCs w:val="16"/>
            <w:u w:val="single" w:color="auto"/>
            <w:color w:val="0000EE"/>
          </w:rPr>
          <w:t>see Note 10</w:t>
        </w:r>
      </w:hyperlink>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49" w:lineRule="exact"/>
        <w:rPr>
          <w:rFonts w:ascii="Arial" w:cs="Arial" w:eastAsia="Arial" w:hAnsi="Arial"/>
          <w:sz w:val="17"/>
          <w:szCs w:val="17"/>
          <w:u w:val="single" w:color="auto"/>
          <w:color w:val="0000EE"/>
        </w:rPr>
      </w:pPr>
    </w:p>
    <w:p>
      <w:pPr>
        <w:ind w:right="4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Uniti is required to make $490.1 million of cash payments to Windstream in equal installments over 20 consecutive quarters beginning the first month after Windstream’s emergence (the “Settlement Payable”). </w:t>
      </w:r>
      <w:hyperlink w:anchor="page24">
        <w:r>
          <w:rPr>
            <w:rFonts w:ascii="Arial" w:cs="Arial" w:eastAsia="Arial" w:hAnsi="Arial"/>
            <w:sz w:val="17"/>
            <w:szCs w:val="17"/>
            <w:u w:val="single" w:color="auto"/>
            <w:color w:val="0000EE"/>
          </w:rPr>
          <w:t>See Note 13</w:t>
        </w:r>
      </w:hyperlink>
      <w:r>
        <w:rPr>
          <w:rFonts w:ascii="Arial" w:cs="Arial" w:eastAsia="Arial" w:hAnsi="Arial"/>
          <w:sz w:val="17"/>
          <w:szCs w:val="17"/>
          <w:color w:val="auto"/>
          <w:highlight w:val="white"/>
        </w:rPr>
        <w:t>.</w:t>
      </w:r>
      <w:r>
        <w:rPr>
          <w:rFonts w:ascii="Arial" w:cs="Arial" w:eastAsia="Arial" w:hAnsi="Arial"/>
          <w:sz w:val="17"/>
          <w:szCs w:val="17"/>
          <w:color w:val="auto"/>
        </w:rPr>
        <w:t xml:space="preserve"> </w:t>
      </w:r>
      <w:r>
        <w:rPr>
          <w:rFonts w:ascii="Arial" w:cs="Arial" w:eastAsia="Arial" w:hAnsi="Arial"/>
          <w:sz w:val="17"/>
          <w:szCs w:val="17"/>
          <w:color w:val="auto"/>
          <w:highlight w:val="white"/>
        </w:rPr>
        <w:t>The Settlement Payable was recorded at fair value, using the present value of future</w:t>
      </w:r>
      <w:r>
        <w:rPr>
          <w:rFonts w:ascii="Arial" w:cs="Arial" w:eastAsia="Arial" w:hAnsi="Arial"/>
          <w:sz w:val="17"/>
          <w:szCs w:val="17"/>
          <w:color w:val="auto"/>
        </w:rPr>
        <w:t xml:space="preserve"> cash flows. The future cash flows are discounted using discount rate input based on observable market data. Accordingly, we classify inputs used as Level 2 in the fair value hierarchy. The remaining Settlement Payable is $242.3 million and is reported on our Condensed Consolidated Balance Sheet at March 31, 2022. There have been no changes in the valuation methodologies used since the initial recording.</w:t>
      </w:r>
    </w:p>
    <w:p>
      <w:pPr>
        <w:spacing w:after="0" w:line="200" w:lineRule="exact"/>
        <w:rPr>
          <w:rFonts w:ascii="Arial" w:cs="Arial" w:eastAsia="Arial" w:hAnsi="Arial"/>
          <w:sz w:val="17"/>
          <w:szCs w:val="17"/>
          <w:u w:val="single" w:color="auto"/>
          <w:color w:val="0000EE"/>
        </w:rPr>
      </w:pPr>
    </w:p>
    <w:p>
      <w:pPr>
        <w:spacing w:after="0" w:line="219"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property, plant and equipment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Depreciable Lives</w:t>
            </w:r>
          </w:p>
        </w:tc>
        <w:tc>
          <w:tcPr>
            <w:tcW w:w="300" w:type="dxa"/>
            <w:vAlign w:val="bottom"/>
          </w:tcPr>
          <w:p>
            <w:pPr>
              <w:spacing w:after="0"/>
              <w:rPr>
                <w:sz w:val="14"/>
                <w:szCs w:val="14"/>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3 - 40 years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360,572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359,980</w:t>
            </w:r>
          </w:p>
        </w:tc>
        <w:tc>
          <w:tcPr>
            <w:tcW w:w="120" w:type="dxa"/>
            <w:vAlign w:val="bottom"/>
          </w:tcPr>
          <w:p>
            <w:pPr>
              <w:spacing w:after="0"/>
              <w:rPr>
                <w:sz w:val="19"/>
                <w:szCs w:val="19"/>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Poles</w:t>
            </w:r>
          </w:p>
        </w:tc>
        <w:tc>
          <w:tcPr>
            <w:tcW w:w="1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 years</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285,474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281,130</w:t>
            </w:r>
          </w:p>
        </w:tc>
        <w:tc>
          <w:tcPr>
            <w:tcW w:w="120" w:type="dxa"/>
            <w:vAlign w:val="bottom"/>
            <w:shd w:val="clear" w:color="auto" w:fill="CFF0FC"/>
          </w:tcPr>
          <w:p>
            <w:pPr>
              <w:spacing w:after="0"/>
              <w:rPr>
                <w:sz w:val="19"/>
                <w:szCs w:val="19"/>
                <w:color w:val="auto"/>
              </w:rPr>
            </w:pPr>
          </w:p>
        </w:tc>
      </w:tr>
      <w:tr>
        <w:trPr>
          <w:trHeight w:val="229"/>
        </w:trPr>
        <w:tc>
          <w:tcPr>
            <w:tcW w:w="5120" w:type="dxa"/>
            <w:vAlign w:val="bottom"/>
            <w:gridSpan w:val="2"/>
          </w:tcPr>
          <w:p>
            <w:pPr>
              <w:spacing w:after="0"/>
              <w:rPr>
                <w:sz w:val="20"/>
                <w:szCs w:val="20"/>
                <w:color w:val="auto"/>
              </w:rPr>
            </w:pPr>
            <w:r>
              <w:rPr>
                <w:rFonts w:ascii="Arial" w:cs="Arial" w:eastAsia="Arial" w:hAnsi="Arial"/>
                <w:sz w:val="18"/>
                <w:szCs w:val="18"/>
                <w:color w:val="auto"/>
              </w:rPr>
              <w:t>Fiber</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30 years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4,164,962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4,107,519</w:t>
            </w:r>
          </w:p>
        </w:tc>
        <w:tc>
          <w:tcPr>
            <w:tcW w:w="120" w:type="dxa"/>
            <w:vAlign w:val="bottom"/>
          </w:tcPr>
          <w:p>
            <w:pPr>
              <w:spacing w:after="0"/>
              <w:rPr>
                <w:sz w:val="19"/>
                <w:szCs w:val="19"/>
                <w:color w:val="auto"/>
              </w:rPr>
            </w:pPr>
          </w:p>
        </w:tc>
      </w:tr>
      <w:tr>
        <w:trPr>
          <w:trHeight w:val="230"/>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w:t>
            </w:r>
          </w:p>
        </w:tc>
        <w:tc>
          <w:tcPr>
            <w:tcW w:w="1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5 - 7 years</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331,761</w:t>
            </w:r>
          </w:p>
        </w:tc>
        <w:tc>
          <w:tcPr>
            <w:tcW w:w="120" w:type="dxa"/>
            <w:vAlign w:val="bottom"/>
            <w:shd w:val="clear" w:color="auto" w:fill="CFF0FC"/>
          </w:tcPr>
          <w:p>
            <w:pPr>
              <w:spacing w:after="0"/>
              <w:rPr>
                <w:sz w:val="19"/>
                <w:szCs w:val="19"/>
                <w:color w:val="auto"/>
              </w:rPr>
            </w:pPr>
          </w:p>
        </w:tc>
      </w:tr>
      <w:tr>
        <w:trPr>
          <w:trHeight w:val="229"/>
        </w:trPr>
        <w:tc>
          <w:tcPr>
            <w:tcW w:w="5120" w:type="dxa"/>
            <w:vAlign w:val="bottom"/>
            <w:gridSpan w:val="2"/>
          </w:tcPr>
          <w:p>
            <w:pPr>
              <w:spacing w:after="0"/>
              <w:rPr>
                <w:sz w:val="20"/>
                <w:szCs w:val="20"/>
                <w:color w:val="auto"/>
              </w:rPr>
            </w:pPr>
            <w:r>
              <w:rPr>
                <w:rFonts w:ascii="Arial" w:cs="Arial" w:eastAsia="Arial" w:hAnsi="Arial"/>
                <w:sz w:val="18"/>
                <w:szCs w:val="18"/>
                <w:color w:val="auto"/>
              </w:rPr>
              <w:t>Copper</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20 years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3,933,940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3,918,281</w:t>
            </w:r>
          </w:p>
        </w:tc>
        <w:tc>
          <w:tcPr>
            <w:tcW w:w="120" w:type="dxa"/>
            <w:vAlign w:val="bottom"/>
          </w:tcPr>
          <w:p>
            <w:pPr>
              <w:spacing w:after="0"/>
              <w:rPr>
                <w:sz w:val="19"/>
                <w:szCs w:val="19"/>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Conduit</w:t>
            </w:r>
          </w:p>
        </w:tc>
        <w:tc>
          <w:tcPr>
            <w:tcW w:w="1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 years</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89,859</w:t>
            </w:r>
          </w:p>
        </w:tc>
        <w:tc>
          <w:tcPr>
            <w:tcW w:w="120" w:type="dxa"/>
            <w:vAlign w:val="bottom"/>
            <w:shd w:val="clear" w:color="auto" w:fill="CFF0FC"/>
          </w:tcPr>
          <w:p>
            <w:pPr>
              <w:spacing w:after="0"/>
              <w:rPr>
                <w:sz w:val="19"/>
                <w:szCs w:val="19"/>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Tower assets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20 years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8,544</w:t>
            </w:r>
          </w:p>
        </w:tc>
        <w:tc>
          <w:tcPr>
            <w:tcW w:w="120" w:type="dxa"/>
            <w:vAlign w:val="bottom"/>
          </w:tcPr>
          <w:p>
            <w:pPr>
              <w:spacing w:after="0"/>
              <w:rPr>
                <w:sz w:val="19"/>
                <w:szCs w:val="19"/>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1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72,284</w:t>
            </w:r>
          </w:p>
        </w:tc>
        <w:tc>
          <w:tcPr>
            <w:tcW w:w="120" w:type="dxa"/>
            <w:vAlign w:val="bottom"/>
            <w:shd w:val="clear" w:color="auto" w:fill="CFF0FC"/>
          </w:tcPr>
          <w:p>
            <w:pPr>
              <w:spacing w:after="0"/>
              <w:rPr>
                <w:sz w:val="19"/>
                <w:szCs w:val="19"/>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15 - 20 years</w:t>
            </w: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10,652</w:t>
            </w:r>
          </w:p>
        </w:tc>
        <w:tc>
          <w:tcPr>
            <w:tcW w:w="120" w:type="dxa"/>
            <w:vAlign w:val="bottom"/>
          </w:tcPr>
          <w:p>
            <w:pPr>
              <w:spacing w:after="0"/>
              <w:rPr>
                <w:sz w:val="19"/>
                <w:szCs w:val="19"/>
                <w:color w:val="auto"/>
              </w:rPr>
            </w:pPr>
          </w:p>
        </w:tc>
      </w:tr>
      <w:tr>
        <w:trPr>
          <w:trHeight w:val="229"/>
        </w:trPr>
        <w:tc>
          <w:tcPr>
            <w:tcW w:w="5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assets</w:t>
            </w:r>
          </w:p>
        </w:tc>
        <w:tc>
          <w:tcPr>
            <w:tcW w:w="1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3 - 7 years</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14,326</w:t>
            </w:r>
          </w:p>
        </w:tc>
        <w:tc>
          <w:tcPr>
            <w:tcW w:w="120" w:type="dxa"/>
            <w:vAlign w:val="bottom"/>
            <w:shd w:val="clear" w:color="auto" w:fill="CFF0FC"/>
          </w:tcPr>
          <w:p>
            <w:pPr>
              <w:spacing w:after="0"/>
              <w:rPr>
                <w:sz w:val="19"/>
                <w:szCs w:val="19"/>
                <w:color w:val="auto"/>
              </w:rPr>
            </w:pPr>
          </w:p>
        </w:tc>
      </w:tr>
      <w:tr>
        <w:trPr>
          <w:trHeight w:val="229"/>
        </w:trPr>
        <w:tc>
          <w:tcPr>
            <w:tcW w:w="51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Construction in progress</w:t>
            </w:r>
          </w:p>
        </w:tc>
        <w:tc>
          <w:tcPr>
            <w:tcW w:w="174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27,366</w:t>
            </w:r>
          </w:p>
        </w:tc>
        <w:tc>
          <w:tcPr>
            <w:tcW w:w="120" w:type="dxa"/>
            <w:vAlign w:val="bottom"/>
            <w:tcBorders>
              <w:bottom w:val="single" w:sz="8" w:color="CFF0FC"/>
            </w:tcBorders>
          </w:tcPr>
          <w:p>
            <w:pPr>
              <w:spacing w:after="0"/>
              <w:rPr>
                <w:sz w:val="19"/>
                <w:szCs w:val="19"/>
                <w:color w:val="auto"/>
              </w:rPr>
            </w:pPr>
          </w:p>
        </w:tc>
      </w:tr>
      <w:tr>
        <w:trPr>
          <w:trHeight w:val="223"/>
        </w:trPr>
        <w:tc>
          <w:tcPr>
            <w:tcW w:w="4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9,350,464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9,250,151</w:t>
            </w:r>
          </w:p>
        </w:tc>
        <w:tc>
          <w:tcPr>
            <w:tcW w:w="120" w:type="dxa"/>
            <w:vAlign w:val="bottom"/>
            <w:shd w:val="clear" w:color="auto" w:fill="CFF0FC"/>
          </w:tcPr>
          <w:p>
            <w:pPr>
              <w:spacing w:after="0"/>
              <w:rPr>
                <w:sz w:val="19"/>
                <w:szCs w:val="19"/>
                <w:color w:val="auto"/>
              </w:rPr>
            </w:pPr>
          </w:p>
        </w:tc>
      </w:tr>
      <w:tr>
        <w:trPr>
          <w:trHeight w:val="229"/>
        </w:trPr>
        <w:tc>
          <w:tcPr>
            <w:tcW w:w="512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2"/>
          </w:tcPr>
          <w:p>
            <w:pPr>
              <w:jc w:val="right"/>
              <w:ind w:right="140"/>
              <w:spacing w:after="0"/>
              <w:rPr>
                <w:sz w:val="20"/>
                <w:szCs w:val="20"/>
                <w:color w:val="auto"/>
              </w:rPr>
            </w:pPr>
            <w:r>
              <w:rPr>
                <w:rFonts w:ascii="Arial" w:cs="Arial" w:eastAsia="Arial" w:hAnsi="Arial"/>
                <w:sz w:val="18"/>
                <w:szCs w:val="18"/>
                <w:color w:val="auto"/>
              </w:rPr>
              <w:t>(5,803,963)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(5,741,212)</w:t>
            </w:r>
          </w:p>
        </w:tc>
      </w:tr>
      <w:tr>
        <w:trPr>
          <w:trHeight w:val="223"/>
        </w:trPr>
        <w:tc>
          <w:tcPr>
            <w:tcW w:w="51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3,546,501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3,508,939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2022 and 2021 was $64.0 million and $66.2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Instruments and Hedging Activities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On April 27, 2015, we entered into fixed for floating interest rate swap agreements to mitigate the interest rate risk inherent in our variable rate senior secured term loan B facility. These interest rate swaps were designated as cash flow hedges and have a notional value of $2.0 billion and mature on October 24, 2022. </w:t>
      </w:r>
      <w:r>
        <w:rPr>
          <w:rFonts w:ascii="Arial" w:cs="Arial" w:eastAsia="Arial" w:hAnsi="Arial"/>
          <w:sz w:val="18"/>
          <w:szCs w:val="18"/>
          <w:color w:val="1F2322"/>
        </w:rPr>
        <w:t>As result of the repayment of the Company’s senior secured term loan B facility in February 2020, the Company entered into receive-fixed</w:t>
      </w:r>
      <w:r>
        <w:rPr>
          <w:rFonts w:ascii="Arial" w:cs="Arial" w:eastAsia="Arial" w:hAnsi="Arial"/>
          <w:sz w:val="18"/>
          <w:szCs w:val="18"/>
          <w:color w:val="auto"/>
        </w:rPr>
        <w:t xml:space="preserve"> </w:t>
      </w:r>
      <w:r>
        <w:rPr>
          <w:rFonts w:ascii="Arial" w:cs="Arial" w:eastAsia="Arial" w:hAnsi="Arial"/>
          <w:sz w:val="18"/>
          <w:szCs w:val="18"/>
          <w:color w:val="1F2322"/>
        </w:rPr>
        <w:t>interest rate swaps to offset its existing pay-fixed interest rate swaps. As a result, the Company discontinued hedge accounting as the hedge accounting requirements were no longer met. Amounts in accumulated other comprehensive (loss) income as of the date of de-designation, will be reclassified to interest expense as the hedged transactions impact earnings. Prospectively, changes in fair value of all interest rate swaps will be recorded directly to earnings.</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Condensed Consolidated Balance Sheets. The following tables present the gross amounts of our derivative instruments subject to master netting arrangements with the same counterparty as of March 31, 2022 and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Gross Amounts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Gross Amounts Offset 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the Condensed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Liabilities presented in the</w:t>
            </w:r>
          </w:p>
        </w:tc>
        <w:tc>
          <w:tcPr>
            <w:tcW w:w="0" w:type="dxa"/>
            <w:vAlign w:val="bottom"/>
          </w:tcPr>
          <w:p>
            <w:pPr>
              <w:spacing w:after="0"/>
              <w:rPr>
                <w:sz w:val="1"/>
                <w:szCs w:val="1"/>
                <w:color w:val="auto"/>
              </w:rPr>
            </w:pPr>
          </w:p>
        </w:tc>
      </w:tr>
      <w:tr>
        <w:trPr>
          <w:trHeight w:val="148"/>
        </w:trPr>
        <w:tc>
          <w:tcPr>
            <w:tcW w:w="4800" w:type="dxa"/>
            <w:vAlign w:val="bottom"/>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7"/>
              </w:rPr>
              <w:t>Recognized Assets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Sheets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March 31, 2022</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FF0FC"/>
          </w:tcPr>
          <w:p>
            <w:pPr>
              <w:ind w:left="1400"/>
              <w:spacing w:after="0"/>
              <w:rPr>
                <w:sz w:val="20"/>
                <w:szCs w:val="20"/>
                <w:color w:val="auto"/>
              </w:rPr>
            </w:pPr>
            <w:r>
              <w:rPr>
                <w:rFonts w:ascii="Arial" w:cs="Arial" w:eastAsia="Arial" w:hAnsi="Arial"/>
                <w:sz w:val="18"/>
                <w:szCs w:val="18"/>
                <w:color w:val="auto"/>
              </w:rPr>
              <w:t>(900)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w w:val="76"/>
              </w:rPr>
              <w:t>(900)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FF0FC"/>
          </w:tcPr>
          <w:p>
            <w:pPr>
              <w:ind w:left="1400"/>
              <w:spacing w:after="0"/>
              <w:rPr>
                <w:sz w:val="20"/>
                <w:szCs w:val="20"/>
                <w:color w:val="auto"/>
              </w:rPr>
            </w:pPr>
            <w:r>
              <w:rPr>
                <w:rFonts w:ascii="Arial" w:cs="Arial" w:eastAsia="Arial" w:hAnsi="Arial"/>
                <w:sz w:val="18"/>
                <w:szCs w:val="18"/>
                <w:color w:val="auto"/>
              </w:rPr>
              <w:t>(900)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8"/>
                <w:szCs w:val="18"/>
                <w:color w:val="auto"/>
                <w:w w:val="76"/>
              </w:rPr>
              <w:t>(900)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ind w:right="997"/>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Gross Amounts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Gross Amounts Offset 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the Condensed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Liabilities presented in the</w:t>
            </w:r>
          </w:p>
        </w:tc>
        <w:tc>
          <w:tcPr>
            <w:tcW w:w="0" w:type="dxa"/>
            <w:vAlign w:val="bottom"/>
          </w:tcPr>
          <w:p>
            <w:pPr>
              <w:spacing w:after="0"/>
              <w:rPr>
                <w:sz w:val="1"/>
                <w:szCs w:val="1"/>
                <w:color w:val="auto"/>
              </w:rPr>
            </w:pPr>
          </w:p>
        </w:tc>
      </w:tr>
      <w:tr>
        <w:trPr>
          <w:trHeight w:val="148"/>
        </w:trPr>
        <w:tc>
          <w:tcPr>
            <w:tcW w:w="4800" w:type="dxa"/>
            <w:vAlign w:val="bottom"/>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Recognized Assets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Sheets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2021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(10,788)</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(10,788)</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(10,788)</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(10,788)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Location on Condensed</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260" w:type="dxa"/>
            <w:vAlign w:val="bottom"/>
          </w:tcPr>
          <w:p>
            <w:pPr>
              <w:spacing w:after="0"/>
              <w:rPr>
                <w:sz w:val="12"/>
                <w:szCs w:val="12"/>
                <w:color w:val="auto"/>
              </w:rPr>
            </w:pPr>
          </w:p>
        </w:tc>
        <w:tc>
          <w:tcPr>
            <w:tcW w:w="1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71"/>
        </w:trPr>
        <w:tc>
          <w:tcPr>
            <w:tcW w:w="49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Sheets</w:t>
            </w:r>
          </w:p>
        </w:tc>
        <w:tc>
          <w:tcPr>
            <w:tcW w:w="2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Derivative liability, net</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As of March 31, 2022, all of the interest rate swaps were valued in net unrealized loss positions and recognized as liability balances within the derivative liability, net in our Condensed Consolidated Balance Sheets. As hedge accounting is no longer applied beginning in February 2020, the unrealized loss amounts are now being recorded directly to earnings. The amount reclassified out of other comprehensive income into interest expense on our Condensed Consolidated Statements of Income (Loss) for the three months ended March 31, 2022 and 2021 was $2.8 million and $2.8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During the next twelve months, beginning April 1, 2022, we estimate that $6.4 million will be reclassified as an increase to interest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involved in the offering of the Exchangeable Notes (the “Initial Purchasers”) of their option to purchase additional Exchangeable Notes, Uniti Fiber Holdings Inc.,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Note Hedge Transactions are separate transactions, entered into by Uniti Fiber Holdings Inc.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Transactions</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 and Liabilities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were no changes in the carrying amount of goodwill occurring during the three months ended March 31, 2022. The balance of goodwill recorded in our Fiber Infrastructure segment as of March 31, 2022 and December 31, 2021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4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rPr>
              <w:t>Fiber Infrastructure</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2021</w:t>
            </w:r>
          </w:p>
        </w:tc>
        <w:tc>
          <w:tcPr>
            <w:tcW w:w="1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360" w:type="dxa"/>
            <w:vAlign w:val="bottom"/>
            <w:tcBorders>
              <w:top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Goodwill at March 31, 2022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64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20" w:type="dxa"/>
            <w:vAlign w:val="bottom"/>
            <w:gridSpan w:val="8"/>
          </w:tcPr>
          <w:p>
            <w:pPr>
              <w:jc w:val="right"/>
              <w:ind w:right="12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3"/>
        </w:trPr>
        <w:tc>
          <w:tcPr>
            <w:tcW w:w="3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right"/>
              <w:ind w:right="860"/>
              <w:spacing w:after="0" w:line="133" w:lineRule="exact"/>
              <w:rPr>
                <w:sz w:val="20"/>
                <w:szCs w:val="20"/>
                <w:color w:val="auto"/>
              </w:rPr>
            </w:pPr>
            <w:r>
              <w:rPr>
                <w:rFonts w:ascii="Arial" w:cs="Arial" w:eastAsia="Arial" w:hAnsi="Arial"/>
                <w:sz w:val="14"/>
                <w:szCs w:val="14"/>
                <w:b w:val="1"/>
                <w:bCs w:val="1"/>
                <w:color w:val="auto"/>
              </w:rPr>
              <w:t>Original</w:t>
            </w:r>
          </w:p>
        </w:tc>
        <w:tc>
          <w:tcPr>
            <w:tcW w:w="3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right"/>
              <w:ind w:right="336"/>
              <w:spacing w:after="0" w:line="133" w:lineRule="exact"/>
              <w:rPr>
                <w:sz w:val="20"/>
                <w:szCs w:val="20"/>
                <w:color w:val="auto"/>
              </w:rPr>
            </w:pPr>
            <w:r>
              <w:rPr>
                <w:rFonts w:ascii="Arial" w:cs="Arial" w:eastAsia="Arial" w:hAnsi="Arial"/>
                <w:sz w:val="14"/>
                <w:szCs w:val="14"/>
                <w:b w:val="1"/>
                <w:bCs w:val="1"/>
                <w:color w:val="auto"/>
                <w:w w:val="95"/>
              </w:rPr>
              <w:t>Accumulated</w:t>
            </w: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5"/>
          </w:tcPr>
          <w:p>
            <w:pPr>
              <w:jc w:val="right"/>
              <w:ind w:right="700"/>
              <w:spacing w:after="0" w:line="133" w:lineRule="exact"/>
              <w:rPr>
                <w:sz w:val="20"/>
                <w:szCs w:val="20"/>
                <w:color w:val="auto"/>
              </w:rPr>
            </w:pPr>
            <w:r>
              <w:rPr>
                <w:rFonts w:ascii="Arial" w:cs="Arial" w:eastAsia="Arial" w:hAnsi="Arial"/>
                <w:sz w:val="14"/>
                <w:szCs w:val="14"/>
                <w:b w:val="1"/>
                <w:bCs w:val="1"/>
                <w:color w:val="auto"/>
              </w:rPr>
              <w:t>Original</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336"/>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5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7"/>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Finite life intangible assets:</w:t>
            </w:r>
          </w:p>
        </w:tc>
        <w:tc>
          <w:tcPr>
            <w:tcW w:w="1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Customer lists</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416,104</w:t>
            </w:r>
          </w:p>
        </w:tc>
        <w:tc>
          <w:tcPr>
            <w:tcW w:w="24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520" w:type="dxa"/>
            <w:vAlign w:val="bottom"/>
            <w:gridSpan w:val="4"/>
          </w:tcPr>
          <w:p>
            <w:pPr>
              <w:jc w:val="right"/>
              <w:ind w:right="180"/>
              <w:spacing w:after="0"/>
              <w:rPr>
                <w:sz w:val="20"/>
                <w:szCs w:val="20"/>
                <w:color w:val="auto"/>
              </w:rPr>
            </w:pPr>
            <w:r>
              <w:rPr>
                <w:rFonts w:ascii="Arial" w:cs="Arial" w:eastAsia="Arial" w:hAnsi="Arial"/>
                <w:sz w:val="18"/>
                <w:szCs w:val="18"/>
                <w:color w:val="auto"/>
              </w:rPr>
              <w:t>(111,579)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416,104</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(105,861)</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Contracts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(9,850)</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52,536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(8,209)</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Underlying Rights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10,497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4"/>
          </w:tcPr>
          <w:p>
            <w:pPr>
              <w:jc w:val="right"/>
              <w:ind w:right="180"/>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10,497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3"/>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479,137</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479,137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(121,954)</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(114,507)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intangible assets, net</w:t>
            </w: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40" w:type="dxa"/>
            <w:vAlign w:val="bottom"/>
            <w:vMerge w:val="continue"/>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357,183</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364,630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Finite life intangible liabilities: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Below-market leases</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191,154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52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(16,042)</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2"/>
              </w:rPr>
              <w:t>191,154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(13,368)</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Finite life intangible liabilities:</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Below-market leases</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191,154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191,154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(16,042)</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78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(13,368)</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intangible liabilities, net</w:t>
            </w: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vMerge w:val="continue"/>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175,112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177,786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remaining weighted average amortization period of the Company’s intangible assets was 14.7 years.</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Amortization expense for the three months ended March 31, 2022 and 2021 was $7.4 million and $4.8 million, respectively. Amortization expense is estimated to be $29.7 million for the full year of 2022, $29.8 million in 2023, $29.7 million in 2024, $29.7 million in 2025, and $29.7 million for 2026.</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recognize the amortization of below-market leases in revenue. Revenue related to the amortization of the below-market leases for the three months ended March 31, 2022 was $2.7 million. During the three months ended March 31, 2021, $2.7 million was recorded as a benefit to amortization expense, and subsequently reclassified to revenue during the fourth quarter of 2021. As of March 31, 2022, the remaining weighted average amortization period of the Company’s intangible liabilities was 17.7 years. Revenue due to the amortization of the below-market leases is estimated to be $10.7 million for the full year of 2022, $10.7 million in 2023, $10.7 million in 2024, $10.7 million in 2025, and $10.7 million in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and Other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gridSpan w:val="3"/>
            <w:shd w:val="clear" w:color="auto" w:fill="CFF0FC"/>
          </w:tcPr>
          <w:p>
            <w:pPr>
              <w:ind w:left="100"/>
              <w:spacing w:after="0"/>
              <w:rPr>
                <w:sz w:val="20"/>
                <w:szCs w:val="20"/>
                <w:color w:val="auto"/>
              </w:rPr>
            </w:pPr>
            <w:r>
              <w:rPr>
                <w:rFonts w:ascii="Arial" w:cs="Arial" w:eastAsia="Arial" w:hAnsi="Arial"/>
                <w:sz w:val="18"/>
                <w:szCs w:val="18"/>
                <w:color w:val="auto"/>
                <w:w w:val="87"/>
              </w:rPr>
              <w:t>5,200,000</w:t>
            </w:r>
          </w:p>
        </w:tc>
        <w:tc>
          <w:tcPr>
            <w:tcW w:w="28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5,175,000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80" w:type="dxa"/>
            <w:vAlign w:val="bottom"/>
            <w:gridSpan w:val="2"/>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34"/>
              <w:spacing w:after="0"/>
              <w:rPr>
                <w:sz w:val="20"/>
                <w:szCs w:val="20"/>
                <w:color w:val="auto"/>
              </w:rPr>
            </w:pPr>
            <w:r>
              <w:rPr>
                <w:rFonts w:ascii="Arial" w:cs="Arial" w:eastAsia="Arial" w:hAnsi="Arial"/>
                <w:sz w:val="18"/>
                <w:szCs w:val="18"/>
                <w:color w:val="auto"/>
                <w:w w:val="95"/>
              </w:rPr>
              <w:t>(79,719)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(84,463)</w:t>
            </w:r>
          </w:p>
        </w:tc>
        <w:tc>
          <w:tcPr>
            <w:tcW w:w="0" w:type="dxa"/>
            <w:vAlign w:val="bottom"/>
          </w:tcPr>
          <w:p>
            <w:pPr>
              <w:spacing w:after="0"/>
              <w:rPr>
                <w:sz w:val="1"/>
                <w:szCs w:val="1"/>
                <w:color w:val="auto"/>
              </w:rPr>
            </w:pPr>
          </w:p>
        </w:tc>
      </w:tr>
      <w:tr>
        <w:trPr>
          <w:trHeight w:val="237"/>
        </w:trPr>
        <w:tc>
          <w:tcPr>
            <w:tcW w:w="6640" w:type="dxa"/>
            <w:vAlign w:val="bottom"/>
            <w:tcBorders>
              <w:top w:val="single" w:sz="8" w:color="CFF0FC"/>
              <w:bottom w:val="single" w:sz="8" w:color="CFF0FC"/>
            </w:tcBorders>
            <w:gridSpan w:val="5"/>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gridSpan w:val="3"/>
            <w:shd w:val="clear" w:color="auto" w:fill="CFF0FC"/>
          </w:tcPr>
          <w:p>
            <w:pPr>
              <w:ind w:left="100"/>
              <w:spacing w:after="0"/>
              <w:rPr>
                <w:sz w:val="20"/>
                <w:szCs w:val="20"/>
                <w:color w:val="auto"/>
              </w:rPr>
            </w:pPr>
            <w:r>
              <w:rPr>
                <w:rFonts w:ascii="Arial" w:cs="Arial" w:eastAsia="Arial" w:hAnsi="Arial"/>
                <w:sz w:val="18"/>
                <w:szCs w:val="18"/>
                <w:color w:val="auto"/>
                <w:w w:val="87"/>
              </w:rPr>
              <w:t>5,120,281</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5,090,537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gridSpan w:val="5"/>
            <w:vMerge w:val="restart"/>
          </w:tcPr>
          <w:p>
            <w:pPr>
              <w:spacing w:after="0"/>
              <w:rPr>
                <w:sz w:val="20"/>
                <w:szCs w:val="20"/>
                <w:color w:val="auto"/>
              </w:rPr>
            </w:pPr>
            <w:r>
              <w:rPr>
                <w:rFonts w:ascii="Arial" w:cs="Arial" w:eastAsia="Arial" w:hAnsi="Arial"/>
                <w:sz w:val="18"/>
                <w:szCs w:val="18"/>
                <w:color w:val="auto"/>
                <w:w w:val="91"/>
              </w:rPr>
              <w:t>Notes and other debt at March 31, 2022 and December 31, 2021 consisted of the following:</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64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167"/>
              <w:spacing w:after="0" w:line="133" w:lineRule="exact"/>
              <w:rPr>
                <w:sz w:val="20"/>
                <w:szCs w:val="20"/>
                <w:color w:val="auto"/>
              </w:rPr>
            </w:pPr>
            <w:r>
              <w:rPr>
                <w:rFonts w:ascii="Arial" w:cs="Arial" w:eastAsia="Arial" w:hAnsi="Arial"/>
                <w:sz w:val="14"/>
                <w:szCs w:val="14"/>
                <w:b w:val="1"/>
                <w:bCs w:val="1"/>
                <w:color w:val="auto"/>
                <w:w w:val="96"/>
              </w:rPr>
              <w:t>Unamortized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96"/>
              <w:spacing w:after="0" w:line="133" w:lineRule="exact"/>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Discount,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restart"/>
          </w:tcPr>
          <w:p>
            <w:pPr>
              <w:jc w:val="right"/>
              <w:ind w:right="31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Senior secured notes - 7.875%, due February 15, 2025</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8.38%)</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(29,191)</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(31,411)</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secured notes - 4.75%, due April 15, 2028</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5.04%)</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(8,584)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570,000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- 4.00%, due June 15, 2024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4.77%)</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(5,590)</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345,000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- 6.50%, due February 15, 2029</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6.83%)</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(20,797)</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- 6.00% due January 15, 2030</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6.27%)</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(11,407)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700,000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w w:val="93"/>
              </w:rPr>
              <w:t>Senior secured revolving credit facility, variable rate, due December</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10, 2024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200,000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5,200,000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(79,719)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5,175,000</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(84,463)</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At March 31, 2022, notes and other debt included the following: (i) $225.0 million under the Revolving Credit Facility (as defined below) pursuant to the credit agreement by and among Uniti Group LP, Uniti Group Finance 2019 Inc. and CSL Capital, LLC (the “Borrowers”), the guarantors and lenders party thereto and Bank of America, N.A., as administrative agent and collateral agent (the “Credit Agreement”); (ii) $2.25 billion aggregate principal amount of 7.875% Senior Secured Notes due 2025 (the “2025 Secured Notes”); (iii) $570.0 million aggregate principal amount of 4.75% Senior Secured Notes due 2028 (the “2028 Secured Notes”); (iv) $1.11 billion aggregate principal amount of 6.50% Senior Notes due February 15, 2029 (the “2029 Notes”); and (v) $345.0 million aggregate principal amount of 4.00% Exchangeable Senior Notes due June 15, 2024 (the “Exchangeable Notes”); and (vi) $700.0 million aggregate principal amount of 6.00% Senior Unsecured Notes due January 15, 2030 (the “2030 Notes” and collectively with the 2025 Secured Notes, the 2028 Secured Notes, the 2029 Notes and the Exchangeable Notes, the “Notes”). Until our net leverage ratio is below 5.75 : 1.00, our 2025 Secured Notes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 gains. The terms of the Notes are as described in the Company’s Annual Report on Form 10-K for the year ended 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Borrowers are party to the Credit Agreement, which provides for a $500 million revolving credit facility that will mature on December 10, 2024 (the “Revolving Credit Facility”) and provides us with the ability to obtain revolving loans as well as swingline loans and letters of credit from time to time. All obligations under the Credit Agreement are guaranteed by (i) the Company and (ii) certain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Operating Partnership’s subsidiaries (the “Subsidiary Guarantors”) and are secured by substantially all of the assets of the Borrowers and the Subsidiary Guarantors.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March 31, 2022, the Borrowers were in compliance with all of the covenants under the Credit Agreement.</w:t>
      </w:r>
    </w:p>
    <w:p>
      <w:pPr>
        <w:spacing w:after="0" w:line="1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Borrowings under the Revolving Credit Facility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(Loss). For the three months ended March 31, 2022 and 2021, we recognized $4.3 million and $4.1 million, respectively, of non-cash interest expense related to the amortization of deferred financing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4"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46" w:lineRule="exact"/>
        <w:rPr>
          <w:sz w:val="20"/>
          <w:szCs w:val="20"/>
          <w:color w:val="auto"/>
        </w:rPr>
      </w:pPr>
    </w:p>
    <w:p>
      <w:pPr>
        <w:jc w:val="both"/>
        <w:ind w:right="40"/>
        <w:spacing w:after="0" w:line="275" w:lineRule="auto"/>
        <w:rPr>
          <w:rFonts w:ascii="Arial" w:cs="Arial" w:eastAsia="Arial" w:hAnsi="Arial"/>
          <w:sz w:val="17"/>
          <w:szCs w:val="17"/>
          <w:color w:val="auto"/>
        </w:rPr>
      </w:pPr>
      <w:r>
        <w:rPr>
          <w:rFonts w:ascii="Arial" w:cs="Arial" w:eastAsia="Arial" w:hAnsi="Arial"/>
          <w:sz w:val="17"/>
          <w:szCs w:val="17"/>
          <w:color w:val="auto"/>
        </w:rPr>
        <w:t>The dilutive effect of the Exchangeable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page17">
        <w:r>
          <w:rPr>
            <w:rFonts w:ascii="Arial" w:cs="Arial" w:eastAsia="Arial" w:hAnsi="Arial"/>
            <w:sz w:val="17"/>
            <w:szCs w:val="17"/>
            <w:u w:val="single" w:color="auto"/>
            <w:color w:val="0000EE"/>
          </w:rPr>
          <w:t>see Note</w:t>
        </w:r>
        <w:r>
          <w:rPr>
            <w:rFonts w:ascii="Arial" w:cs="Arial" w:eastAsia="Arial" w:hAnsi="Arial"/>
            <w:sz w:val="17"/>
            <w:szCs w:val="17"/>
            <w:u w:val="single" w:color="auto"/>
            <w:color w:val="auto"/>
          </w:rPr>
          <w:t xml:space="preserve"> </w:t>
        </w:r>
      </w:hyperlink>
      <w:r>
        <w:rPr>
          <w:rFonts w:ascii="Arial" w:cs="Arial" w:eastAsia="Arial" w:hAnsi="Arial"/>
          <w:sz w:val="17"/>
          <w:szCs w:val="17"/>
          <w:u w:val="single" w:color="auto"/>
          <w:color w:val="auto"/>
        </w:rPr>
        <w:t>8</w:t>
      </w:r>
      <w:r>
        <w:rPr>
          <w:rFonts w:ascii="Arial" w:cs="Arial" w:eastAsia="Arial" w:hAnsi="Arial"/>
          <w:sz w:val="17"/>
          <w:szCs w:val="17"/>
          <w:color w:val="auto"/>
        </w:rPr>
        <w:t>) is calculated using the treasury-stock method. During the three months ended March 31, 2022 and 2021, the Warrants were excluded from diluted shares outstanding because the exercise price exceeded the average market price of our common stock for the reporting period.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ind w:right="794"/>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jc w:val="right"/>
              <w:ind w:right="812"/>
              <w:spacing w:after="0" w:line="155"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CFF0FC"/>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shareholders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52,730</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50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5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235,046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Basic earnings (loss) per common share</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5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7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ind w:right="794"/>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jc w:val="right"/>
              <w:ind w:right="812"/>
              <w:spacing w:after="0" w:line="155"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shareholders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52,730</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29"/>
        </w:trPr>
        <w:tc>
          <w:tcPr>
            <w:tcW w:w="670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50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5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gridSpan w:val="2"/>
          </w:tcPr>
          <w:p>
            <w:pPr>
              <w:ind w:left="620"/>
              <w:spacing w:after="0"/>
              <w:rPr>
                <w:sz w:val="20"/>
                <w:szCs w:val="20"/>
                <w:color w:val="auto"/>
              </w:rPr>
            </w:pPr>
            <w:r>
              <w:rPr>
                <w:rFonts w:ascii="Arial" w:cs="Arial" w:eastAsia="Arial" w:hAnsi="Arial"/>
                <w:sz w:val="18"/>
                <w:szCs w:val="18"/>
                <w:color w:val="auto"/>
              </w:rPr>
              <w:t>Impact on if-converted dilutive securities</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5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380"/>
              <w:spacing w:after="0"/>
              <w:rPr>
                <w:sz w:val="20"/>
                <w:szCs w:val="20"/>
                <w:color w:val="auto"/>
              </w:rPr>
            </w:pPr>
            <w:r>
              <w:rPr>
                <w:rFonts w:ascii="Arial" w:cs="Arial" w:eastAsia="Arial" w:hAnsi="Arial"/>
                <w:sz w:val="18"/>
                <w:szCs w:val="18"/>
                <w:color w:val="auto"/>
              </w:rPr>
              <w:t>Effect of dilutive non-participating securities</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Impact on if-converted dilutive securities</w:t>
            </w:r>
          </w:p>
        </w:tc>
        <w:tc>
          <w:tcPr>
            <w:tcW w:w="5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Weighted-average shares for dilutive earnings per common share</w:t>
            </w: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Dilutive earnings (loss) per common share</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the three months ended March 31, 2021, 30,052,433 potential common shares related to the Exchangeable Notes and 762,355 non-participating securities were excluded from the computation of earnings per share, as their effect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two reportable segments, in addition to our corporate operations, which include: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operations of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our corporate office and shared service functions. Certain costs and expenses, primarily related to headcount,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fees and similar charges, that are directly attributable to operations of our business segments are allocated to the respective segments.</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months ended March 31, 2022 and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b w:val="1"/>
                <w:bCs w:val="1"/>
                <w:color w:val="auto"/>
                <w:w w:val="98"/>
              </w:rPr>
              <w:t>Three Months Ended March 31, 2022</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ind w:right="150"/>
              <w:spacing w:after="0" w:line="205" w:lineRule="exact"/>
              <w:rPr>
                <w:sz w:val="20"/>
                <w:szCs w:val="20"/>
                <w:color w:val="auto"/>
              </w:rPr>
            </w:pPr>
            <w:r>
              <w:rPr>
                <w:rFonts w:ascii="Arial" w:cs="Arial" w:eastAsia="Arial" w:hAnsi="Arial"/>
                <w:sz w:val="18"/>
                <w:szCs w:val="18"/>
                <w:b w:val="1"/>
                <w:bCs w:val="1"/>
                <w:color w:val="auto"/>
                <w:w w:val="91"/>
              </w:rPr>
              <w:t>Subtotal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31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80" w:type="dxa"/>
            <w:vAlign w:val="bottom"/>
          </w:tcPr>
          <w:p>
            <w:pPr>
              <w:spacing w:after="0"/>
              <w:rPr>
                <w:sz w:val="20"/>
                <w:szCs w:val="20"/>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Leasing</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2"/>
          </w:tcPr>
          <w:p>
            <w:pPr>
              <w:ind w:left="60"/>
              <w:spacing w:after="0"/>
              <w:rPr>
                <w:sz w:val="20"/>
                <w:szCs w:val="20"/>
                <w:color w:val="auto"/>
              </w:rPr>
            </w:pPr>
            <w:r>
              <w:rPr>
                <w:rFonts w:ascii="Arial" w:cs="Arial" w:eastAsia="Arial" w:hAnsi="Arial"/>
                <w:sz w:val="18"/>
                <w:szCs w:val="18"/>
                <w:b w:val="1"/>
                <w:bCs w:val="1"/>
                <w:color w:val="auto"/>
              </w:rPr>
              <w:t>Fiber Infrastructure</w:t>
            </w:r>
          </w:p>
        </w:tc>
        <w:tc>
          <w:tcPr>
            <w:tcW w:w="240" w:type="dxa"/>
            <w:vAlign w:val="bottom"/>
          </w:tcPr>
          <w:p>
            <w:pPr>
              <w:spacing w:after="0"/>
              <w:rPr>
                <w:sz w:val="20"/>
                <w:szCs w:val="20"/>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204,641</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73,393</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(5,643)</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42,102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29,319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Transaction related and other costs</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5"/>
        </w:trPr>
        <w:tc>
          <w:tcPr>
            <w:tcW w:w="3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for equity in earnings</w:t>
            </w:r>
          </w:p>
        </w:tc>
        <w:tc>
          <w:tcPr>
            <w:tcW w:w="3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6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from unconsolidated entities</w:t>
            </w:r>
          </w:p>
        </w:tc>
        <w:tc>
          <w:tcPr>
            <w:tcW w:w="38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gridSpan w:val="2"/>
            <w:vMerge w:val="continue"/>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380" w:type="dxa"/>
            <w:vAlign w:val="bottom"/>
            <w:tcBorders>
              <w:bottom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vMerge w:val="restart"/>
          </w:tcPr>
          <w:p>
            <w:pPr>
              <w:jc w:val="right"/>
              <w:ind w:right="153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0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2"/>
        </w:trPr>
        <w:tc>
          <w:tcPr>
            <w:tcW w:w="128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 March 31, 2021</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330"/>
              <w:spacing w:after="0" w:line="205" w:lineRule="exact"/>
              <w:rPr>
                <w:sz w:val="20"/>
                <w:szCs w:val="20"/>
                <w:color w:val="auto"/>
              </w:rPr>
            </w:pPr>
            <w:r>
              <w:rPr>
                <w:rFonts w:ascii="Arial" w:cs="Arial" w:eastAsia="Arial" w:hAnsi="Arial"/>
                <w:sz w:val="18"/>
                <w:szCs w:val="18"/>
                <w:b w:val="1"/>
                <w:bCs w:val="1"/>
                <w:color w:val="auto"/>
              </w:rPr>
              <w:t>Subtotal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Leasing</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Fiber Infrastructure</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Corporate</w:t>
            </w:r>
          </w:p>
        </w:tc>
        <w:tc>
          <w:tcPr>
            <w:tcW w:w="20" w:type="dxa"/>
            <w:vAlign w:val="bottom"/>
          </w:tcPr>
          <w:p>
            <w:pPr>
              <w:spacing w:after="0"/>
              <w:rPr>
                <w:sz w:val="20"/>
                <w:szCs w:val="20"/>
                <w:color w:val="auto"/>
              </w:rPr>
            </w:pP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w w:val="92"/>
              </w:rPr>
              <w:t>Reportable Segments</w:t>
            </w: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194,936</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272,586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191,497</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29,721</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(6,970)</w:t>
            </w:r>
          </w:p>
        </w:tc>
        <w:tc>
          <w:tcPr>
            <w:tcW w:w="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42,226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28,670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ind w:left="140"/>
              <w:spacing w:after="0"/>
              <w:rPr>
                <w:sz w:val="20"/>
                <w:szCs w:val="20"/>
                <w:color w:val="auto"/>
              </w:rPr>
            </w:pPr>
            <w:r>
              <w:rPr>
                <w:rFonts w:ascii="Arial" w:cs="Arial" w:eastAsia="Arial" w:hAnsi="Arial"/>
                <w:sz w:val="18"/>
                <w:szCs w:val="18"/>
                <w:color w:val="auto"/>
              </w:rPr>
              <w:t>Transaction related and other costs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1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5"/>
        </w:trPr>
        <w:tc>
          <w:tcPr>
            <w:tcW w:w="3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3"/>
              </w:rPr>
              <w:t>Adjustments for equity in earnings from</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08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unconsolidated entities</w:t>
            </w: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9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2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gridSpan w:val="2"/>
            <w:vMerge w:val="continue"/>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90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42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Commitments</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On October 14, 2021, the Company prepaid four installments for a total of $92.9 million. As of March 31, 2022, the Company has made payments totaling $215.4 million.</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 we are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per year in 2021, and are limited to $225 million per year in 2022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three months ended March 31, 2022, Uniti reimbursed $48.2 million of Growth Capital Improvements, of which $29.0 million represented the reimbursement of capital improvements completed in 2021 that were previously classified as tenant funded capital improvements.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$0.9 million and reported within other assets on our Condensed Consolidated Balance Sheets as of March 31, 2022, will be amortized as a reduction to revenue over the initial term of the Windstream Leases.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a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On November 4, 2020, the court granted the Defendants’ motion and dismissed SLF’s amended complaint, in its entirety, with prejudice. On December 1, 2020, SLF filed a notice of appeal to the United States Court of Appeals for the Third Circuit from the district court’s dismissal order. The appeal was fully briefed on September 10, 2021. We have evaluated this matter under the guidance provided by ASC 450,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Sheets.</w:t>
      </w:r>
    </w:p>
    <w:p>
      <w:pPr>
        <w:spacing w:after="0" w:line="18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Beginning on October 25, 2019, several purported shareholders filed separate putative class actions in the U.S. District Court for the Eastern District of Arkansas against the Company and certain of our officers, alleging violations of the federal securities laws based on claims similar to those asserted in the SLF Action. On March 12, 2020, the U.S. District Court for the Eastern District of Arkansas consolidated the Shareholder Actions and appointed lead plaintiffs and lead counsel in the consolidated cases under the caption </w:t>
      </w:r>
      <w:r>
        <w:rPr>
          <w:rFonts w:ascii="Arial" w:cs="Arial" w:eastAsia="Arial" w:hAnsi="Arial"/>
          <w:sz w:val="16"/>
          <w:szCs w:val="16"/>
          <w:i w:val="1"/>
          <w:iCs w:val="1"/>
          <w:color w:val="auto"/>
        </w:rPr>
        <w:t>In re Uniti Group Inc. Securities Litigation</w:t>
      </w:r>
      <w:r>
        <w:rPr>
          <w:rFonts w:ascii="Arial" w:cs="Arial" w:eastAsia="Arial" w:hAnsi="Arial"/>
          <w:sz w:val="16"/>
          <w:szCs w:val="16"/>
          <w:color w:val="auto"/>
        </w:rPr>
        <w:t xml:space="preserve"> (the “Class Action”). On May 11, 2020, lead plaintiffs filed a consolidated amended complaint in the Class Action. The consolidated amended complaint seeks to represent investors who acquired the Company’s securities between April 20, 2015 and February 15, 2019. The Class Action asserts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a “true lease.” The Class Action seeks class certification, unspecified</w:t>
      </w:r>
    </w:p>
    <w:p>
      <w:pPr>
        <w:spacing w:after="0" w:line="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monetary damages, costs and attorneys’ fees and other relief. On July 10, 2020, defendants moved to dismiss the consolidated amended complaint. On April 1, 2021, the court issued an order denying defendants’ motion to dismiss. On April 15, 2021, defendants filed a motion for reconsideration of the order or, in the alternative, for certification of an appeal of the decision to the Eighth Circuit. On October 25, 2021, plaintiffs filed a motion for class certification, which defendants opposed. On December 22, 2021, the court issued an order denying defendants’ motion for reconsideration or, in the alternative, certification of an appeal. On March 25, 2022, the parties reached an agreement to settle the Class Action, on behalf of a settlement class, for $38.9 million, to be funded entirely by the Company’s insurance carriers. The settlement remains subject to negotiation of definitive settlement documents, notice to the settlement class and court approval. In accordance with ASC 450, we recorded $38.9 million of settlement expense within general and administrative expense within our Condensed Consolidated Statements of Income (Loss) during the three months ended March 31, 2022 and accounts payable, accrued expenses and other liabilities, net within our Condensed Consolidated Balance Sheets as of March 31, 2022. Additionally, we recorded the probable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insurance recovery of $38.9 million as a reduction to general and administrative expense during the three months ended March 31, 2022 within our Condensed Consolidated Statements of Income (Loss), and other assets within Condensed Consolidated Balance Sheets as of March 31, 2022.</w:t>
      </w:r>
    </w:p>
    <w:p>
      <w:pPr>
        <w:spacing w:after="0" w:line="12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August 17, 2021, two purported shareholders filed a derivative action on behalf of Uniti in the Circuit Court for Baltimore City, Maryland, under the caption Mayer et al. v. Gunderman et al., 24-C-21-003488 (the “Mayer Derivative Complaint”). The Mayer Derivative Action names Kenneth Gunderman and Mark Wallace as defendants and the Company as a nominal defendant and asserts claims for breach of fiduciary duty and unjust enrichment. The complaint alleges that the individual defendants caused the Company to issue certain false and misleading statements relating to the Spin-Off and/or the Master Lease. In particular, as in the Shareholder Actions, the complaint alleges, among other things, that defendants failed to disclose the risk that the Spin-Off and entry into the Master Lease violated certain debt covenants of Windstream and/or the risk that the Master Lease purportedly could be recharacterized as a financing instead of a “true lease.” The complaint seeks unspecified damages, unspecified equitable relief, and related costs and fees. On December 23, 2021, the court entered a joint stipulation to stay the Mayer Derivative Action, including the time for the defendants to respond to the complaint, pending the outcome of the Class Action. Because this matter is still in its preliminary stages, we have not yet determined what effect this lawsuit will have, if any, on our financial position or results of operations. We have evaluated this matter under the guidance provided by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Sheets.</w:t>
      </w:r>
    </w:p>
    <w:p>
      <w:pPr>
        <w:spacing w:after="0" w:line="16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On February 11, 2022, a purported shareholder filed a derivative action on behalf of Uniti in the federal District Court for the District of Maryland, under the caption </w:t>
      </w:r>
      <w:r>
        <w:rPr>
          <w:rFonts w:ascii="Arial" w:cs="Arial" w:eastAsia="Arial" w:hAnsi="Arial"/>
          <w:sz w:val="16"/>
          <w:szCs w:val="16"/>
          <w:i w:val="1"/>
          <w:iCs w:val="1"/>
          <w:color w:val="auto"/>
        </w:rPr>
        <w:t>Guzzo et al. v. Gunderman et al.</w:t>
      </w:r>
      <w:r>
        <w:rPr>
          <w:rFonts w:ascii="Arial" w:cs="Arial" w:eastAsia="Arial" w:hAnsi="Arial"/>
          <w:sz w:val="16"/>
          <w:szCs w:val="16"/>
          <w:color w:val="auto"/>
        </w:rPr>
        <w:t>, 1:22-cv-00366-GLR (the “Guzzo Derivative Action”). The complaint names Kenneth Gunderman, Mark Wallace, Francis Frantz, David Solomon, Jennifer Banner, and Scott Bruce as defendants and the Company as a nominal defendant and asserts claims for contribution against Gunderman and Wallace if the Company is found to be liable for violations of the federal securities laws in the Class Action and claims against all the individual defendants for breaches of fiduciary duty, waste of corporate assets, and unjust enrichment against. The allegations in the Guzzo Derivative Action are similar to those in the Mayer Derivative Action and the Class Action. The complaint seeks unspecified damages, equitable relief, and related costs and fees. On March 16, 2022, the court entered a joint stipulation to stay the Guzzo Derivative Action, including the time for the defendants to respond to the complaint, pending the outcome of the Class Action. We intend to defend this matter vigorously, and, because it is still in its relatively early stages, we have not yet determined what effect this lawsuit will have, if any,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maintain insurance policies that would provide coverage to various degrees for potential liabilities arising from the legal proceedings described above.</w:t>
      </w:r>
    </w:p>
    <w:p>
      <w:pPr>
        <w:spacing w:after="0" w:line="24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w:t>
      </w:r>
    </w:p>
    <w:p>
      <w:pPr>
        <w:spacing w:after="0" w:line="4"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the probability of us incurring obligations under the Tax Matters Agreement are remote; and therefore, we have recorded no such liabilities in our Condensed Consolidated Balance Sheets as of March 31, 2022.</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income by component is as follows for the three months ended March 31, 2022 and 2021:</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71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23"/>
        </w:trPr>
        <w:tc>
          <w:tcPr>
            <w:tcW w:w="6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flow hedge changes in fair value (loss) gain:</w:t>
            </w: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40" w:type="dxa"/>
            <w:vAlign w:val="bottom"/>
            <w:gridSpan w:val="2"/>
          </w:tcPr>
          <w:p>
            <w:pPr>
              <w:ind w:left="140"/>
              <w:spacing w:after="0"/>
              <w:rPr>
                <w:sz w:val="20"/>
                <w:szCs w:val="20"/>
                <w:color w:val="auto"/>
              </w:rPr>
            </w:pPr>
            <w:r>
              <w:rPr>
                <w:rFonts w:ascii="Arial" w:cs="Arial" w:eastAsia="Arial" w:hAnsi="Arial"/>
                <w:sz w:val="18"/>
                <w:szCs w:val="18"/>
                <w:color w:val="auto"/>
              </w:rPr>
              <w:t>Balance at beginning of period attributable to shareholders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(30,353)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(30,353)</w:t>
            </w:r>
          </w:p>
        </w:tc>
      </w:tr>
      <w:tr>
        <w:trPr>
          <w:trHeight w:val="223"/>
        </w:trPr>
        <w:tc>
          <w:tcPr>
            <w:tcW w:w="714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shareholders</w:t>
            </w: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Interest rate swap termination:</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beginning of period attributable to shareholders</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9,986</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24,019</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12,815</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tcPr>
          <w:p>
            <w:pPr>
              <w:spacing w:after="0"/>
              <w:rPr>
                <w:sz w:val="19"/>
                <w:szCs w:val="19"/>
                <w:color w:val="auto"/>
              </w:rPr>
            </w:pPr>
          </w:p>
        </w:tc>
      </w:tr>
      <w:tr>
        <w:trPr>
          <w:trHeight w:val="223"/>
        </w:trPr>
        <w:tc>
          <w:tcPr>
            <w:tcW w:w="71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shareholders</w:t>
            </w:r>
          </w:p>
        </w:tc>
        <w:tc>
          <w:tcPr>
            <w:tcW w:w="4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24,012</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12,773</w:t>
            </w:r>
          </w:p>
        </w:tc>
        <w:tc>
          <w:tcPr>
            <w:tcW w:w="100" w:type="dxa"/>
            <w:vAlign w:val="bottom"/>
            <w:shd w:val="clear" w:color="auto" w:fill="CFF0FC"/>
          </w:tcPr>
          <w:p>
            <w:pPr>
              <w:spacing w:after="0"/>
              <w:rPr>
                <w:sz w:val="19"/>
                <w:szCs w:val="19"/>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 at end of period</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(6,341)</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(17,580)</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Capital Stock</w:t>
      </w:r>
    </w:p>
    <w:p>
      <w:pPr>
        <w:spacing w:after="0" w:line="2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limited partner equity interests in our operating partnership (commonly called “OP Units”), are exchangeable on a one-for-one basis for shares of our common stock or, at our election, cash of equivalent value. During the three months ended March 31, 2022, the Company exchanged 157,733 OP Units held by third parties for an equal number of common shares of the Company. The OP Units exchanged represented approximately 23% of the OP Units held by a third party with a carrying value of $3.2 million as of the exchange date.</w:t>
      </w:r>
    </w:p>
    <w:p>
      <w:pPr>
        <w:spacing w:after="0" w:line="399" w:lineRule="exact"/>
        <w:rPr>
          <w:sz w:val="20"/>
          <w:szCs w:val="20"/>
          <w:color w:val="auto"/>
        </w:rPr>
      </w:pPr>
    </w:p>
    <w:p>
      <w:pPr>
        <w:ind w:right="47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our operations, financial condition, and changes in financial condition for the three months ended March 31, 2022.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February 25, 2022, as amended by Amendment No. 1 thereto filed on Form 10-K/A with the SEC on March 22, 2022 (the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leasing business, Uniti Leasing, certain aspects of our former towers business, and Talk America Services, LLC, which operated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March 31, 2022, we are the sole general partner of the Operating Partnership and own approximately 99.8% of the partnership interests in the Operating Partnership. In addition, we have undertaken series of transactions to permit us to hold certain assets through subsidiaries that are taxed as REITs, which may also facilitate future acquisition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right="80" w:firstLine="8"/>
        <w:spacing w:after="0" w:line="252"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the two reportable business segments, in addition to our corporate operations, which include: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u w:val="single" w:color="auto"/>
          <w:color w:val="auto"/>
        </w:rPr>
        <w:t>Leasing Segment</w:t>
      </w:r>
      <w:r>
        <w:rPr>
          <w:rFonts w:ascii="Arial" w:cs="Arial" w:eastAsia="Arial" w:hAnsi="Arial"/>
          <w:sz w:val="18"/>
          <w:szCs w:val="18"/>
          <w:color w:val="auto"/>
        </w:rPr>
        <w:t>: Represents the operations of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also operated through TRSs.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12 to our accompanying Condensed Consolidated Financial Statements contained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2022 and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8"/>
                <w:szCs w:val="18"/>
                <w:b w:val="1"/>
                <w:bCs w:val="1"/>
                <w:color w:val="auto"/>
                <w:w w:val="96"/>
              </w:rPr>
              <w:t>Three Months Ended March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204,641</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73.6%</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194,936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71.5%</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73,393</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26.4%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28.5%</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278,034</w:t>
            </w:r>
          </w:p>
        </w:tc>
        <w:tc>
          <w:tcPr>
            <w:tcW w:w="160" w:type="dxa"/>
            <w:vAlign w:val="bottom"/>
          </w:tcPr>
          <w:p>
            <w:pPr>
              <w:spacing w:after="0"/>
              <w:rPr>
                <w:sz w:val="19"/>
                <w:szCs w:val="19"/>
                <w:color w:val="auto"/>
              </w:rPr>
            </w:pP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272,586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r>
      <w:tr>
        <w:trPr>
          <w:trHeight w:val="237"/>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96,172</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34.5%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140,581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51.5%</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71,457</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25.7%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26.0%</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23,870</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9.5%</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34,976</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12.6%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14.0%</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19"/>
                <w:szCs w:val="19"/>
                <w:color w:val="auto"/>
              </w:rPr>
            </w:pP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(398)</w:t>
            </w: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(0.1%)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81.9%</w:t>
            </w:r>
          </w:p>
        </w:tc>
        <w:tc>
          <w:tcPr>
            <w:tcW w:w="3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280,043</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102.7%</w:t>
            </w:r>
          </w:p>
        </w:tc>
        <w:tc>
          <w:tcPr>
            <w:tcW w:w="120" w:type="dxa"/>
            <w:vAlign w:val="bottom"/>
            <w:tcBorders>
              <w:bottom w:val="single" w:sz="8" w:color="CFF0FC"/>
            </w:tcBorders>
          </w:tcPr>
          <w:p>
            <w:pPr>
              <w:spacing w:after="0"/>
              <w:rPr>
                <w:sz w:val="19"/>
                <w:szCs w:val="19"/>
                <w:color w:val="auto"/>
              </w:rPr>
            </w:pPr>
          </w:p>
        </w:tc>
      </w:tr>
      <w:tr>
        <w:trPr>
          <w:trHeight w:val="205"/>
        </w:trPr>
        <w:tc>
          <w:tcPr>
            <w:tcW w:w="55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Income (loss) before income taxes and equity in earnings from</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unconsolidated entities</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50,243</w:t>
            </w: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18.1%</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(7,457)</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(2.7%)</w:t>
            </w:r>
          </w:p>
        </w:tc>
        <w:tc>
          <w:tcPr>
            <w:tcW w:w="120" w:type="dxa"/>
            <w:vAlign w:val="bottom"/>
            <w:shd w:val="clear" w:color="auto" w:fill="CFF0FC"/>
          </w:tcPr>
          <w:p>
            <w:pPr>
              <w:spacing w:after="0"/>
              <w:rPr>
                <w:sz w:val="20"/>
                <w:szCs w:val="20"/>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(2,071)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(0.9%)</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(544)</w:t>
            </w: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(0.2%)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(0.1%)</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19.0%</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0"/>
              </w:rPr>
              <w:t>(1.7%)</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0.1%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(0.1%)</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18.9%</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0"/>
              </w:rPr>
              <w:t>(1.6%)</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(331)</w:t>
            </w:r>
          </w:p>
        </w:tc>
        <w:tc>
          <w:tcPr>
            <w:tcW w:w="124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4"/>
              </w:rPr>
              <w:t>(0.1%)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(0.1%)</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(0.0%)</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52,394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18.8%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0"/>
              </w:rPr>
              <w:t>(1.7%)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5500" w:type="dxa"/>
            <w:vAlign w:val="bottom"/>
          </w:tcPr>
          <w:p>
            <w:pPr>
              <w:spacing w:after="0"/>
              <w:rPr>
                <w:sz w:val="24"/>
                <w:szCs w:val="24"/>
                <w:color w:val="auto"/>
              </w:rPr>
            </w:pP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29</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set forth, for the three months ended March 31, 2022 and 2021, revenues, Adjusted EBITDA and net (loss) income of our reportable segments: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8"/>
                <w:szCs w:val="18"/>
                <w:b w:val="1"/>
                <w:bCs w:val="1"/>
                <w:color w:val="auto"/>
                <w:w w:val="98"/>
              </w:rPr>
              <w:t>Three Months Ended March 31, 2022</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ind w:right="150"/>
              <w:spacing w:after="0" w:line="205" w:lineRule="exact"/>
              <w:rPr>
                <w:sz w:val="20"/>
                <w:szCs w:val="20"/>
                <w:color w:val="auto"/>
              </w:rPr>
            </w:pPr>
            <w:r>
              <w:rPr>
                <w:rFonts w:ascii="Arial" w:cs="Arial" w:eastAsia="Arial" w:hAnsi="Arial"/>
                <w:sz w:val="18"/>
                <w:szCs w:val="18"/>
                <w:b w:val="1"/>
                <w:bCs w:val="1"/>
                <w:color w:val="auto"/>
                <w:w w:val="91"/>
              </w:rPr>
              <w:t>Subtotal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31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Leasing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Fiber Infrastructure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Corporate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204,641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73,393</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278,034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198,973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31,459</w:t>
            </w:r>
          </w:p>
        </w:tc>
        <w:tc>
          <w:tcPr>
            <w:tcW w:w="4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(5,643)</w:t>
            </w:r>
          </w:p>
        </w:tc>
        <w:tc>
          <w:tcPr>
            <w:tcW w:w="360" w:type="dxa"/>
            <w:vAlign w:val="bottom"/>
            <w:gridSpan w:val="3"/>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3"/>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96,172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42,102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29,319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3"/>
          </w:tcPr>
          <w:p>
            <w:pPr>
              <w:ind w:left="140"/>
              <w:spacing w:after="0"/>
              <w:rPr>
                <w:sz w:val="20"/>
                <w:szCs w:val="20"/>
                <w:color w:val="auto"/>
              </w:rPr>
            </w:pPr>
            <w:r>
              <w:rPr>
                <w:rFonts w:ascii="Arial" w:cs="Arial" w:eastAsia="Arial" w:hAnsi="Arial"/>
                <w:sz w:val="18"/>
                <w:szCs w:val="18"/>
                <w:color w:val="auto"/>
              </w:rPr>
              <w:t>Transaction related and other costs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3"/>
          </w:tcPr>
          <w:p>
            <w:pPr>
              <w:ind w:left="14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5"/>
        </w:trPr>
        <w:tc>
          <w:tcPr>
            <w:tcW w:w="3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Adjustments for equity in earnings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60" w:type="dxa"/>
            <w:vAlign w:val="bottom"/>
            <w:gridSpan w:val="3"/>
            <w:vMerge w:val="restart"/>
            <w:shd w:val="clear" w:color="auto" w:fill="CFF0FC"/>
          </w:tcPr>
          <w:p>
            <w:pPr>
              <w:ind w:left="140"/>
              <w:spacing w:after="0"/>
              <w:rPr>
                <w:sz w:val="20"/>
                <w:szCs w:val="20"/>
                <w:color w:val="auto"/>
              </w:rPr>
            </w:pPr>
            <w:r>
              <w:rPr>
                <w:rFonts w:ascii="Arial" w:cs="Arial" w:eastAsia="Arial" w:hAnsi="Arial"/>
                <w:sz w:val="18"/>
                <w:szCs w:val="18"/>
                <w:color w:val="auto"/>
              </w:rPr>
              <w:t>from unconsolidated entities</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380" w:type="dxa"/>
            <w:vAlign w:val="bottom"/>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gridSpan w:val="3"/>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380" w:type="dxa"/>
            <w:vAlign w:val="bottom"/>
            <w:tcBorders>
              <w:bottom w:val="single" w:sz="8" w:color="auto"/>
            </w:tcBorders>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1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00" w:type="dxa"/>
            <w:vAlign w:val="bottom"/>
            <w:gridSpan w:val="8"/>
            <w:vMerge w:val="restart"/>
          </w:tcPr>
          <w:p>
            <w:pPr>
              <w:jc w:val="right"/>
              <w:ind w:right="760"/>
              <w:spacing w:after="0"/>
              <w:rPr>
                <w:sz w:val="20"/>
                <w:szCs w:val="20"/>
                <w:color w:val="auto"/>
              </w:rPr>
            </w:pPr>
            <w:r>
              <w:rPr>
                <w:rFonts w:ascii="Arial" w:cs="Arial" w:eastAsia="Arial" w:hAnsi="Arial"/>
                <w:sz w:val="18"/>
                <w:szCs w:val="18"/>
                <w:b w:val="1"/>
                <w:bCs w:val="1"/>
                <w:color w:val="auto"/>
              </w:rPr>
              <w:t>Three Months Ended March 31, 2021</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8"/>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Leasing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7"/>
              </w:rPr>
              <w:t>Fiber Infrastructure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Corporate</w:t>
            </w:r>
          </w:p>
        </w:tc>
        <w:tc>
          <w:tcPr>
            <w:tcW w:w="100" w:type="dxa"/>
            <w:vAlign w:val="bottom"/>
          </w:tcPr>
          <w:p>
            <w:pPr>
              <w:spacing w:after="0"/>
              <w:rPr>
                <w:sz w:val="20"/>
                <w:szCs w:val="20"/>
                <w:color w:val="auto"/>
              </w:rPr>
            </w:pPr>
          </w:p>
        </w:tc>
        <w:tc>
          <w:tcPr>
            <w:tcW w:w="176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8"/>
              </w:rPr>
              <w:t>Reportable Segments</w:t>
            </w: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194,936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272,586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191,497</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(6,970)</w:t>
            </w:r>
          </w:p>
        </w:tc>
        <w:tc>
          <w:tcPr>
            <w:tcW w:w="360" w:type="dxa"/>
            <w:vAlign w:val="bottom"/>
            <w:gridSpan w:val="3"/>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214,248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70,964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ind w:left="140"/>
              <w:spacing w:after="0"/>
              <w:rPr>
                <w:sz w:val="20"/>
                <w:szCs w:val="20"/>
                <w:color w:val="auto"/>
              </w:rPr>
            </w:pPr>
            <w:r>
              <w:rPr>
                <w:rFonts w:ascii="Arial" w:cs="Arial" w:eastAsia="Arial" w:hAnsi="Arial"/>
                <w:sz w:val="18"/>
                <w:szCs w:val="18"/>
                <w:color w:val="auto"/>
              </w:rPr>
              <w:t>Transaction related and other costs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3"/>
          </w:tcPr>
          <w:p>
            <w:pPr>
              <w:ind w:left="14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5"/>
        </w:trPr>
        <w:tc>
          <w:tcPr>
            <w:tcW w:w="316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6"/>
              </w:rPr>
              <w:t>Adjustments for equity in earnings from</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60" w:type="dxa"/>
            <w:vAlign w:val="bottom"/>
            <w:gridSpan w:val="3"/>
            <w:vMerge w:val="restart"/>
            <w:shd w:val="clear" w:color="auto" w:fill="CFF0FC"/>
          </w:tcPr>
          <w:p>
            <w:pPr>
              <w:ind w:left="140"/>
              <w:spacing w:after="0"/>
              <w:rPr>
                <w:sz w:val="20"/>
                <w:szCs w:val="20"/>
                <w:color w:val="auto"/>
              </w:rPr>
            </w:pPr>
            <w:r>
              <w:rPr>
                <w:rFonts w:ascii="Arial" w:cs="Arial" w:eastAsia="Arial" w:hAnsi="Arial"/>
                <w:sz w:val="18"/>
                <w:szCs w:val="18"/>
                <w:color w:val="auto"/>
              </w:rPr>
              <w:t>unconsolidated entities</w:t>
            </w: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3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gridSpan w:val="3"/>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380" w:type="dxa"/>
            <w:vAlign w:val="bottom"/>
            <w:tcBorders>
              <w:bottom w:val="single" w:sz="8" w:color="auto"/>
            </w:tcBorders>
            <w:shd w:val="clear" w:color="auto" w:fill="CFF0FC"/>
          </w:tcPr>
          <w:p>
            <w:pPr>
              <w:spacing w:after="0"/>
              <w:rPr>
                <w:sz w:val="9"/>
                <w:szCs w:val="9"/>
                <w:color w:val="auto"/>
              </w:rPr>
            </w:pPr>
          </w:p>
        </w:tc>
        <w:tc>
          <w:tcPr>
            <w:tcW w:w="2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1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vMerge w:val="restart"/>
          </w:tcPr>
          <w:p>
            <w:pPr>
              <w:jc w:val="right"/>
              <w:ind w:right="14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32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4"/>
        </w:trPr>
        <w:tc>
          <w:tcPr>
            <w:tcW w:w="5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Summary of Operating Metrics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12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5"/>
              </w:rPr>
              <w:t>Operating Metrics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7"/>
              </w:rPr>
              <w:t>As of March 31,</w:t>
            </w: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2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2"/>
              </w:rPr>
              <w:t>% Increase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40" w:type="dxa"/>
            <w:vAlign w:val="bottom"/>
            <w:gridSpan w:val="5"/>
          </w:tcPr>
          <w:p>
            <w:pPr>
              <w:ind w:left="72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53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Operating metrics:</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20" w:type="dxa"/>
            <w:vAlign w:val="bottom"/>
            <w:gridSpan w:val="3"/>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2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Fiber strand miles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4,910,000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4,550,000</w:t>
            </w:r>
          </w:p>
        </w:tc>
        <w:tc>
          <w:tcPr>
            <w:tcW w:w="8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left="110"/>
              <w:spacing w:after="0"/>
              <w:rPr>
                <w:sz w:val="20"/>
                <w:szCs w:val="20"/>
                <w:color w:val="auto"/>
              </w:rPr>
            </w:pPr>
            <w:r>
              <w:rPr>
                <w:rFonts w:ascii="Arial" w:cs="Arial" w:eastAsia="Arial" w:hAnsi="Arial"/>
                <w:sz w:val="18"/>
                <w:szCs w:val="18"/>
                <w:color w:val="auto"/>
                <w:w w:val="87"/>
              </w:rPr>
              <w:t>7.9%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gridSpan w:val="3"/>
          </w:tcPr>
          <w:p>
            <w:pPr>
              <w:ind w:left="500"/>
              <w:spacing w:after="0"/>
              <w:rPr>
                <w:sz w:val="20"/>
                <w:szCs w:val="20"/>
                <w:color w:val="auto"/>
              </w:rPr>
            </w:pPr>
            <w:r>
              <w:rPr>
                <w:rFonts w:ascii="Arial" w:cs="Arial" w:eastAsia="Arial" w:hAnsi="Arial"/>
                <w:sz w:val="18"/>
                <w:szCs w:val="18"/>
                <w:color w:val="auto"/>
              </w:rPr>
              <w:t>Copper strand miles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230,000</w:t>
            </w:r>
          </w:p>
        </w:tc>
        <w:tc>
          <w:tcPr>
            <w:tcW w:w="80" w:type="dxa"/>
            <w:vAlign w:val="bottom"/>
          </w:tcPr>
          <w:p>
            <w:pPr>
              <w:spacing w:after="0"/>
              <w:rPr>
                <w:sz w:val="19"/>
                <w:szCs w:val="19"/>
                <w:color w:val="auto"/>
              </w:rPr>
            </w:pPr>
          </w:p>
        </w:tc>
        <w:tc>
          <w:tcPr>
            <w:tcW w:w="1400" w:type="dxa"/>
            <w:vAlign w:val="bottom"/>
            <w:gridSpan w:val="3"/>
          </w:tcPr>
          <w:p>
            <w:pPr>
              <w:jc w:val="center"/>
              <w:ind w:left="110"/>
              <w:spacing w:after="0"/>
              <w:rPr>
                <w:sz w:val="20"/>
                <w:szCs w:val="20"/>
                <w:color w:val="auto"/>
              </w:rPr>
            </w:pPr>
            <w:r>
              <w:rPr>
                <w:rFonts w:ascii="Arial" w:cs="Arial" w:eastAsia="Arial" w:hAnsi="Arial"/>
                <w:sz w:val="18"/>
                <w:szCs w:val="18"/>
                <w:color w:val="auto"/>
                <w:w w:val="87"/>
              </w:rPr>
              <w:t>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gridSpan w:val="3"/>
          </w:tcPr>
          <w:p>
            <w:pPr>
              <w:ind w:left="500"/>
              <w:spacing w:after="0"/>
              <w:rPr>
                <w:sz w:val="20"/>
                <w:szCs w:val="20"/>
                <w:color w:val="auto"/>
              </w:rPr>
            </w:pPr>
            <w:r>
              <w:rPr>
                <w:rFonts w:ascii="Arial" w:cs="Arial" w:eastAsia="Arial" w:hAnsi="Arial"/>
                <w:sz w:val="18"/>
                <w:szCs w:val="18"/>
                <w:color w:val="auto"/>
              </w:rPr>
              <w:t>Fiber strand miles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2,760,000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2,490,000</w:t>
            </w:r>
          </w:p>
        </w:tc>
        <w:tc>
          <w:tcPr>
            <w:tcW w:w="80" w:type="dxa"/>
            <w:vAlign w:val="bottom"/>
          </w:tcPr>
          <w:p>
            <w:pPr>
              <w:spacing w:after="0"/>
              <w:rPr>
                <w:sz w:val="19"/>
                <w:szCs w:val="19"/>
                <w:color w:val="auto"/>
              </w:rPr>
            </w:pPr>
          </w:p>
        </w:tc>
        <w:tc>
          <w:tcPr>
            <w:tcW w:w="14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2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26,315</w:t>
            </w:r>
          </w:p>
        </w:tc>
        <w:tc>
          <w:tcPr>
            <w:tcW w:w="8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center"/>
              <w:ind w:left="110"/>
              <w:spacing w:after="0"/>
              <w:rPr>
                <w:sz w:val="20"/>
                <w:szCs w:val="20"/>
                <w:color w:val="auto"/>
              </w:rPr>
            </w:pPr>
            <w:r>
              <w:rPr>
                <w:rFonts w:ascii="Arial" w:cs="Arial" w:eastAsia="Arial" w:hAnsi="Arial"/>
                <w:sz w:val="18"/>
                <w:szCs w:val="18"/>
                <w:color w:val="auto"/>
                <w:w w:val="87"/>
              </w:rPr>
              <w:t>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32"/>
        </w:trPr>
        <w:tc>
          <w:tcPr>
            <w:tcW w:w="5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2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8"/>
                <w:szCs w:val="18"/>
                <w:b w:val="1"/>
                <w:bCs w:val="1"/>
                <w:color w:val="auto"/>
                <w:w w:val="95"/>
              </w:rPr>
              <w:t>Three Months Ended March 31,</w:t>
            </w: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2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40"/>
              <w:spacing w:after="0" w:line="205"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tcPr>
          <w:p>
            <w:pPr>
              <w:jc w:val="center"/>
              <w:ind w:right="20"/>
              <w:spacing w:after="0" w:line="205"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Consolidated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32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13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Revenues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gridSpan w:val="3"/>
          </w:tcPr>
          <w:p>
            <w:pPr>
              <w:ind w:left="260"/>
              <w:spacing w:after="0"/>
              <w:rPr>
                <w:sz w:val="20"/>
                <w:szCs w:val="20"/>
                <w:color w:val="auto"/>
              </w:rPr>
            </w:pPr>
            <w:r>
              <w:rPr>
                <w:rFonts w:ascii="Arial" w:cs="Arial" w:eastAsia="Arial" w:hAnsi="Arial"/>
                <w:sz w:val="18"/>
                <w:szCs w:val="18"/>
                <w:color w:val="auto"/>
              </w:rPr>
              <w:t>Leasing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204,641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73.6%</w:t>
            </w:r>
          </w:p>
        </w:tc>
        <w:tc>
          <w:tcPr>
            <w:tcW w:w="100" w:type="dxa"/>
            <w:vAlign w:val="bottom"/>
          </w:tcPr>
          <w:p>
            <w:pPr>
              <w:spacing w:after="0"/>
              <w:rPr>
                <w:sz w:val="19"/>
                <w:szCs w:val="19"/>
                <w:color w:val="auto"/>
              </w:rPr>
            </w:pPr>
          </w:p>
        </w:tc>
        <w:tc>
          <w:tcPr>
            <w:tcW w:w="860" w:type="dxa"/>
            <w:vAlign w:val="bottom"/>
            <w:gridSpan w:val="4"/>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194,936</w:t>
            </w:r>
          </w:p>
        </w:tc>
        <w:tc>
          <w:tcPr>
            <w:tcW w:w="140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71.5%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73,393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26.4%</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1400" w:type="dxa"/>
            <w:vAlign w:val="bottom"/>
            <w:gridSpan w:val="3"/>
            <w:shd w:val="clear" w:color="auto" w:fill="CFF0FC"/>
          </w:tcPr>
          <w:p>
            <w:pPr>
              <w:jc w:val="center"/>
              <w:ind w:left="170"/>
              <w:spacing w:after="0"/>
              <w:rPr>
                <w:sz w:val="20"/>
                <w:szCs w:val="20"/>
                <w:color w:val="auto"/>
              </w:rPr>
            </w:pPr>
            <w:r>
              <w:rPr>
                <w:rFonts w:ascii="Arial" w:cs="Arial" w:eastAsia="Arial" w:hAnsi="Arial"/>
                <w:sz w:val="18"/>
                <w:szCs w:val="18"/>
                <w:color w:val="auto"/>
                <w:w w:val="90"/>
              </w:rPr>
              <w:t>28.5%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320" w:type="dxa"/>
            <w:vAlign w:val="bottom"/>
            <w:gridSpan w:val="3"/>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278,034</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272,586</w:t>
            </w:r>
          </w:p>
        </w:tc>
        <w:tc>
          <w:tcPr>
            <w:tcW w:w="260" w:type="dxa"/>
            <w:vAlign w:val="bottom"/>
            <w:gridSpan w:val="2"/>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our Distribution Systems to Windstream pursuant to the Windstream</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(and historically, the Master Lease).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2022 is $668.9 million and is subject to annual escalation at a rate of 0.5%. For a description of the Windstream Leases, see Part I, Item 2 Management’s Discussion and Analysis in “Liquidity and Capital Resources—Windstream Master Lease and Windstream Leases.”</w:t>
      </w:r>
    </w:p>
    <w:p>
      <w:pPr>
        <w:spacing w:after="0" w:line="1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this Part I, Item 2 Management’s Discussion and Analysis in “Liquidity and Capital Resources—Windstream Master Lease and Windstream Leases.”</w:t>
      </w:r>
    </w:p>
    <w:p>
      <w:pPr>
        <w:spacing w:after="0" w:line="176" w:lineRule="exact"/>
        <w:rPr>
          <w:sz w:val="20"/>
          <w:szCs w:val="20"/>
          <w:color w:val="auto"/>
        </w:rPr>
      </w:pPr>
    </w:p>
    <w:p>
      <w:pPr>
        <w:jc w:val="both"/>
        <w:ind w:right="560"/>
        <w:spacing w:after="0" w:line="29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If Uniti fails to reimburse any Growth Capital Improvement reimbursement payment or equipment loan funding request as and when it is required to do so under the terms of the Windstream Leases, and such failure continues for thirty (30) days, then such unreimbursed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amounts may be applied as an offset against the rent owed by Windstream under the Windstream Leases (and such amounts will thereafter be treated as if Uniti had reimbursed them).</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5"/>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00" w:type="dxa"/>
            <w:vAlign w:val="bottom"/>
          </w:tcPr>
          <w:p>
            <w:pPr>
              <w:spacing w:after="0"/>
              <w:rPr>
                <w:sz w:val="17"/>
                <w:szCs w:val="17"/>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Amount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Windstream Leases: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revenue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380"/>
              <w:spacing w:after="0"/>
              <w:rPr>
                <w:sz w:val="20"/>
                <w:szCs w:val="20"/>
                <w:color w:val="auto"/>
              </w:rPr>
            </w:pPr>
            <w:r>
              <w:rPr>
                <w:rFonts w:ascii="Arial" w:cs="Arial" w:eastAsia="Arial" w:hAnsi="Arial"/>
                <w:sz w:val="18"/>
                <w:szCs w:val="18"/>
                <w:color w:val="auto"/>
              </w:rPr>
              <w:t>Cash rent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166.7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81.5%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85.1%</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GCI revenue</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0.9%</w:t>
            </w:r>
          </w:p>
        </w:tc>
        <w:tc>
          <w:tcPr>
            <w:tcW w:w="4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Total cash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82.4%</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85.1%</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revenue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500"/>
              <w:spacing w:after="0"/>
              <w:rPr>
                <w:sz w:val="20"/>
                <w:szCs w:val="20"/>
                <w:color w:val="auto"/>
              </w:rPr>
            </w:pPr>
            <w:r>
              <w:rPr>
                <w:rFonts w:ascii="Arial" w:cs="Arial" w:eastAsia="Arial" w:hAnsi="Arial"/>
                <w:sz w:val="18"/>
                <w:szCs w:val="18"/>
                <w:color w:val="auto"/>
              </w:rPr>
              <w:t>TCI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5.1%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4.7%</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GCI revenue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1.9%</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straight-line revenue</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1.5%</w:t>
            </w:r>
          </w:p>
        </w:tc>
        <w:tc>
          <w:tcPr>
            <w:tcW w:w="4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2.0%</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non-cash revenue</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8.5%</w:t>
            </w:r>
          </w:p>
        </w:tc>
        <w:tc>
          <w:tcPr>
            <w:tcW w:w="4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7.6%</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Total Windstream Leases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186.0</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90.9%</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92.7%</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triple-net leasing and dark fiber IRU</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9.1%</w:t>
            </w:r>
          </w:p>
        </w:tc>
        <w:tc>
          <w:tcPr>
            <w:tcW w:w="4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7.3%</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tcPr>
          <w:p>
            <w:pPr>
              <w:ind w:left="380"/>
              <w:spacing w:after="0"/>
              <w:rPr>
                <w:sz w:val="20"/>
                <w:szCs w:val="20"/>
                <w:color w:val="auto"/>
              </w:rPr>
            </w:pPr>
            <w:r>
              <w:rPr>
                <w:rFonts w:ascii="Arial" w:cs="Arial" w:eastAsia="Arial" w:hAnsi="Arial"/>
                <w:sz w:val="18"/>
                <w:szCs w:val="18"/>
                <w:color w:val="auto"/>
              </w:rPr>
              <w:t>Total Leasing revenues</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increase in TCI revenue is attributable to continued investment by Windstream, which invested $38.7 million in TCIs during the three months ended March 31, 2022, offset by the Growth Capital Improvement reimbursement of capital improvements completed in 2021, as allowed under the Settlement, that were previously classified as TCIs of $29.0 million. The total amount invested in TCIs by Windstream since the inception of the Windstream Leases and Master Lease was $994.4 million as of March 31, 2022.</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increase in GCI revenue is attributable to Uniti’s continued reimbursement of Growth Capital Improvements. During the three months ended March 31, 2022, Uniti reimbursed $48.2 million of Growth Capital Improvements. Subsequent to March 31, 2022, Windstream requested, and we reimbursed $10.4 million of qualifying Growth Capital Improvements. As of the date of this Quarterly Report on Form 10-Q, we have reimbursed a total of $364.8 million of Growth Capital Improvements.</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three months ended March 31, 2022, we recognized $18.6 million of leasing revenues from non-Windstream triple-net leasing and dark fiber indefeasible rights of use (“IRU”) arrangements. For the three months ended March 31, 2021, we recognized $14.2 million from non-Windstream triple-net leasing and dark fiber IRU arrangements.</w:t>
      </w:r>
    </w:p>
    <w:p>
      <w:pPr>
        <w:spacing w:after="0" w:line="18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and was subject to the periodic filing requirements of the Securities Exchange Act of 1934, as amended (the “Exchange Act”). Windstream’s historic filings through their quarter ended June 30, 2020 can be found at www.sec.gov. Additionally, the Windstream audited financial statements as of December 31, 2021, and for the year ended December 31, 2021, as of December 31, 2020 and for the period from September 22, 2020 to December 31, 2020 and for the period from January 1, 2020 to September 21, 2020 and for the year ended December 31, 2019 are included as an exhibit to our Annual Report. On September 22, 2020, Windstream filed a Form 15 to terminate all filing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obligations under Section 12(g) and 15(d) under the Exchange Act. Windstream filings are not incorporated by reference in this Quarterly Report on Form 10-Q.</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March 31, 2022 and 2021 consisted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3"/>
              </w:rPr>
              <w:t>Three Months Ended March 31,</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9"/>
                <w:szCs w:val="19"/>
                <w:color w:val="auto"/>
              </w:rPr>
            </w:pPr>
          </w:p>
        </w:tc>
      </w:tr>
      <w:tr>
        <w:trPr>
          <w:trHeight w:val="205"/>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 of Segment</w:t>
            </w:r>
          </w:p>
        </w:tc>
        <w:tc>
          <w:tcPr>
            <w:tcW w:w="100" w:type="dxa"/>
            <w:vAlign w:val="bottom"/>
          </w:tcPr>
          <w:p>
            <w:pPr>
              <w:spacing w:after="0"/>
              <w:rPr>
                <w:sz w:val="17"/>
                <w:szCs w:val="17"/>
                <w:color w:val="auto"/>
              </w:rPr>
            </w:pP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w:t>
            </w: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19,438</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26.5%</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25,044</w:t>
            </w:r>
          </w:p>
        </w:tc>
        <w:tc>
          <w:tcPr>
            <w:tcW w:w="40" w:type="dxa"/>
            <w:vAlign w:val="bottom"/>
          </w:tcPr>
          <w:p>
            <w:pPr>
              <w:spacing w:after="0"/>
              <w:rPr>
                <w:sz w:val="19"/>
                <w:szCs w:val="19"/>
                <w:color w:val="auto"/>
              </w:rPr>
            </w:pP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32.3%</w:t>
            </w:r>
          </w:p>
        </w:tc>
        <w:tc>
          <w:tcPr>
            <w:tcW w:w="100" w:type="dxa"/>
            <w:vAlign w:val="bottom"/>
          </w:tcPr>
          <w:p>
            <w:pPr>
              <w:spacing w:after="0"/>
              <w:rPr>
                <w:sz w:val="19"/>
                <w:szCs w:val="19"/>
                <w:color w:val="auto"/>
              </w:rPr>
            </w:pPr>
          </w:p>
        </w:tc>
      </w:tr>
      <w:tr>
        <w:trPr>
          <w:trHeight w:val="229"/>
        </w:trPr>
        <w:tc>
          <w:tcPr>
            <w:tcW w:w="5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20,935</w:t>
            </w:r>
          </w:p>
        </w:tc>
        <w:tc>
          <w:tcPr>
            <w:tcW w:w="16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28.5%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w:t>
            </w:r>
          </w:p>
        </w:tc>
        <w:tc>
          <w:tcPr>
            <w:tcW w:w="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0"/>
              </w:rPr>
              <w:t>27.0%</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14,276</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19.5%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19,364</w:t>
            </w:r>
          </w:p>
        </w:tc>
        <w:tc>
          <w:tcPr>
            <w:tcW w:w="40" w:type="dxa"/>
            <w:vAlign w:val="bottom"/>
          </w:tcPr>
          <w:p>
            <w:pPr>
              <w:spacing w:after="0"/>
              <w:rPr>
                <w:sz w:val="19"/>
                <w:szCs w:val="19"/>
                <w:color w:val="auto"/>
              </w:rPr>
            </w:pP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24.9%</w:t>
            </w:r>
          </w:p>
        </w:tc>
        <w:tc>
          <w:tcPr>
            <w:tcW w:w="100" w:type="dxa"/>
            <w:vAlign w:val="bottom"/>
          </w:tcPr>
          <w:p>
            <w:pPr>
              <w:spacing w:after="0"/>
              <w:rPr>
                <w:sz w:val="19"/>
                <w:szCs w:val="19"/>
                <w:color w:val="auto"/>
              </w:rPr>
            </w:pPr>
          </w:p>
        </w:tc>
      </w:tr>
      <w:tr>
        <w:trPr>
          <w:trHeight w:val="229"/>
        </w:trPr>
        <w:tc>
          <w:tcPr>
            <w:tcW w:w="5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18,083</w:t>
            </w:r>
          </w:p>
        </w:tc>
        <w:tc>
          <w:tcPr>
            <w:tcW w:w="16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24.6%</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11,426</w:t>
            </w:r>
          </w:p>
        </w:tc>
        <w:tc>
          <w:tcPr>
            <w:tcW w:w="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0"/>
              </w:rPr>
              <w:t>14.7%</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0.9%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19"/>
                <w:szCs w:val="19"/>
                <w:color w:val="auto"/>
              </w:rPr>
            </w:pP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1.1%</w:t>
            </w:r>
          </w:p>
        </w:tc>
        <w:tc>
          <w:tcPr>
            <w:tcW w:w="10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77,650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the three months ended March 31, 2022, Fiber Infrastructure revenues totaled $73.4 million as compared to $77.7 million for the three months ended March 31, 2021. As of March 31, 2022, we had approximately 26,631 customer connections, up from 26,315 customer connections as of March 31, 2021. The $4.3 million decrease in Fiber Infrastructure revenues is attributable to the following factors: (i) Lit backhaul service revenues decreased $5.6 million driven by a $4.3 million decrease attributable to the Uniti Fiber Northeast operations sold on May 28, 2021, a $1.0 million decrease due to lit-to-dark fiber conversions and $0.3 million decease due to contract renewals at a lower rate and longer term; and (ii) E-Rate and government decreased $5.1 million primarily related to a $4.0 million decrease in installation and equipment sales and a $0.7 million decrease due to the wind down of our construction activities. These reductions were partially offset by a $6.7 million increase in dark fiber and small cell revenues primarily attributable to one-time early termination revenues.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644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6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320" w:type="dxa"/>
            <w:vAlign w:val="bottom"/>
          </w:tcPr>
          <w:p>
            <w:pPr>
              <w:spacing w:after="0"/>
              <w:rPr>
                <w:sz w:val="24"/>
                <w:szCs w:val="24"/>
                <w:color w:val="auto"/>
              </w:rPr>
            </w:pPr>
          </w:p>
        </w:tc>
        <w:tc>
          <w:tcPr>
            <w:tcW w:w="3300" w:type="dxa"/>
            <w:vAlign w:val="bottom"/>
            <w:gridSpan w:val="8"/>
            <w:vMerge w:val="restart"/>
          </w:tcPr>
          <w:p>
            <w:pPr>
              <w:jc w:val="right"/>
              <w:ind w:right="9"/>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8"/>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0"/>
              <w:spacing w:after="0" w:line="205" w:lineRule="exact"/>
              <w:rPr>
                <w:sz w:val="20"/>
                <w:szCs w:val="20"/>
                <w:color w:val="auto"/>
              </w:rPr>
            </w:pPr>
            <w:r>
              <w:rPr>
                <w:rFonts w:ascii="Arial" w:cs="Arial" w:eastAsia="Arial" w:hAnsi="Arial"/>
                <w:sz w:val="18"/>
                <w:szCs w:val="18"/>
                <w:b w:val="1"/>
                <w:bCs w:val="1"/>
                <w:color w:val="auto"/>
                <w:w w:val="96"/>
              </w:rPr>
              <w:t>Increase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4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3"/>
          </w:tcPr>
          <w:p>
            <w:pPr>
              <w:ind w:left="260"/>
              <w:spacing w:after="0"/>
              <w:rPr>
                <w:sz w:val="20"/>
                <w:szCs w:val="20"/>
                <w:color w:val="auto"/>
              </w:rPr>
            </w:pPr>
            <w:r>
              <w:rPr>
                <w:rFonts w:ascii="Arial" w:cs="Arial" w:eastAsia="Arial" w:hAnsi="Arial"/>
                <w:sz w:val="18"/>
                <w:szCs w:val="18"/>
                <w:b w:val="1"/>
                <w:bCs w:val="1"/>
                <w:color w:val="auto"/>
              </w:rPr>
              <w:t>Cash:</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Senior secured notes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51,066</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52,547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30"/>
        </w:trPr>
        <w:tc>
          <w:tcPr>
            <w:tcW w:w="6440" w:type="dxa"/>
            <w:vAlign w:val="bottom"/>
            <w:gridSpan w:val="3"/>
          </w:tcPr>
          <w:p>
            <w:pPr>
              <w:ind w:left="380"/>
              <w:spacing w:after="0"/>
              <w:rPr>
                <w:sz w:val="20"/>
                <w:szCs w:val="20"/>
                <w:color w:val="auto"/>
              </w:rPr>
            </w:pPr>
            <w:r>
              <w:rPr>
                <w:rFonts w:ascii="Arial" w:cs="Arial" w:eastAsia="Arial" w:hAnsi="Arial"/>
                <w:sz w:val="18"/>
                <w:szCs w:val="18"/>
                <w:color w:val="auto"/>
              </w:rPr>
              <w:t>Senior unsecured notes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34,885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29"/>
        </w:trPr>
        <w:tc>
          <w:tcPr>
            <w:tcW w:w="64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3"/>
          </w:tcPr>
          <w:p>
            <w:pPr>
              <w:ind w:left="380"/>
              <w:spacing w:after="0"/>
              <w:rPr>
                <w:sz w:val="20"/>
                <w:szCs w:val="20"/>
                <w:color w:val="auto"/>
              </w:rPr>
            </w:pPr>
            <w:r>
              <w:rPr>
                <w:rFonts w:ascii="Arial" w:cs="Arial" w:eastAsia="Arial" w:hAnsi="Arial"/>
                <w:sz w:val="18"/>
                <w:szCs w:val="18"/>
                <w:color w:val="auto"/>
              </w:rPr>
              <w:t>Tender premium payment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30"/>
        </w:trPr>
        <w:tc>
          <w:tcPr>
            <w:tcW w:w="64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Interest rate swap termination</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3"/>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 cash interest</w:t>
            </w: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88,842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111,047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gridSpan w:val="3"/>
          </w:tcPr>
          <w:p>
            <w:pPr>
              <w:ind w:left="260"/>
              <w:spacing w:after="0"/>
              <w:rPr>
                <w:sz w:val="20"/>
                <w:szCs w:val="20"/>
                <w:color w:val="auto"/>
              </w:rPr>
            </w:pPr>
            <w:r>
              <w:rPr>
                <w:rFonts w:ascii="Arial" w:cs="Arial" w:eastAsia="Arial" w:hAnsi="Arial"/>
                <w:sz w:val="18"/>
                <w:szCs w:val="18"/>
                <w:b w:val="1"/>
                <w:bCs w:val="1"/>
                <w:color w:val="auto"/>
              </w:rPr>
              <w:t>Non-cash:</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9"/>
        </w:trPr>
        <w:tc>
          <w:tcPr>
            <w:tcW w:w="6440" w:type="dxa"/>
            <w:vAlign w:val="bottom"/>
            <w:gridSpan w:val="3"/>
          </w:tcPr>
          <w:p>
            <w:pPr>
              <w:ind w:left="380"/>
              <w:spacing w:after="0"/>
              <w:rPr>
                <w:sz w:val="20"/>
                <w:szCs w:val="20"/>
                <w:color w:val="auto"/>
              </w:rPr>
            </w:pPr>
            <w:r>
              <w:rPr>
                <w:rFonts w:ascii="Arial" w:cs="Arial" w:eastAsia="Arial" w:hAnsi="Arial"/>
                <w:sz w:val="18"/>
                <w:szCs w:val="18"/>
                <w:color w:val="auto"/>
              </w:rPr>
              <w:t>Write off of deferred financing costs and debt discount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(20,415)</w:t>
            </w:r>
          </w:p>
        </w:tc>
        <w:tc>
          <w:tcPr>
            <w:tcW w:w="0" w:type="dxa"/>
            <w:vAlign w:val="bottom"/>
          </w:tcPr>
          <w:p>
            <w:pPr>
              <w:spacing w:after="0"/>
              <w:rPr>
                <w:sz w:val="1"/>
                <w:szCs w:val="1"/>
                <w:color w:val="auto"/>
              </w:rPr>
            </w:pPr>
          </w:p>
        </w:tc>
      </w:tr>
      <w:tr>
        <w:trPr>
          <w:trHeight w:val="229"/>
        </w:trPr>
        <w:tc>
          <w:tcPr>
            <w:tcW w:w="64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Accretion of settlement payable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30"/>
        </w:trPr>
        <w:tc>
          <w:tcPr>
            <w:tcW w:w="6440" w:type="dxa"/>
            <w:vAlign w:val="bottom"/>
            <w:gridSpan w:val="3"/>
          </w:tcPr>
          <w:p>
            <w:pPr>
              <w:ind w:left="380"/>
              <w:spacing w:after="0"/>
              <w:rPr>
                <w:sz w:val="20"/>
                <w:szCs w:val="20"/>
                <w:color w:val="auto"/>
              </w:rPr>
            </w:pPr>
            <w:r>
              <w:rPr>
                <w:rFonts w:ascii="Arial" w:cs="Arial" w:eastAsia="Arial" w:hAnsi="Arial"/>
                <w:sz w:val="18"/>
                <w:szCs w:val="18"/>
                <w:color w:val="auto"/>
              </w:rPr>
              <w:t>Capitalized Interest</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 non-cash interest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29,534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3"/>
          </w:tcPr>
          <w:p>
            <w:pPr>
              <w:ind w:left="620"/>
              <w:spacing w:after="0"/>
              <w:rPr>
                <w:sz w:val="20"/>
                <w:szCs w:val="20"/>
                <w:color w:val="auto"/>
              </w:rPr>
            </w:pPr>
            <w:r>
              <w:rPr>
                <w:rFonts w:ascii="Arial" w:cs="Arial" w:eastAsia="Arial" w:hAnsi="Arial"/>
                <w:sz w:val="18"/>
                <w:szCs w:val="18"/>
                <w:color w:val="auto"/>
              </w:rPr>
              <w:t>Total interest expense, net</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140,581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Interest expense for the three months ended March 31, 2022 decreased $44.4 million compared to the three months ended March 31, 2021. The decrease is primarily due to the February 2, 2021 issuance of $1.11 billion aggregate principal amount of 6.50% Senior Unsecured Notes due 2029 (the “2029 Notes”) used to fund the redemption of the 8.25% Senior Unsecured Notes due 2023 (the “2023 Notes”) which resulted in a $17.6 million tender premium payment and the $20.4 million write off of deferred financing costs and debt discount during the three months ended March 31, 2021 and reduced cash interest of $2.5 million for the three months ended March 31,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4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50"/>
              <w:spacing w:after="0" w:line="205" w:lineRule="exact"/>
              <w:rPr>
                <w:sz w:val="20"/>
                <w:szCs w:val="20"/>
                <w:color w:val="auto"/>
              </w:rPr>
            </w:pPr>
            <w:r>
              <w:rPr>
                <w:rFonts w:ascii="Arial" w:cs="Arial" w:eastAsia="Arial" w:hAnsi="Arial"/>
                <w:sz w:val="18"/>
                <w:szCs w:val="18"/>
                <w:b w:val="1"/>
                <w:bCs w:val="1"/>
                <w:color w:val="auto"/>
                <w:w w:val="96"/>
              </w:rPr>
              <w:t>Increase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Arial" w:cs="Arial" w:eastAsia="Arial" w:hAnsi="Arial"/>
                <w:sz w:val="18"/>
                <w:szCs w:val="18"/>
                <w:color w:val="auto"/>
              </w:rPr>
              <w:t>(Thousands)</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w:t>
            </w:r>
          </w:p>
        </w:tc>
        <w:tc>
          <w:tcPr>
            <w:tcW w:w="2000" w:type="dxa"/>
            <w:vAlign w:val="bottom"/>
            <w:gridSpan w:val="3"/>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40,372</w:t>
            </w:r>
          </w:p>
        </w:tc>
        <w:tc>
          <w:tcPr>
            <w:tcW w:w="60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43,170</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29"/>
        </w:trPr>
        <w:tc>
          <w:tcPr>
            <w:tcW w:w="4760" w:type="dxa"/>
            <w:vAlign w:val="bottom"/>
          </w:tcPr>
          <w:p>
            <w:pPr>
              <w:ind w:left="380"/>
              <w:spacing w:after="0"/>
              <w:rPr>
                <w:sz w:val="20"/>
                <w:szCs w:val="20"/>
                <w:color w:val="auto"/>
              </w:rPr>
            </w:pPr>
            <w:r>
              <w:rPr>
                <w:rFonts w:ascii="Arial" w:cs="Arial" w:eastAsia="Arial" w:hAnsi="Arial"/>
                <w:sz w:val="18"/>
                <w:szCs w:val="18"/>
                <w:color w:val="auto"/>
              </w:rPr>
              <w:t>Fiber Infrastructure</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23,602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Arial" w:cs="Arial" w:eastAsia="Arial" w:hAnsi="Arial"/>
                <w:sz w:val="18"/>
                <w:szCs w:val="18"/>
                <w:color w:val="auto"/>
              </w:rPr>
              <w:t>Total depreciation expense</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64,010</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80"/>
              <w:spacing w:after="0"/>
              <w:rPr>
                <w:sz w:val="20"/>
                <w:szCs w:val="20"/>
                <w:color w:val="auto"/>
              </w:rPr>
            </w:pPr>
            <w:r>
              <w:rPr>
                <w:rFonts w:ascii="Arial" w:cs="Arial" w:eastAsia="Arial" w:hAnsi="Arial"/>
                <w:sz w:val="18"/>
                <w:szCs w:val="18"/>
                <w:color w:val="auto"/>
              </w:rPr>
              <w:t>Leasing</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Fiber Infrastructure</w:t>
            </w: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amortization expense</w:t>
            </w:r>
          </w:p>
        </w:tc>
        <w:tc>
          <w:tcPr>
            <w:tcW w:w="15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7,447</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depreciation and amortization expense</w:t>
            </w:r>
          </w:p>
        </w:tc>
        <w:tc>
          <w:tcPr>
            <w:tcW w:w="15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71,457</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70,964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00" w:type="dxa"/>
            <w:vAlign w:val="bottom"/>
            <w:vMerge w:val="restart"/>
          </w:tcPr>
          <w:p>
            <w:pPr>
              <w:jc w:val="right"/>
              <w:ind w:right="45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depreciation expense decreased $2.8 million for the quarter ended March 31, 2022 as compared to the quarter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decrease is primarily attributable to a $3.1 million decrease related to the natural decrease in remaining useful life of the Windstream Distribution System assets which utilize the group composite depreciation method, partially offset by a $0.4 million increase in depreciation related to depreciable asset additions since March 31, 2021. During the three months ended March 31, 2021, $2.7 million was recorded as a benefit to amortization expense, and subsequently reclassified to revenue during the fourth quarter of 2021.</w:t>
      </w:r>
    </w:p>
    <w:p>
      <w:pPr>
        <w:spacing w:after="0" w:line="18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depreciation expense increased $0.7 million for the quarter ended March 31, 2022 as compared to the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The increase in depreciation expense is primarily attributable to depreciable asset additions since March 31, 2021, net of depreciation expenses due to fully depreciated assets and disposals.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ind w:left="240"/>
              <w:spacing w:after="0"/>
              <w:rPr>
                <w:sz w:val="20"/>
                <w:szCs w:val="20"/>
                <w:color w:val="auto"/>
              </w:rPr>
            </w:pPr>
            <w:r>
              <w:rPr>
                <w:rFonts w:ascii="Arial" w:cs="Arial" w:eastAsia="Arial" w:hAnsi="Arial"/>
                <w:sz w:val="18"/>
                <w:szCs w:val="18"/>
                <w:b w:val="1"/>
                <w:bCs w:val="1"/>
                <w:color w:val="auto"/>
              </w:rPr>
              <w:t>Three Months Ended 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r>
      <w:tr>
        <w:trPr>
          <w:trHeight w:val="216"/>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Consolidated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480" w:type="dxa"/>
            <w:vAlign w:val="bottom"/>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Revenues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Leasing</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3,303</w:t>
            </w:r>
          </w:p>
        </w:tc>
        <w:tc>
          <w:tcPr>
            <w:tcW w:w="15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1.2%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19"/>
                <w:szCs w:val="19"/>
                <w:color w:val="auto"/>
              </w:rPr>
            </w:pPr>
          </w:p>
        </w:tc>
      </w:tr>
      <w:tr>
        <w:trPr>
          <w:trHeight w:val="229"/>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12,646</w:t>
            </w:r>
          </w:p>
        </w:tc>
        <w:tc>
          <w:tcPr>
            <w:tcW w:w="154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4.6%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5.1%</w:t>
            </w: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7,921</w:t>
            </w:r>
          </w:p>
        </w:tc>
        <w:tc>
          <w:tcPr>
            <w:tcW w:w="15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2.8%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23,870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8.6%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general and administrative expense increased $0.7 million for the three months ended March 31, 2022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The increase is primarily attributable to a $0.4 million increase in personnel expenses and a $0.3 million loss on the retirement of assets.</w:t>
      </w:r>
    </w:p>
    <w:p>
      <w:pPr>
        <w:spacing w:after="0" w:line="184"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Fiber Infrastructure general and administrative expense decreased $1.2 million for the three months ended March 31, 2022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months ended March 31, 2021. This decrease is primarily attributable to decreases in bad debt reserves of $0.3 million driven by increased collections, decreased personnel expense of $0.2 million and gains on the sale of equipment and idle fleet vehicle assets of $0.2 million.</w:t>
      </w:r>
    </w:p>
    <w:p>
      <w:pPr>
        <w:spacing w:after="0" w:line="14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u w:val="single" w:color="auto"/>
          <w:color w:val="auto"/>
        </w:rPr>
        <w:t>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 Corporate general and administrative expense decreased $1.5 million for the three months ended March 31, 2022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The decrease is attributable to a $1.2 million decrease in insurance expenses and $1.0 million decrease in personnel expenses, partially offset by a $0.5 million increase in professional and legal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Operating expense for the three months ended March 31, 2022 decreased by $3.1 million from the three months ended March 31, 2021, which was primarily attributable to a decrease in Fiber Infrastructure operating expenses partially offset by an increase in Leasing operating expenses discussed below. Operating expense for our reportable segments for the three months ended March 31, 2022 and 2021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3"/>
              </w:rPr>
              <w:t>Three Months Ended March 31,</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9"/>
                <w:szCs w:val="19"/>
                <w:color w:val="auto"/>
              </w:rPr>
            </w:pPr>
          </w:p>
        </w:tc>
      </w:tr>
      <w:tr>
        <w:trPr>
          <w:trHeight w:val="205"/>
        </w:trPr>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Consolidated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Revenues</w:t>
            </w: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4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4,867</w:t>
            </w:r>
          </w:p>
        </w:tc>
        <w:tc>
          <w:tcPr>
            <w:tcW w:w="160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1.8%</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3,229</w:t>
            </w:r>
          </w:p>
        </w:tc>
        <w:tc>
          <w:tcPr>
            <w:tcW w:w="40" w:type="dxa"/>
            <w:vAlign w:val="bottom"/>
          </w:tcPr>
          <w:p>
            <w:pPr>
              <w:spacing w:after="0"/>
              <w:rPr>
                <w:sz w:val="19"/>
                <w:szCs w:val="19"/>
                <w:color w:val="auto"/>
              </w:rPr>
            </w:pPr>
          </w:p>
        </w:tc>
        <w:tc>
          <w:tcPr>
            <w:tcW w:w="160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1.2%</w:t>
            </w:r>
          </w:p>
        </w:tc>
        <w:tc>
          <w:tcPr>
            <w:tcW w:w="100" w:type="dxa"/>
            <w:vAlign w:val="bottom"/>
          </w:tcPr>
          <w:p>
            <w:pPr>
              <w:spacing w:after="0"/>
              <w:rPr>
                <w:sz w:val="19"/>
                <w:szCs w:val="19"/>
                <w:color w:val="auto"/>
              </w:rPr>
            </w:pPr>
          </w:p>
        </w:tc>
      </w:tr>
      <w:tr>
        <w:trPr>
          <w:trHeight w:val="230"/>
        </w:trPr>
        <w:tc>
          <w:tcPr>
            <w:tcW w:w="54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30,109</w:t>
            </w:r>
          </w:p>
        </w:tc>
        <w:tc>
          <w:tcPr>
            <w:tcW w:w="16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10.8%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34,855</w:t>
            </w:r>
          </w:p>
        </w:tc>
        <w:tc>
          <w:tcPr>
            <w:tcW w:w="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0"/>
              </w:rPr>
              <w:t>12.8%</w:t>
            </w:r>
          </w:p>
        </w:tc>
        <w:tc>
          <w:tcPr>
            <w:tcW w:w="100" w:type="dxa"/>
            <w:vAlign w:val="bottom"/>
            <w:shd w:val="clear" w:color="auto" w:fill="CFF0FC"/>
          </w:tcPr>
          <w:p>
            <w:pPr>
              <w:spacing w:after="0"/>
              <w:rPr>
                <w:sz w:val="19"/>
                <w:szCs w:val="19"/>
                <w:color w:val="auto"/>
              </w:rPr>
            </w:pPr>
          </w:p>
        </w:tc>
      </w:tr>
      <w:tr>
        <w:trPr>
          <w:trHeight w:val="223"/>
        </w:trPr>
        <w:tc>
          <w:tcPr>
            <w:tcW w:w="544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34,976</w:t>
            </w:r>
          </w:p>
        </w:tc>
        <w:tc>
          <w:tcPr>
            <w:tcW w:w="2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12.6%</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38,084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14.0%</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operating expense was $4.9 million and $3.2 million for the three months ended March 31, 2022 and 2021, respectively. The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growth within our Leasing business growth resulting in a $1.0 million increase in network expenses.</w:t>
      </w:r>
    </w:p>
    <w:p>
      <w:pPr>
        <w:spacing w:after="0" w:line="1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2022, Fiber Infrastructure operating expenses totaled $30.1 million as compared to $34.9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2021. Operating expense consists of network related costs, such as dark fiber and tower rents, and lit service and maintenance expense. In addition, costs associated with our construction activities are presented within operating expenses. The $4.7 million decrease in operating expenses is primarily attributable to decreases of $3.9 million in equipment sales and installations expenses, $1.7 million in expenses related to the Uniti Fiber Northeast operations sold on May 28, 2021 and $1.1 million in construction related expenses, partially offset by a $1.5 million increase in dark fiber early termination fees.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three months ended March 31, 2022, we incurred $1.7 million of transaction related and other costs, compared to $4.1 million of such costs during the three months ended March 31, 2021. The decrease is primarily attributable to a $1.3 million decrease in costs incurred related to the Windstream bankruptcy for the comparable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recorded for the three months ended March 31, 2022 and 2021, respectively, is related to the tax impact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Pre-tax loss (Fiber Infrastructure)</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(3,812)</w:t>
            </w: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(3,058)</w:t>
            </w: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REIT state and local taxes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r>
      <w:tr>
        <w:trPr>
          <w:trHeight w:val="223"/>
        </w:trPr>
        <w:tc>
          <w:tcPr>
            <w:tcW w:w="7220" w:type="dxa"/>
            <w:vAlign w:val="bottom"/>
          </w:tcPr>
          <w:p>
            <w:pPr>
              <w:ind w:left="380"/>
              <w:spacing w:after="0"/>
              <w:rPr>
                <w:sz w:val="20"/>
                <w:szCs w:val="20"/>
                <w:color w:val="auto"/>
              </w:rPr>
            </w:pPr>
            <w:r>
              <w:rPr>
                <w:rFonts w:ascii="Arial" w:cs="Arial" w:eastAsia="Arial" w:hAnsi="Arial"/>
                <w:sz w:val="18"/>
                <w:szCs w:val="18"/>
                <w:color w:val="auto"/>
              </w:rPr>
              <w:t>Total income tax benefit</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1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r>
        <w:rPr>
          <w:rFonts w:ascii="Arial" w:cs="Arial" w:eastAsia="Arial" w:hAnsi="Arial"/>
          <w:sz w:val="19"/>
          <w:szCs w:val="19"/>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income (loss) to EBITDA and Adjusted EBITDA and of our net income (loss) attributable to common shareholders to FFO and AFFO for the three months ended March 31, 2022 and 2021 is as follows:</w:t>
      </w:r>
    </w:p>
    <w:p>
      <w:pPr>
        <w:spacing w:after="0" w:line="180"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4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71,457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70,964</w:t>
            </w:r>
          </w:p>
        </w:tc>
        <w:tc>
          <w:tcPr>
            <w:tcW w:w="120" w:type="dxa"/>
            <w:vAlign w:val="bottom"/>
          </w:tcPr>
          <w:p>
            <w:pPr>
              <w:spacing w:after="0"/>
              <w:rPr>
                <w:sz w:val="19"/>
                <w:szCs w:val="19"/>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140,581</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Income tax benefit</w:t>
            </w:r>
          </w:p>
        </w:tc>
        <w:tc>
          <w:tcPr>
            <w:tcW w:w="4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(2,071)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(2,557)</w:t>
            </w: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218,416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19"/>
                <w:szCs w:val="19"/>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and other costs</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1,318</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Adjustments for equity in earnings from unconsolidated entities</w:t>
            </w:r>
          </w:p>
        </w:tc>
        <w:tc>
          <w:tcPr>
            <w:tcW w:w="4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224,789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214,248</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4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52,394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51,893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53,377</w:t>
            </w:r>
          </w:p>
        </w:tc>
        <w:tc>
          <w:tcPr>
            <w:tcW w:w="120" w:type="dxa"/>
            <w:vAlign w:val="bottom"/>
          </w:tcPr>
          <w:p>
            <w:pPr>
              <w:spacing w:after="0"/>
              <w:rPr>
                <w:sz w:val="19"/>
                <w:szCs w:val="19"/>
                <w:color w:val="auto"/>
              </w:rPr>
            </w:pPr>
          </w:p>
        </w:tc>
      </w:tr>
      <w:tr>
        <w:trPr>
          <w:trHeight w:val="229"/>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Participating securities share in FFO</w:t>
            </w:r>
          </w:p>
        </w:tc>
        <w:tc>
          <w:tcPr>
            <w:tcW w:w="4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Real estate depreciation and amortization from unconsolidated entities</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4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(796)</w:t>
            </w: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104,521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Transaction related and other costs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Amortization of deferred financing costs and debt discount</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4,959</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Write off of deferred financing costs and debt discount</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20,415</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Costs related to the early repayment of debt</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17,550</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based compensation</w:t>
            </w: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19,564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17,587</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Straight-line revenues and amortization of below-market lease intangibles</w:t>
            </w:r>
          </w:p>
        </w:tc>
        <w:tc>
          <w:tcPr>
            <w:tcW w:w="4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(11,022)</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(6,906)</w:t>
            </w: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44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(2,366)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(1,976)</w:t>
            </w: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4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(8,170)</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(3,970)</w:t>
            </w: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Adjustments for equity in earnings from unconsolidated entities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r>
      <w:tr>
        <w:trPr>
          <w:trHeight w:val="230"/>
        </w:trPr>
        <w:tc>
          <w:tcPr>
            <w:tcW w:w="6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4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(818)</w:t>
            </w:r>
          </w:p>
        </w:tc>
      </w:tr>
      <w:tr>
        <w:trPr>
          <w:trHeight w:val="223"/>
        </w:trPr>
        <w:tc>
          <w:tcPr>
            <w:tcW w:w="6840" w:type="dxa"/>
            <w:vAlign w:val="bottom"/>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112,342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103,102</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$215.4 million of the $490.1 million due to Windstream under the settlement agreement, including $92.9 million that we pre-paid on October 14, 2021, $78.0 million of which was funded from a portion of the proceeds of the 2030 Notes. Uniti’s reimbursement commitment for Growth Capital Improvements does not require Uniti to reimburse Windstream for maintenance or repair expenditures (except for costs incurred for fiber replacements to the CLEC MLA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in 2021, and are limited to $225 million per year in 2022 through 2024; $175 million per year in 2025 and 2026; and $125 million per year in 2027 through 2029.</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and lenders party thereto and Bank of America, N.A., as administrative agent and collateral agent (the “Credit Agreement”), and proceeds from the issuance of debt and equity securities.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As of March 31, 2022, we had cash and cash equivalents of $51.1 million and approximately $335.5 million of borrowing availability under our Revolving Credit Facility. Subsequent to March 31, 2022, other than $10.4 million of Growth Capital Improvements (see </w:t>
      </w:r>
      <w:r>
        <w:rPr>
          <w:rFonts w:ascii="Arial" w:cs="Arial" w:eastAsia="Arial" w:hAnsi="Arial"/>
          <w:sz w:val="18"/>
          <w:szCs w:val="18"/>
          <w:i w:val="1"/>
          <w:iCs w:val="1"/>
          <w:color w:val="auto"/>
        </w:rPr>
        <w:t>“Result of Operations—Revenues”</w:t>
      </w:r>
      <w:r>
        <w:rPr>
          <w:rFonts w:ascii="Arial" w:cs="Arial" w:eastAsia="Arial" w:hAnsi="Arial"/>
          <w:sz w:val="18"/>
          <w:szCs w:val="18"/>
          <w:color w:val="auto"/>
        </w:rPr>
        <w:t xml:space="preserve"> above), 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7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13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63,221</w:t>
            </w:r>
          </w:p>
        </w:tc>
        <w:tc>
          <w:tcPr>
            <w:tcW w:w="140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126,664</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 compensation and related costs, interest payments, and other changes in working capital. Cash provided by operating activities was $63.2 million and $126.7 million for the three months ended March 31, 2022 and 2021, respectively. The decrease in cash provided by operating activities during the three months ended March 31, 2022 is primarily attributable to changes in working capital, including the timing of interest payments associated with debt refinancing activities occurring in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9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Other capital expenditures</w:t>
            </w:r>
          </w:p>
        </w:tc>
        <w:tc>
          <w:tcPr>
            <w:tcW w:w="3480" w:type="dxa"/>
            <w:vAlign w:val="bottom"/>
            <w:gridSpan w:val="3"/>
          </w:tcPr>
          <w:p>
            <w:pPr>
              <w:jc w:val="right"/>
              <w:ind w:right="1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(94,728)</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(84,377)</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other equipment</w:t>
            </w:r>
          </w:p>
        </w:tc>
        <w:tc>
          <w:tcPr>
            <w:tcW w:w="2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940" w:type="dxa"/>
            <w:vAlign w:val="bottom"/>
            <w:vMerge w:val="restart"/>
          </w:tcPr>
          <w:p>
            <w:pPr>
              <w:jc w:val="right"/>
              <w:ind w:right="141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2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Cash used in investing activities was $94.3 million and $84.4 million for the three months ended March 31, 2022 and 2021, respectively, and is driven by capital expenditures, primarily related to our Uniti Fiber and Uniti Leasing businesses for deployment of network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Repayment of debt</w:t>
            </w:r>
          </w:p>
        </w:tc>
        <w:tc>
          <w:tcPr>
            <w:tcW w:w="54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(1,051,181)</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(34,961)</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settlement payable</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(24,505)</w:t>
            </w: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(2,979)</w:t>
            </w: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(520)</w:t>
            </w: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105,000</w:t>
            </w:r>
          </w:p>
        </w:tc>
        <w:tc>
          <w:tcPr>
            <w:tcW w:w="120" w:type="dxa"/>
            <w:vAlign w:val="bottom"/>
          </w:tcPr>
          <w:p>
            <w:pPr>
              <w:spacing w:after="0"/>
              <w:rPr>
                <w:sz w:val="19"/>
                <w:szCs w:val="19"/>
                <w:color w:val="auto"/>
              </w:rPr>
            </w:pP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(60,000)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(55,000)</w:t>
            </w: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Finance lease payments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(710)</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financing costs</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(22,931)</w:t>
            </w: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Payment for tender premium</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(17,550)</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program</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Payments related to tax withholding for stock-based compensation</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(2,306)</w:t>
            </w:r>
          </w:p>
        </w:tc>
      </w:tr>
      <w:tr>
        <w:trPr>
          <w:trHeight w:val="223"/>
        </w:trPr>
        <w:tc>
          <w:tcPr>
            <w:tcW w:w="72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Cash provided by financing activities was $23.4 million for the three months ended March 31, 2022, which was </w:t>
      </w:r>
      <w:r>
        <w:rPr>
          <w:rFonts w:ascii="Arial" w:cs="Arial" w:eastAsia="Arial" w:hAnsi="Arial"/>
          <w:sz w:val="18"/>
          <w:szCs w:val="18"/>
          <w:color w:val="212529"/>
        </w:rPr>
        <w:t>primarily driven by net borrowings of</w:t>
      </w:r>
      <w:r>
        <w:rPr>
          <w:rFonts w:ascii="Arial" w:cs="Arial" w:eastAsia="Arial" w:hAnsi="Arial"/>
          <w:sz w:val="18"/>
          <w:szCs w:val="18"/>
          <w:color w:val="auto"/>
        </w:rPr>
        <w:t xml:space="preserve"> </w:t>
      </w:r>
      <w:r>
        <w:rPr>
          <w:rFonts w:ascii="Arial" w:cs="Arial" w:eastAsia="Arial" w:hAnsi="Arial"/>
          <w:sz w:val="18"/>
          <w:szCs w:val="18"/>
          <w:color w:val="212529"/>
        </w:rPr>
        <w:t xml:space="preserve">$25.0 million under the Revolving Credit Facility. </w:t>
      </w:r>
      <w:r>
        <w:rPr>
          <w:rFonts w:ascii="Arial" w:cs="Arial" w:eastAsia="Arial" w:hAnsi="Arial"/>
          <w:sz w:val="18"/>
          <w:szCs w:val="18"/>
          <w:color w:val="000000"/>
        </w:rPr>
        <w:t>Cash provided by financing activities was $2.6 million for the three months ended March 31, 2021,</w:t>
      </w:r>
      <w:r>
        <w:rPr>
          <w:rFonts w:ascii="Arial" w:cs="Arial" w:eastAsia="Arial" w:hAnsi="Arial"/>
          <w:sz w:val="18"/>
          <w:szCs w:val="18"/>
          <w:color w:val="212529"/>
        </w:rPr>
        <w:t xml:space="preserve"> </w:t>
      </w:r>
      <w:r>
        <w:rPr>
          <w:rFonts w:ascii="Arial" w:cs="Arial" w:eastAsia="Arial" w:hAnsi="Arial"/>
          <w:sz w:val="18"/>
          <w:szCs w:val="18"/>
          <w:color w:val="000000"/>
        </w:rPr>
        <w:t xml:space="preserve">which was </w:t>
      </w:r>
      <w:r>
        <w:rPr>
          <w:rFonts w:ascii="Arial" w:cs="Arial" w:eastAsia="Arial" w:hAnsi="Arial"/>
          <w:sz w:val="18"/>
          <w:szCs w:val="18"/>
          <w:color w:val="212529"/>
        </w:rPr>
        <w:t>primarily driven by proceeds from the issuance of the 2029 Notes ($1.11 billion) and net borrowings under the Revolving Credit Facility ($50.0</w:t>
      </w:r>
      <w:r>
        <w:rPr>
          <w:rFonts w:ascii="Arial" w:cs="Arial" w:eastAsia="Arial" w:hAnsi="Arial"/>
          <w:sz w:val="18"/>
          <w:szCs w:val="18"/>
          <w:color w:val="000000"/>
        </w:rPr>
        <w:t xml:space="preserve"> </w:t>
      </w:r>
      <w:r>
        <w:rPr>
          <w:rFonts w:ascii="Arial" w:cs="Arial" w:eastAsia="Arial" w:hAnsi="Arial"/>
          <w:sz w:val="18"/>
          <w:szCs w:val="18"/>
          <w:color w:val="212529"/>
        </w:rPr>
        <w:t>million), partially offset by the repayment of the 2023 Notes ($1.05 billion), dividend payments ($35.0 million), payments for financing costs ($22.9 million), payment of settlement obligation ($24.5 million), 2023 Notes tender premium payment ($17.6 million) and contingent consideration payments ($3.0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Master Lease and Windstream Leases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September 18, 2020, in connection with Windstream’s emergence from bankruptcy and the implementation of the Settlement, Uniti and Windstream bifurcated the Master Lease and entered into the Windstream Leases that each expires on April 30, 2030. The aggregate initial annual rent under the Windstream Leases is equal to the annual rent under the Master Lease previously in effect.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9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$125 million in 2020 and $225 million in 2021, and are limited to $225 million per year in 2022 through 2024; $175 million per year in 2025 and 2026; and $125 million per year in 2027 through 2029. If the costs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Common Stock Offering Program</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 million. During the three months ended March 31, 2022, we did not make any sales under the ATM Program. This program is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March 31, 2022, we had $</w:t>
      </w:r>
      <w:r>
        <w:rPr>
          <w:rFonts w:ascii="Arial" w:cs="Arial" w:eastAsia="Arial" w:hAnsi="Arial"/>
          <w:sz w:val="17"/>
          <w:szCs w:val="17"/>
          <w:color w:val="212529"/>
        </w:rPr>
        <w:t>335.5</w:t>
      </w:r>
      <w:r>
        <w:rPr>
          <w:rFonts w:ascii="Arial" w:cs="Arial" w:eastAsia="Arial" w:hAnsi="Arial"/>
          <w:sz w:val="17"/>
          <w:szCs w:val="17"/>
          <w:color w:val="auto"/>
        </w:rPr>
        <w:t xml:space="preserve"> million in borrowing availability under our Revolving Credit Facility,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may also issue equity securities to repay debt and reduce our leverage ratio to be below 5.75 to 1.0 to obtain additional flexibility under our debt covenants, as described under “—Dividends.” We are closely monitoring the equity and debt markets and may seek to access them promptly if and when we determine market conditions are appropriate. Our debt covenants currently do not permit us to incur material additional debt.</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6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circumstances warrant, we may take measures to conserve cash as we anticipate that it will be more difficult for us to access the capital markets at attractive rates until such uncertainty is clarified.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8"/>
          </w:tcPr>
          <w:p>
            <w:pPr>
              <w:ind w:left="40"/>
              <w:spacing w:after="0"/>
              <w:rPr>
                <w:sz w:val="20"/>
                <w:szCs w:val="20"/>
                <w:color w:val="auto"/>
              </w:rPr>
            </w:pPr>
            <w:r>
              <w:rPr>
                <w:rFonts w:ascii="Arial" w:cs="Arial" w:eastAsia="Arial" w:hAnsi="Arial"/>
                <w:sz w:val="18"/>
                <w:szCs w:val="18"/>
                <w:b w:val="1"/>
                <w:bCs w:val="1"/>
                <w:color w:val="auto"/>
              </w:rPr>
              <w:t>Three Months Ended March 31, 2022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Success Based</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Maintenance</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Integration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Network</w:t>
            </w: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Leasing</w:t>
            </w:r>
          </w:p>
        </w:tc>
        <w:tc>
          <w:tcPr>
            <w:tcW w:w="50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4,544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Growth capital improvements</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48,166</w:t>
            </w:r>
          </w:p>
        </w:tc>
        <w:tc>
          <w:tcPr>
            <w:tcW w:w="100" w:type="dxa"/>
            <w:vAlign w:val="bottom"/>
            <w:shd w:val="clear" w:color="auto" w:fill="CFF0FC"/>
          </w:tcPr>
          <w:p>
            <w:pPr>
              <w:spacing w:after="0"/>
              <w:rPr>
                <w:sz w:val="19"/>
                <w:szCs w:val="19"/>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39,207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41,982</w:t>
            </w:r>
          </w:p>
        </w:tc>
        <w:tc>
          <w:tcPr>
            <w:tcW w:w="100" w:type="dxa"/>
            <w:vAlign w:val="bottom"/>
          </w:tcPr>
          <w:p>
            <w:pPr>
              <w:spacing w:after="0"/>
              <w:rPr>
                <w:sz w:val="19"/>
                <w:szCs w:val="19"/>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23"/>
        </w:trPr>
        <w:tc>
          <w:tcPr>
            <w:tcW w:w="5040" w:type="dxa"/>
            <w:vAlign w:val="bottom"/>
          </w:tcPr>
          <w:p>
            <w:pPr>
              <w:ind w:left="380"/>
              <w:spacing w:after="0"/>
              <w:rPr>
                <w:sz w:val="20"/>
                <w:szCs w:val="20"/>
                <w:color w:val="auto"/>
              </w:rPr>
            </w:pPr>
            <w:r>
              <w:rPr>
                <w:rFonts w:ascii="Arial" w:cs="Arial" w:eastAsia="Arial" w:hAnsi="Arial"/>
                <w:sz w:val="18"/>
                <w:szCs w:val="18"/>
                <w:color w:val="auto"/>
              </w:rPr>
              <w:t>Total capital expenditures</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91,917</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9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94,728</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Uniti’s total annual reimbursement commitments to Windstream for the Growth Capital Improvements is discussed above in this Part I, Item 2 “Management’s Discussion and Analysis of Financial Condition and Results of Operations” in “Liquidity and Capital Resources—Windstream Master Lease and Windstream Leases.” Growth Capital Improvements are treated as success-based capital improvements based on the rents paid with respect to such amounts.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Subject to the restrictions imposed by our 7.875% senior secured notes due 2025 (the “2025 Secured Notes”),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Payment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Record Date</w:t>
            </w:r>
          </w:p>
        </w:tc>
      </w:tr>
      <w:tr>
        <w:trPr>
          <w:trHeight w:val="223"/>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2021 - December 31, 2021</w:t>
            </w:r>
          </w:p>
        </w:tc>
        <w:tc>
          <w:tcPr>
            <w:tcW w:w="12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January 3, 2022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17, 2021</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January 1, 2022 - March 31, 2022</w:t>
            </w: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April 15, 2022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April 1, 2022</w:t>
            </w:r>
          </w:p>
        </w:tc>
      </w:tr>
      <w:tr>
        <w:trPr>
          <w:trHeight w:val="674"/>
        </w:trPr>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 In addition, until such time our consolidated net leverage ratio (as defined in the indenture governing the 2025 Secured Notes) is no greater than 5.75 to 1.0, our 2025 Secured Notes generally limit our ability to pay cash dividends in excess of 90% of our REIT taxable income, determined without regard to the dividends paid deduction and excluding any net capital gains.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March 31, 2022, there has been no material change to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information reported under Item 7A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March 31, 2022, and based on this evaluation, our principal executive officer and principal financial officer concluded that our disclosure controls and procedures were effective as of March 31,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that occurred during the quarter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5" w:right="6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description of legal proceedings can be found in Note 13 - Commitments and Contingencies to our Condensed Consolidated Financial Statements, included in this report at Part I, Item 1-Financial Statements, and is incorporated by reference into this Item 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affecting our business that were discussed in Part I, “Item 1A. Risk Factors” in our Annual Report.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ind w:right="300"/>
        <w:spacing w:after="0" w:line="271"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Maximum Number of</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Average Price Paid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0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Pr>
          <w:p>
            <w:pPr>
              <w:spacing w:after="0"/>
              <w:rPr>
                <w:sz w:val="14"/>
                <w:szCs w:val="1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2022 to January 31, 2022</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February 1, 2022 to February 28, 2022</w:t>
            </w:r>
          </w:p>
        </w:tc>
        <w:tc>
          <w:tcPr>
            <w:tcW w:w="940" w:type="dxa"/>
            <w:vAlign w:val="bottom"/>
          </w:tcPr>
          <w:p>
            <w:pPr>
              <w:jc w:val="right"/>
              <w:spacing w:after="0"/>
              <w:rPr>
                <w:sz w:val="20"/>
                <w:szCs w:val="20"/>
                <w:color w:val="auto"/>
              </w:rPr>
            </w:pPr>
            <w:r>
              <w:rPr>
                <w:rFonts w:ascii="Arial" w:cs="Arial" w:eastAsia="Arial" w:hAnsi="Arial"/>
                <w:sz w:val="18"/>
                <w:szCs w:val="18"/>
                <w:color w:val="auto"/>
              </w:rPr>
              <w:t>55,056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9"/>
                <w:szCs w:val="19"/>
                <w:color w:val="auto"/>
              </w:rPr>
            </w:pPr>
          </w:p>
        </w:tc>
        <w:tc>
          <w:tcPr>
            <w:tcW w:w="1640" w:type="dxa"/>
            <w:vAlign w:val="bottom"/>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8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 2022 to March 31, 2022</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63,572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w:t>
            </w:r>
          </w:p>
        </w:tc>
        <w:tc>
          <w:tcPr>
            <w:tcW w:w="10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122,651</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8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8"/>
        <w:spacing w:after="0" w:line="297" w:lineRule="auto"/>
        <w:tabs>
          <w:tab w:leader="none" w:pos="166" w:val="left"/>
        </w:tabs>
        <w:numPr>
          <w:ilvl w:val="0"/>
          <w:numId w:val="7"/>
        </w:numPr>
        <w:rPr>
          <w:rFonts w:ascii="Arial" w:cs="Arial" w:eastAsia="Arial" w:hAnsi="Arial"/>
          <w:sz w:val="19"/>
          <w:szCs w:val="19"/>
          <w:color w:val="auto"/>
          <w:vertAlign w:val="superscript"/>
        </w:rPr>
      </w:pPr>
      <w:r>
        <w:rPr>
          <w:rFonts w:ascii="Arial" w:cs="Arial" w:eastAsia="Arial" w:hAnsi="Arial"/>
          <w:sz w:val="16"/>
          <w:szCs w:val="16"/>
          <w:color w:val="auto"/>
        </w:rPr>
        <w:t>The average price paid per share is the weighted average of the fair market prices at which we calculated the number of shares withheld to cover tax withholdings for the employees.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00" w:type="dxa"/>
            <w:vAlign w:val="bottom"/>
            <w:gridSpan w:val="5"/>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00" w:type="dxa"/>
            <w:vAlign w:val="bottom"/>
            <w:tcBorders>
              <w:top w:val="single" w:sz="8" w:color="auto"/>
            </w:tcBorders>
            <w:gridSpan w:val="5"/>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Severance Agreement, dated as of February 24, 2022, by and between Uniti Group Inc. and Michael Friloux</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00" w:type="dxa"/>
            <w:vAlign w:val="bottom"/>
            <w:gridSpan w:val="5"/>
          </w:tcPr>
          <w:p>
            <w:pPr>
              <w:ind w:left="20"/>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9580" w:type="dxa"/>
            <w:vAlign w:val="bottom"/>
            <w:tcBorders>
              <w:bottom w:val="single" w:sz="8" w:color="0000EE"/>
            </w:tcBorders>
            <w:gridSpan w:val="3"/>
          </w:tcPr>
          <w:p>
            <w:pPr>
              <w:ind w:left="20"/>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5"/>
          </w:tcPr>
          <w:p>
            <w:pPr>
              <w:ind w:left="20"/>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817"/>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tcBorders>
              <w:top w:val="single" w:sz="8" w:color="0000EE"/>
            </w:tcBorders>
          </w:tcPr>
          <w:p>
            <w:pPr>
              <w:ind w:left="4300"/>
              <w:spacing w:after="0"/>
              <w:rPr>
                <w:sz w:val="20"/>
                <w:szCs w:val="20"/>
                <w:color w:val="auto"/>
              </w:rPr>
            </w:pPr>
            <w:r>
              <w:rPr>
                <w:rFonts w:ascii="Arial" w:cs="Arial" w:eastAsia="Arial" w:hAnsi="Arial"/>
                <w:sz w:val="18"/>
                <w:szCs w:val="18"/>
                <w:color w:val="auto"/>
              </w:rPr>
              <w:t>45</w:t>
            </w:r>
          </w:p>
        </w:tc>
        <w:tc>
          <w:tcPr>
            <w:tcW w:w="2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620" w:type="dxa"/>
            <w:vAlign w:val="bottom"/>
            <w:tcBorders>
              <w:bottom w:val="single" w:sz="8" w:color="0000EE"/>
            </w:tcBorders>
            <w:gridSpan w:val="3"/>
          </w:tcPr>
          <w:p>
            <w:pPr>
              <w:ind w:left="20"/>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24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400" w:type="dxa"/>
            <w:vAlign w:val="bottom"/>
            <w:tcBorders>
              <w:bottom w:val="single" w:sz="8" w:color="0000EE"/>
            </w:tcBorders>
          </w:tcPr>
          <w:p>
            <w:pPr>
              <w:ind w:left="20"/>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Oxley Act of 2002.</w:t>
              </w:r>
            </w:hyperlink>
          </w:p>
        </w:tc>
        <w:tc>
          <w:tcPr>
            <w:tcW w:w="8460" w:type="dxa"/>
            <w:vAlign w:val="bottom"/>
            <w:gridSpan w:val="3"/>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gridSpan w:val="4"/>
          </w:tcPr>
          <w:p>
            <w:pPr>
              <w:ind w:left="20"/>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Certification of Principal Financial Officer Pursuant to 18 U.S.C. Section 1350, as Adopted Pursuant to Section 906 of the Sarbanes-</w:t>
              </w:r>
            </w:hyperlink>
          </w:p>
        </w:tc>
      </w:tr>
      <w:tr>
        <w:trPr>
          <w:trHeight w:val="196"/>
        </w:trPr>
        <w:tc>
          <w:tcPr>
            <w:tcW w:w="124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Oxley Act of 2002.</w:t>
              </w:r>
            </w:hyperlink>
          </w:p>
        </w:tc>
        <w:tc>
          <w:tcPr>
            <w:tcW w:w="8160" w:type="dxa"/>
            <w:vAlign w:val="bottom"/>
            <w:tcBorders>
              <w:top w:val="single" w:sz="8" w:color="0000EE"/>
            </w:tcBorders>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4"/>
          </w:tcPr>
          <w:p>
            <w:pPr>
              <w:ind w:left="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1240" w:type="dxa"/>
            <w:vAlign w:val="bottom"/>
          </w:tcPr>
          <w:p>
            <w:pPr>
              <w:spacing w:after="0"/>
              <w:rPr>
                <w:sz w:val="20"/>
                <w:szCs w:val="20"/>
                <w:color w:val="auto"/>
              </w:rPr>
            </w:pPr>
          </w:p>
        </w:tc>
        <w:tc>
          <w:tcPr>
            <w:tcW w:w="9860" w:type="dxa"/>
            <w:vAlign w:val="bottom"/>
            <w:gridSpan w:val="4"/>
          </w:tcPr>
          <w:p>
            <w:pPr>
              <w:ind w:left="2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0" w:lineRule="exact"/>
        <w:rPr>
          <w:sz w:val="20"/>
          <w:szCs w:val="20"/>
          <w:color w:val="auto"/>
        </w:rPr>
      </w:pPr>
    </w:p>
    <w:p>
      <w:pPr>
        <w:ind w:left="1260" w:hanging="125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22"/>
          <w:szCs w:val="2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9512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28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right w:val="single" w:sz="8" w:color="auto"/>
            </w:tcBorders>
          </w:tcPr>
          <w:p>
            <w:pPr>
              <w:spacing w:after="0"/>
              <w:rPr>
                <w:sz w:val="21"/>
                <w:szCs w:val="21"/>
                <w:color w:val="auto"/>
              </w:rPr>
            </w:pPr>
          </w:p>
        </w:tc>
        <w:tc>
          <w:tcPr>
            <w:tcW w:w="586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UNITI GROUP INC.</w:t>
            </w:r>
          </w:p>
        </w:tc>
      </w:tr>
      <w:tr>
        <w:trPr>
          <w:trHeight w:val="223"/>
        </w:trPr>
        <w:tc>
          <w:tcPr>
            <w:tcW w:w="980" w:type="dxa"/>
            <w:vAlign w:val="bottom"/>
            <w:tcBorders>
              <w:left w:val="single" w:sz="8" w:color="auto"/>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23"/>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May 5, 2022</w:t>
            </w:r>
          </w:p>
        </w:tc>
        <w:tc>
          <w:tcPr>
            <w:tcW w:w="80" w:type="dxa"/>
            <w:vAlign w:val="bottom"/>
            <w:tcBorders>
              <w:bottom w:val="single" w:sz="8" w:color="auto"/>
              <w:right w:val="single" w:sz="8" w:color="auto"/>
            </w:tcBorders>
          </w:tcPr>
          <w:p>
            <w:pPr>
              <w:spacing w:after="0"/>
              <w:rPr>
                <w:sz w:val="19"/>
                <w:szCs w:val="19"/>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 Paul E. Bullington</w:t>
            </w:r>
          </w:p>
        </w:tc>
      </w:tr>
      <w:tr>
        <w:trPr>
          <w:trHeight w:val="205"/>
        </w:trPr>
        <w:tc>
          <w:tcPr>
            <w:tcW w:w="980" w:type="dxa"/>
            <w:vAlign w:val="bottom"/>
            <w:tcBorders>
              <w:left w:val="single" w:sz="8" w:color="auto"/>
              <w:right w:val="single" w:sz="8" w:color="auto"/>
            </w:tcBorders>
          </w:tcPr>
          <w:p>
            <w:pPr>
              <w:spacing w:after="0"/>
              <w:rPr>
                <w:sz w:val="17"/>
                <w:szCs w:val="17"/>
                <w:color w:val="auto"/>
              </w:rPr>
            </w:pPr>
          </w:p>
        </w:tc>
        <w:tc>
          <w:tcPr>
            <w:tcW w:w="42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860" w:type="dxa"/>
            <w:vAlign w:val="bottom"/>
            <w:tcBorders>
              <w:right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Paul E. Bullington</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Senior Vice President – Chief Financial Officer and Treasurer</w:t>
            </w:r>
          </w:p>
        </w:tc>
      </w:tr>
      <w:tr>
        <w:trPr>
          <w:trHeight w:val="234"/>
        </w:trPr>
        <w:tc>
          <w:tcPr>
            <w:tcW w:w="980" w:type="dxa"/>
            <w:vAlign w:val="bottom"/>
            <w:tcBorders>
              <w:left w:val="single" w:sz="8" w:color="auto"/>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216"/>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r>
      <w:tr>
        <w:trPr>
          <w:trHeight w:val="223"/>
        </w:trPr>
        <w:tc>
          <w:tcPr>
            <w:tcW w:w="980" w:type="dxa"/>
            <w:vAlign w:val="bottom"/>
            <w:tcBorders>
              <w:left w:val="single" w:sz="8" w:color="auto"/>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23"/>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May 5, 2022</w:t>
            </w:r>
          </w:p>
        </w:tc>
        <w:tc>
          <w:tcPr>
            <w:tcW w:w="80" w:type="dxa"/>
            <w:vAlign w:val="bottom"/>
            <w:tcBorders>
              <w:bottom w:val="single" w:sz="8" w:color="auto"/>
              <w:right w:val="single" w:sz="8" w:color="auto"/>
            </w:tcBorders>
          </w:tcPr>
          <w:p>
            <w:pPr>
              <w:spacing w:after="0"/>
              <w:rPr>
                <w:sz w:val="19"/>
                <w:szCs w:val="19"/>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 Travis T. Black</w:t>
            </w:r>
          </w:p>
        </w:tc>
      </w:tr>
      <w:tr>
        <w:trPr>
          <w:trHeight w:val="191"/>
        </w:trPr>
        <w:tc>
          <w:tcPr>
            <w:tcW w:w="980" w:type="dxa"/>
            <w:vAlign w:val="bottom"/>
            <w:tcBorders>
              <w:left w:val="single" w:sz="8" w:color="auto"/>
              <w:right w:val="single" w:sz="8" w:color="auto"/>
            </w:tcBorders>
          </w:tcPr>
          <w:p>
            <w:pPr>
              <w:spacing w:after="0"/>
              <w:rPr>
                <w:sz w:val="16"/>
                <w:szCs w:val="16"/>
                <w:color w:val="auto"/>
              </w:rPr>
            </w:pPr>
          </w:p>
        </w:tc>
        <w:tc>
          <w:tcPr>
            <w:tcW w:w="42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Travis T. Black</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Vice President – Chief Accounting Officer</w:t>
            </w:r>
          </w:p>
        </w:tc>
      </w:tr>
      <w:tr>
        <w:trPr>
          <w:trHeight w:val="234"/>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25"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AGREEMENT</w:t>
      </w:r>
    </w:p>
    <w:p>
      <w:pPr>
        <w:spacing w:after="0" w:line="21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This Severance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February 24,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Uniti Group Inc., a Maryland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and Michael Friloux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WHEREAS,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it is in the best interests of the Corporation to retain the services of Executive by the Corporation;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Executive desires to be employed by the Corporation; and</w:t>
      </w:r>
    </w:p>
    <w:p>
      <w:pPr>
        <w:spacing w:after="0" w:line="225"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WHEREAS, the Corporation and Executive desire to enter into this Agreement to set forth their understanding as to their respective rights and obligations in the event of a termination of Executive’s employment.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NOW THEREFORE, in consideration of the premises and the mutual covenants herein contained, the Corporation and Executive hereby agree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1"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Agreement, the following terms have the meanings indicated below:</w:t>
      </w:r>
    </w:p>
    <w:p>
      <w:pPr>
        <w:spacing w:after="0" w:line="225" w:lineRule="exact"/>
        <w:rPr>
          <w:sz w:val="20"/>
          <w:szCs w:val="20"/>
          <w:color w:val="auto"/>
        </w:rPr>
      </w:pPr>
    </w:p>
    <w:p>
      <w:pPr>
        <w:jc w:val="both"/>
        <w:ind w:left="860" w:firstLine="798"/>
        <w:spacing w:after="0" w:line="277" w:lineRule="auto"/>
        <w:rPr>
          <w:sz w:val="20"/>
          <w:szCs w:val="20"/>
          <w:color w:val="auto"/>
        </w:rPr>
      </w:pPr>
      <w:r>
        <w:rPr>
          <w:rFonts w:ascii="Arial" w:cs="Arial" w:eastAsia="Arial" w:hAnsi="Arial"/>
          <w:sz w:val="18"/>
          <w:szCs w:val="18"/>
          <w:color w:val="auto"/>
        </w:rPr>
        <w:t>(A)“</w:t>
      </w:r>
      <w:r>
        <w:rPr>
          <w:rFonts w:ascii="Arial" w:cs="Arial" w:eastAsia="Arial" w:hAnsi="Arial"/>
          <w:sz w:val="18"/>
          <w:szCs w:val="18"/>
          <w:u w:val="single" w:color="auto"/>
          <w:color w:val="auto"/>
        </w:rPr>
        <w:t>Affiliate</w:t>
      </w:r>
      <w:r>
        <w:rPr>
          <w:rFonts w:ascii="Arial" w:cs="Arial" w:eastAsia="Arial" w:hAnsi="Arial"/>
          <w:sz w:val="18"/>
          <w:szCs w:val="18"/>
          <w:color w:val="auto"/>
        </w:rPr>
        <w:t>” means any business entity that is a Subsidiary of the Corporation and any limited liability company, partnership, corporation, joint venture, or any other entity in which the Corporation or any such Subsidiary owns an equity interest.</w:t>
      </w:r>
    </w:p>
    <w:p>
      <w:pPr>
        <w:spacing w:after="0" w:line="17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u w:val="single" w:color="auto"/>
          <w:color w:val="auto"/>
        </w:rPr>
        <w:t>Annual Incentive Plan</w:t>
      </w:r>
      <w:r>
        <w:rPr>
          <w:rFonts w:ascii="Arial" w:cs="Arial" w:eastAsia="Arial" w:hAnsi="Arial"/>
          <w:sz w:val="18"/>
          <w:szCs w:val="18"/>
          <w:color w:val="auto"/>
        </w:rPr>
        <w:t>” means any short-term cash incentive plan of Uniti Group Inc.</w:t>
      </w:r>
    </w:p>
    <w:p>
      <w:pPr>
        <w:spacing w:after="0" w:line="225" w:lineRule="exact"/>
        <w:rPr>
          <w:sz w:val="20"/>
          <w:szCs w:val="20"/>
          <w:color w:val="auto"/>
        </w:rPr>
      </w:pPr>
    </w:p>
    <w:p>
      <w:pPr>
        <w:jc w:val="both"/>
        <w:ind w:left="860" w:firstLine="798"/>
        <w:spacing w:after="0" w:line="254" w:lineRule="auto"/>
        <w:rPr>
          <w:sz w:val="20"/>
          <w:szCs w:val="20"/>
          <w:color w:val="auto"/>
        </w:rPr>
      </w:pPr>
      <w:r>
        <w:rPr>
          <w:rFonts w:ascii="Arial" w:cs="Arial" w:eastAsia="Arial" w:hAnsi="Arial"/>
          <w:sz w:val="18"/>
          <w:szCs w:val="18"/>
          <w:color w:val="auto"/>
        </w:rPr>
        <w:t>(C)“</w:t>
      </w:r>
      <w:r>
        <w:rPr>
          <w:rFonts w:ascii="Arial" w:cs="Arial" w:eastAsia="Arial" w:hAnsi="Arial"/>
          <w:sz w:val="18"/>
          <w:szCs w:val="18"/>
          <w:u w:val="single" w:color="auto"/>
          <w:color w:val="auto"/>
        </w:rPr>
        <w:t>Annual Incentive Target</w:t>
      </w:r>
      <w:r>
        <w:rPr>
          <w:rFonts w:ascii="Arial" w:cs="Arial" w:eastAsia="Arial" w:hAnsi="Arial"/>
          <w:sz w:val="18"/>
          <w:szCs w:val="18"/>
          <w:color w:val="auto"/>
        </w:rPr>
        <w:t>” means, with respect to any measuring period, the amount of cash compensation that would be payable to Executive under the Annual Incentive Plan for such measuring period, computed assuming that the level of performance with respect to a performance goal identified in accordance with the terms of the Annual Incentive Plan as the “target” level of performance has been achieved. Where no level of performance has been specifically identified as the “target” level, the “target” level shall be (i) the only level if one level is identified and (ii) the midpoint between the lowest level and the highest level if two or more levels are identified. Where the amount of compensation depends on the achievement of multiple performance goals, the achievement of each target level of performance with respect to each goal shall be assumed.</w:t>
      </w:r>
    </w:p>
    <w:p>
      <w:pPr>
        <w:spacing w:after="0" w:line="195" w:lineRule="exact"/>
        <w:rPr>
          <w:sz w:val="20"/>
          <w:szCs w:val="20"/>
          <w:color w:val="auto"/>
        </w:rPr>
      </w:pPr>
    </w:p>
    <w:p>
      <w:pPr>
        <w:jc w:val="both"/>
        <w:ind w:left="860" w:firstLine="798"/>
        <w:spacing w:after="0" w:line="269" w:lineRule="auto"/>
        <w:rPr>
          <w:sz w:val="20"/>
          <w:szCs w:val="20"/>
          <w:color w:val="auto"/>
        </w:rPr>
      </w:pPr>
      <w:r>
        <w:rPr>
          <w:rFonts w:ascii="Arial" w:cs="Arial" w:eastAsia="Arial" w:hAnsi="Arial"/>
          <w:sz w:val="17"/>
          <w:szCs w:val="17"/>
          <w:color w:val="auto"/>
        </w:rPr>
        <w:t>(D)“</w:t>
      </w:r>
      <w:r>
        <w:rPr>
          <w:rFonts w:ascii="Arial" w:cs="Arial" w:eastAsia="Arial" w:hAnsi="Arial"/>
          <w:sz w:val="17"/>
          <w:szCs w:val="17"/>
          <w:u w:val="single" w:color="auto"/>
          <w:color w:val="auto"/>
        </w:rPr>
        <w:t>Cause</w:t>
      </w:r>
      <w:r>
        <w:rPr>
          <w:rFonts w:ascii="Arial" w:cs="Arial" w:eastAsia="Arial" w:hAnsi="Arial"/>
          <w:sz w:val="17"/>
          <w:szCs w:val="17"/>
          <w:color w:val="auto"/>
        </w:rPr>
        <w:t>” means the occurrence of any of the following: (i) Executive’s failure to make a good faith effort to substantially perform his or her duties (other than any such failure due to Executive’s Disability) or Executive’s insubordination with respect to a specific lawful directive of his/her direct report (if Executive reports directly to an officer) or the Board (if Executive reports directly to the Board) to which Executive reports directly or indirectly; (ii) Executive’s dishonesty, gross negligence in the performance of his or her duties hereunder or engaging in willful misconduct, which in the case of any such gross negligence, has caused or is reasonably expected to result in direct or indirect material injury to the Corporation or any Affiliate; (iii) breach by Executive of any material provision of any written agreement, including, without limitation, this Agreement, with the Corporation or any Affiliate or material violation of any Corporation policy applicable to Executive; or (iv) Executive’s commission of a crime that constitutes a felony or other crime of moral turpitude or fraud. If, subsequent to Executive’s termination of employment hereunder for other than Cause, the Corporation in good faith determines that Executive’s employment could have been terminated for Cause hereunder, Executive’s employment shall, at the election of the Corporation, be deemed to have been terminated for Cause retroactively to the date the events giving rise to Cause occurred.</w:t>
      </w:r>
    </w:p>
    <w:p>
      <w:pPr>
        <w:spacing w:after="0" w:line="182"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(E)A “</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at any time subsequent to the date of this Agreement, the occurrence of any of the following</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events:</w:t>
      </w:r>
    </w:p>
    <w:p>
      <w:pPr>
        <w:spacing w:after="0" w:line="211" w:lineRule="exact"/>
        <w:rPr>
          <w:sz w:val="20"/>
          <w:szCs w:val="20"/>
          <w:color w:val="auto"/>
        </w:rPr>
      </w:pPr>
    </w:p>
    <w:p>
      <w:pPr>
        <w:jc w:val="both"/>
        <w:ind w:left="860" w:firstLine="798"/>
        <w:spacing w:after="0" w:line="263" w:lineRule="auto"/>
        <w:rPr>
          <w:sz w:val="20"/>
          <w:szCs w:val="20"/>
          <w:color w:val="auto"/>
        </w:rPr>
      </w:pPr>
      <w:r>
        <w:rPr>
          <w:rFonts w:ascii="Arial" w:cs="Arial" w:eastAsia="Arial" w:hAnsi="Arial"/>
          <w:sz w:val="18"/>
          <w:szCs w:val="18"/>
          <w:color w:val="auto"/>
        </w:rPr>
        <w:t>(i)any sale, lease, exchange or other transfer (in one transaction or a series of related transactions) of all or substantially all of the assets of the Corporation to any Person or group of related Persons for purposes of Section 13(d) of the Exchange Act (a “</w:t>
      </w:r>
      <w:r>
        <w:rPr>
          <w:rFonts w:ascii="Arial" w:cs="Arial" w:eastAsia="Arial" w:hAnsi="Arial"/>
          <w:sz w:val="18"/>
          <w:szCs w:val="18"/>
          <w:u w:val="single" w:color="auto"/>
          <w:color w:val="auto"/>
        </w:rPr>
        <w:t>Group</w:t>
      </w:r>
      <w:r>
        <w:rPr>
          <w:rFonts w:ascii="Arial" w:cs="Arial" w:eastAsia="Arial" w:hAnsi="Arial"/>
          <w:sz w:val="18"/>
          <w:szCs w:val="18"/>
          <w:color w:val="auto"/>
        </w:rPr>
        <w:t>”), together with any affiliates thereof;</w:t>
      </w:r>
    </w:p>
    <w:p>
      <w:pPr>
        <w:spacing w:after="0" w:line="3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7" w:name="page48"/>
    <w:bookmarkEnd w:id="47"/>
    <w:p>
      <w:pPr>
        <w:jc w:val="both"/>
        <w:ind w:left="860" w:right="20" w:firstLine="798"/>
        <w:spacing w:after="0" w:line="277" w:lineRule="auto"/>
        <w:rPr>
          <w:sz w:val="20"/>
          <w:szCs w:val="20"/>
          <w:color w:val="auto"/>
        </w:rPr>
      </w:pPr>
      <w:r>
        <w:rPr>
          <w:rFonts w:ascii="Arial" w:cs="Arial" w:eastAsia="Arial" w:hAnsi="Arial"/>
          <w:sz w:val="18"/>
          <w:szCs w:val="18"/>
          <w:color w:val="auto"/>
        </w:rPr>
        <w:t>(ii)the commencement of the liquidation or dissolution of the Corporation that occurs following the approval by the holders of capital stock of the Corporation of any plan or proposal for such liquidation or dissolution of the Corporation;</w:t>
      </w:r>
    </w:p>
    <w:p>
      <w:pPr>
        <w:spacing w:after="0" w:line="170" w:lineRule="exact"/>
        <w:rPr>
          <w:sz w:val="20"/>
          <w:szCs w:val="20"/>
          <w:color w:val="auto"/>
        </w:rPr>
      </w:pPr>
    </w:p>
    <w:p>
      <w:pPr>
        <w:jc w:val="both"/>
        <w:ind w:left="860" w:firstLine="798"/>
        <w:spacing w:after="0" w:line="259" w:lineRule="auto"/>
        <w:rPr>
          <w:sz w:val="20"/>
          <w:szCs w:val="20"/>
          <w:color w:val="auto"/>
        </w:rPr>
      </w:pPr>
      <w:r>
        <w:rPr>
          <w:rFonts w:ascii="Arial" w:cs="Arial" w:eastAsia="Arial" w:hAnsi="Arial"/>
          <w:sz w:val="18"/>
          <w:szCs w:val="18"/>
          <w:color w:val="auto"/>
        </w:rPr>
        <w:t>(iii)any Person or Group becomes the beneficial owner (within the meaning of Section 13(d) of the Exchange Act), directly or indirectly, of shares representing more than 50% of the aggregate voting power of the issued and outstanding stock entitled to vote in the election of directors, managers or trustees of the Corporation and such Person or Group actually has the power to vote such shares in any such election;</w:t>
      </w:r>
    </w:p>
    <w:p>
      <w:pPr>
        <w:spacing w:after="0" w:line="187" w:lineRule="exact"/>
        <w:rPr>
          <w:sz w:val="20"/>
          <w:szCs w:val="20"/>
          <w:color w:val="auto"/>
        </w:rPr>
      </w:pPr>
    </w:p>
    <w:p>
      <w:pPr>
        <w:jc w:val="both"/>
        <w:ind w:left="860" w:firstLine="798"/>
        <w:spacing w:after="0" w:line="263" w:lineRule="auto"/>
        <w:rPr>
          <w:sz w:val="20"/>
          <w:szCs w:val="20"/>
          <w:color w:val="auto"/>
        </w:rPr>
      </w:pPr>
      <w:r>
        <w:rPr>
          <w:rFonts w:ascii="Arial" w:cs="Arial" w:eastAsia="Arial" w:hAnsi="Arial"/>
          <w:sz w:val="18"/>
          <w:szCs w:val="18"/>
          <w:color w:val="auto"/>
        </w:rPr>
        <w:t>(iv)the replacement of a majority of the Board over a two-year period from the directors who constituted the Board at the beginning of such period, and such replacement shall not have been approved by a vote of at least a majority of the Board then still in office who either were members of such Board at the beginning of such period; or</w:t>
      </w:r>
    </w:p>
    <w:p>
      <w:pPr>
        <w:spacing w:after="0" w:line="184" w:lineRule="exact"/>
        <w:rPr>
          <w:sz w:val="20"/>
          <w:szCs w:val="20"/>
          <w:color w:val="auto"/>
        </w:rPr>
      </w:pPr>
    </w:p>
    <w:p>
      <w:pPr>
        <w:jc w:val="both"/>
        <w:ind w:left="860" w:right="20" w:firstLine="798"/>
        <w:spacing w:after="0" w:line="263" w:lineRule="auto"/>
        <w:rPr>
          <w:sz w:val="20"/>
          <w:szCs w:val="20"/>
          <w:color w:val="auto"/>
        </w:rPr>
      </w:pPr>
      <w:r>
        <w:rPr>
          <w:rFonts w:ascii="Arial" w:cs="Arial" w:eastAsia="Arial" w:hAnsi="Arial"/>
          <w:sz w:val="18"/>
          <w:szCs w:val="18"/>
          <w:color w:val="auto"/>
        </w:rPr>
        <w:t>(v)a merger or consolidation of the Corporation with another entity in which holders of the Corporation’s common stock immediately prior to the consummation of the transaction hold, directly or indirectly, immediately following the consummation of the transaction, 50% or less of the common equity interest in the surviving corporation in such transaction.</w:t>
      </w:r>
    </w:p>
    <w:p>
      <w:pPr>
        <w:spacing w:after="0" w:line="18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Notwithstanding anything herein to the contrary, an event described above shall be considered a Change in Control hereunder only if it also constitutes a “change in control event” under Section 409A of the Code, to the extent necessary to avoid the adverse tax consequences thereunder with respect to any award subject to Section 409A of the Code.</w:t>
      </w:r>
    </w:p>
    <w:p>
      <w:pPr>
        <w:spacing w:after="0" w:line="184" w:lineRule="exact"/>
        <w:rPr>
          <w:sz w:val="20"/>
          <w:szCs w:val="20"/>
          <w:color w:val="auto"/>
        </w:rPr>
      </w:pPr>
    </w:p>
    <w:p>
      <w:pPr>
        <w:jc w:val="both"/>
        <w:ind w:left="860" w:firstLine="798"/>
        <w:spacing w:after="0" w:line="277" w:lineRule="auto"/>
        <w:rPr>
          <w:sz w:val="20"/>
          <w:szCs w:val="20"/>
          <w:color w:val="auto"/>
        </w:rPr>
      </w:pPr>
      <w:r>
        <w:rPr>
          <w:rFonts w:ascii="Arial" w:cs="Arial" w:eastAsia="Arial" w:hAnsi="Arial"/>
          <w:sz w:val="18"/>
          <w:szCs w:val="18"/>
          <w:color w:val="auto"/>
        </w:rPr>
        <w:t>(F)“</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and the rules and regulations promulgated thereunder, as such law, rules and regulations may be amended, supplemented or replaced from time to time.</w:t>
      </w:r>
    </w:p>
    <w:p>
      <w:pPr>
        <w:spacing w:after="0" w:line="17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w:t>
      </w:r>
      <w:r>
        <w:rPr>
          <w:rFonts w:ascii="Arial" w:cs="Arial" w:eastAsia="Arial" w:hAnsi="Arial"/>
          <w:sz w:val="18"/>
          <w:szCs w:val="18"/>
          <w:u w:val="single" w:color="auto"/>
          <w:color w:val="auto"/>
        </w:rPr>
        <w:t>Date of Termination</w:t>
      </w:r>
      <w:r>
        <w:rPr>
          <w:rFonts w:ascii="Arial" w:cs="Arial" w:eastAsia="Arial" w:hAnsi="Arial"/>
          <w:sz w:val="18"/>
          <w:szCs w:val="18"/>
          <w:color w:val="auto"/>
        </w:rPr>
        <w:t>” has the meaning stated in paragraph (B) of Section 8 hereof.</w:t>
      </w:r>
    </w:p>
    <w:p>
      <w:pPr>
        <w:spacing w:after="0" w:line="225" w:lineRule="exact"/>
        <w:rPr>
          <w:sz w:val="20"/>
          <w:szCs w:val="20"/>
          <w:color w:val="auto"/>
        </w:rPr>
      </w:pPr>
    </w:p>
    <w:p>
      <w:pPr>
        <w:jc w:val="both"/>
        <w:ind w:left="860" w:firstLine="798"/>
        <w:spacing w:after="0" w:line="273" w:lineRule="auto"/>
        <w:rPr>
          <w:sz w:val="20"/>
          <w:szCs w:val="20"/>
          <w:color w:val="auto"/>
        </w:rPr>
      </w:pPr>
      <w:r>
        <w:rPr>
          <w:rFonts w:ascii="Arial" w:cs="Arial" w:eastAsia="Arial" w:hAnsi="Arial"/>
          <w:sz w:val="17"/>
          <w:szCs w:val="17"/>
          <w:color w:val="auto"/>
        </w:rPr>
        <w:t>(H)“</w:t>
      </w:r>
      <w:r>
        <w:rPr>
          <w:rFonts w:ascii="Arial" w:cs="Arial" w:eastAsia="Arial" w:hAnsi="Arial"/>
          <w:sz w:val="17"/>
          <w:szCs w:val="17"/>
          <w:u w:val="single" w:color="auto"/>
          <w:color w:val="auto"/>
        </w:rPr>
        <w:t>Disability</w:t>
      </w:r>
      <w:r>
        <w:rPr>
          <w:rFonts w:ascii="Arial" w:cs="Arial" w:eastAsia="Arial" w:hAnsi="Arial"/>
          <w:sz w:val="17"/>
          <w:szCs w:val="17"/>
          <w:color w:val="auto"/>
        </w:rPr>
        <w:t>” means that Executive is unable to engage in any substantial gainful activity by reason of any medically determinable physical or mental impairment which can be expected to result in death or which has lasted or can be expected to last for a continuous period of not less than 12 months. The determination of whether an individual has a Disability shall be determined under procedures established by the Board. The Board may rely on any determination that Executive is disabled for purposes of benefits under any long-term disability plan maintained by the Corporation or any Affiliate in which Executive participates, provided that the definition of disability applied under such disability plan meets the requirements of a Disability in the first sentence hereof.</w:t>
      </w:r>
    </w:p>
    <w:p>
      <w:pPr>
        <w:spacing w:after="0" w:line="178" w:lineRule="exact"/>
        <w:rPr>
          <w:sz w:val="20"/>
          <w:szCs w:val="20"/>
          <w:color w:val="auto"/>
        </w:rPr>
      </w:pPr>
    </w:p>
    <w:p>
      <w:pPr>
        <w:jc w:val="both"/>
        <w:ind w:left="860" w:firstLine="798"/>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promulgated thereunder, as such law, rules and regulations may be amended, supplemented or replaced from time to time.</w:t>
      </w:r>
    </w:p>
    <w:p>
      <w:pPr>
        <w:spacing w:after="0" w:line="170" w:lineRule="exact"/>
        <w:rPr>
          <w:sz w:val="20"/>
          <w:szCs w:val="20"/>
          <w:color w:val="auto"/>
        </w:rPr>
      </w:pPr>
    </w:p>
    <w:p>
      <w:pPr>
        <w:jc w:val="both"/>
        <w:ind w:left="860" w:firstLine="798"/>
        <w:spacing w:after="0" w:line="291" w:lineRule="auto"/>
        <w:rPr>
          <w:sz w:val="20"/>
          <w:szCs w:val="20"/>
          <w:color w:val="auto"/>
        </w:rPr>
      </w:pPr>
      <w:r>
        <w:rPr>
          <w:rFonts w:ascii="Arial" w:cs="Arial" w:eastAsia="Arial" w:hAnsi="Arial"/>
          <w:sz w:val="16"/>
          <w:szCs w:val="16"/>
          <w:color w:val="auto"/>
        </w:rPr>
        <w:t>(J)“</w:t>
      </w:r>
      <w:r>
        <w:rPr>
          <w:rFonts w:ascii="Arial" w:cs="Arial" w:eastAsia="Arial" w:hAnsi="Arial"/>
          <w:sz w:val="16"/>
          <w:szCs w:val="16"/>
          <w:u w:val="single" w:color="auto"/>
          <w:color w:val="auto"/>
        </w:rPr>
        <w:t>Good Reason</w:t>
      </w:r>
      <w:r>
        <w:rPr>
          <w:rFonts w:ascii="Arial" w:cs="Arial" w:eastAsia="Arial" w:hAnsi="Arial"/>
          <w:sz w:val="16"/>
          <w:szCs w:val="16"/>
          <w:color w:val="auto"/>
        </w:rPr>
        <w:t>” means any one of the following: (i) a material diminution in Executive’s base compensation; (ii) a material diminution in authority, duties, or responsibilities of Executive; (iii) a material diminution in the budget over which executive retains authority;</w:t>
      </w:r>
    </w:p>
    <w:p>
      <w:pPr>
        <w:jc w:val="both"/>
        <w:ind w:left="860" w:hanging="2"/>
        <w:spacing w:after="0" w:line="270" w:lineRule="auto"/>
        <w:tabs>
          <w:tab w:leader="none" w:pos="11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material change in the geographic location (i.e., to a location more than 50 miles from Executive’s primary work location prior to such change) at which Executive is required to perform services; and (v) any other action or inaction that constitutes a material breach of Executive’s employment agreement, if any, with the Corporation or any Affiliate; provided, however, that for Executive to be able to resign for “Good Reason,” Executive must give the Corporation and the applicable Affiliate, if any, notice of the above conditions within 90 days after the condition first exists, the Corporation and/or Affiliate must not have remedied the condition within 30 days after receiving written notice, and Executive must resign within 60 days after Executive’s and/or Affiliate’s failure to remedy.</w:t>
      </w:r>
    </w:p>
    <w:p>
      <w:pPr>
        <w:spacing w:after="0" w:line="178" w:lineRule="exact"/>
        <w:rPr>
          <w:sz w:val="20"/>
          <w:szCs w:val="20"/>
          <w:color w:val="auto"/>
        </w:rPr>
      </w:pPr>
    </w:p>
    <w:p>
      <w:pPr>
        <w:ind w:left="860" w:firstLine="798"/>
        <w:spacing w:after="0" w:line="277" w:lineRule="auto"/>
        <w:rPr>
          <w:sz w:val="20"/>
          <w:szCs w:val="20"/>
          <w:color w:val="auto"/>
        </w:rPr>
      </w:pPr>
      <w:r>
        <w:rPr>
          <w:rFonts w:ascii="Arial" w:cs="Arial" w:eastAsia="Arial" w:hAnsi="Arial"/>
          <w:sz w:val="18"/>
          <w:szCs w:val="18"/>
          <w:color w:val="auto"/>
        </w:rPr>
        <w:t>(K)“</w:t>
      </w:r>
      <w:r>
        <w:rPr>
          <w:rFonts w:ascii="Arial" w:cs="Arial" w:eastAsia="Arial" w:hAnsi="Arial"/>
          <w:sz w:val="18"/>
          <w:szCs w:val="18"/>
          <w:u w:val="single" w:color="auto"/>
          <w:color w:val="auto"/>
        </w:rPr>
        <w:t>Non-Interference / Assistance Period</w:t>
      </w:r>
      <w:r>
        <w:rPr>
          <w:rFonts w:ascii="Arial" w:cs="Arial" w:eastAsia="Arial" w:hAnsi="Arial"/>
          <w:sz w:val="18"/>
          <w:szCs w:val="18"/>
          <w:color w:val="auto"/>
        </w:rPr>
        <w:t>” means the period commencing with the Date of Termination and ending on the first anniversary of the Date of Termination; provided that if a court of competent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jc w:val="both"/>
        <w:ind w:left="860" w:firstLine="798"/>
        <w:spacing w:after="0" w:line="277" w:lineRule="auto"/>
        <w:rPr>
          <w:sz w:val="20"/>
          <w:szCs w:val="20"/>
          <w:color w:val="auto"/>
        </w:rPr>
      </w:pPr>
      <w:r>
        <w:rPr>
          <w:rFonts w:ascii="Arial" w:cs="Arial" w:eastAsia="Arial" w:hAnsi="Arial"/>
          <w:sz w:val="18"/>
          <w:szCs w:val="18"/>
          <w:color w:val="auto"/>
        </w:rPr>
        <w:t>jurisdiction determines that such period is unenforceable, then such time period shall end on the date that is 6 months after the Date of Termination.</w:t>
      </w:r>
    </w:p>
    <w:p>
      <w:pPr>
        <w:spacing w:after="0" w:line="17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has the meaning stated in Paragraph (A) of Section 8 hereof.</w:t>
      </w:r>
    </w:p>
    <w:p>
      <w:pPr>
        <w:spacing w:after="0" w:line="225" w:lineRule="exact"/>
        <w:rPr>
          <w:sz w:val="20"/>
          <w:szCs w:val="20"/>
          <w:color w:val="auto"/>
        </w:rPr>
      </w:pPr>
    </w:p>
    <w:p>
      <w:pPr>
        <w:jc w:val="both"/>
        <w:ind w:left="860" w:firstLine="798"/>
        <w:spacing w:after="0" w:line="259" w:lineRule="auto"/>
        <w:rPr>
          <w:sz w:val="20"/>
          <w:szCs w:val="20"/>
          <w:color w:val="auto"/>
        </w:rPr>
      </w:pPr>
      <w:r>
        <w:rPr>
          <w:rFonts w:ascii="Arial" w:cs="Arial" w:eastAsia="Arial" w:hAnsi="Arial"/>
          <w:sz w:val="18"/>
          <w:szCs w:val="18"/>
          <w:color w:val="auto"/>
        </w:rPr>
        <w:t>(M)“</w:t>
      </w:r>
      <w:r>
        <w:rPr>
          <w:rFonts w:ascii="Arial" w:cs="Arial" w:eastAsia="Arial" w:hAnsi="Arial"/>
          <w:sz w:val="18"/>
          <w:szCs w:val="18"/>
          <w:u w:val="single" w:color="auto"/>
          <w:color w:val="auto"/>
        </w:rPr>
        <w:t>Payment Trigger</w:t>
      </w:r>
      <w:r>
        <w:rPr>
          <w:rFonts w:ascii="Arial" w:cs="Arial" w:eastAsia="Arial" w:hAnsi="Arial"/>
          <w:sz w:val="18"/>
          <w:szCs w:val="18"/>
          <w:color w:val="auto"/>
        </w:rPr>
        <w:t>” means the termination of Executive’s employment with the Corporation or an Affiliate in a manner that constitutes a “separation from service”, as defined in Section 409A, (i) for any reason other than (a) by Executive without Good Reason, (b) by the Corporation as a result of the Disability of Executive or with Cause or, (c) as a result of the death of Executive; and (ii) coincident with or within one year following a Change in Control.</w:t>
      </w:r>
    </w:p>
    <w:p>
      <w:pPr>
        <w:spacing w:after="0" w:line="187" w:lineRule="exact"/>
        <w:rPr>
          <w:sz w:val="20"/>
          <w:szCs w:val="20"/>
          <w:color w:val="auto"/>
        </w:rPr>
      </w:pPr>
    </w:p>
    <w:p>
      <w:pPr>
        <w:jc w:val="both"/>
        <w:ind w:left="860" w:firstLine="798"/>
        <w:spacing w:after="0" w:line="277" w:lineRule="auto"/>
        <w:rPr>
          <w:sz w:val="20"/>
          <w:szCs w:val="20"/>
          <w:color w:val="auto"/>
        </w:rPr>
      </w:pPr>
      <w:r>
        <w:rPr>
          <w:rFonts w:ascii="Arial" w:cs="Arial" w:eastAsia="Arial" w:hAnsi="Arial"/>
          <w:sz w:val="18"/>
          <w:szCs w:val="18"/>
          <w:color w:val="auto"/>
        </w:rPr>
        <w:t>(N)“</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unincorporated organization, trust or joint venture, or a governmental agency or political subdivision thereof.</w:t>
      </w:r>
    </w:p>
    <w:p>
      <w:pPr>
        <w:spacing w:after="0" w:line="170" w:lineRule="exact"/>
        <w:rPr>
          <w:sz w:val="20"/>
          <w:szCs w:val="20"/>
          <w:color w:val="auto"/>
        </w:rPr>
      </w:pPr>
    </w:p>
    <w:p>
      <w:pPr>
        <w:jc w:val="both"/>
        <w:ind w:left="860" w:firstLine="798"/>
        <w:spacing w:after="0" w:line="277" w:lineRule="auto"/>
        <w:rPr>
          <w:sz w:val="20"/>
          <w:szCs w:val="20"/>
          <w:color w:val="auto"/>
        </w:rPr>
      </w:pPr>
      <w:r>
        <w:rPr>
          <w:rFonts w:ascii="Arial" w:cs="Arial" w:eastAsia="Arial" w:hAnsi="Arial"/>
          <w:sz w:val="18"/>
          <w:szCs w:val="18"/>
          <w:color w:val="auto"/>
        </w:rPr>
        <w:t>(O)“</w:t>
      </w:r>
      <w:r>
        <w:rPr>
          <w:rFonts w:ascii="Arial" w:cs="Arial" w:eastAsia="Arial" w:hAnsi="Arial"/>
          <w:sz w:val="18"/>
          <w:szCs w:val="18"/>
          <w:u w:val="single" w:color="auto"/>
          <w:color w:val="auto"/>
        </w:rPr>
        <w:t>Section 409A</w:t>
      </w:r>
      <w:r>
        <w:rPr>
          <w:rFonts w:ascii="Arial" w:cs="Arial" w:eastAsia="Arial" w:hAnsi="Arial"/>
          <w:sz w:val="18"/>
          <w:szCs w:val="18"/>
          <w:color w:val="auto"/>
        </w:rPr>
        <w:t>” means Section 409A of the Code and any proposed, temporary or final regulations, or any other guidance, promulgated with respect to such Section 409A by the U.S. Department of Treasury or the Internal Revenue Service.</w:t>
      </w:r>
    </w:p>
    <w:p>
      <w:pPr>
        <w:spacing w:after="0" w:line="170"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(P)“</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as that term is defined in Section 424(f) of the Code, or any successor provision.</w:t>
      </w:r>
    </w:p>
    <w:p>
      <w:pPr>
        <w:spacing w:after="0" w:line="248"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shall become effective on the Effective Date and shall continue in effect until the earliest of</w:t>
      </w:r>
    </w:p>
    <w:p>
      <w:pPr>
        <w:spacing w:after="0" w:line="46" w:lineRule="exact"/>
        <w:rPr>
          <w:sz w:val="20"/>
          <w:szCs w:val="20"/>
          <w:color w:val="auto"/>
        </w:rPr>
      </w:pPr>
    </w:p>
    <w:p>
      <w:pPr>
        <w:jc w:val="both"/>
        <w:ind w:left="860" w:hanging="2"/>
        <w:spacing w:after="0" w:line="29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Date of Termination determined in accordance with Section 8 shall have occurred prior to a Change in Control, (B) if a Payment Trigger shall have occurred during the term of this Agreement, the performance by the Corporation of all its obligations under this Agreement, (C) March 1, 2024, if, as of such date, a Change in Control shall not have occurred and be continuing; or (D) if, as of March 1, 2024, a Change in Control shall have occurred and be continuing, either the expiration of such period thereafter within which a Payment Trigger may occur or the ensuing occurrence of a Payment Trigger and the performance by the Corporation of all of its obligations under this Agreement.</w:t>
      </w:r>
    </w:p>
    <w:p>
      <w:pPr>
        <w:spacing w:after="0" w:line="162"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left="860" w:firstLine="798"/>
        <w:spacing w:after="0" w:line="287" w:lineRule="auto"/>
        <w:rPr>
          <w:sz w:val="20"/>
          <w:szCs w:val="20"/>
          <w:color w:val="auto"/>
        </w:rPr>
      </w:pPr>
      <w:r>
        <w:rPr>
          <w:rFonts w:ascii="Arial" w:cs="Arial" w:eastAsia="Arial" w:hAnsi="Arial"/>
          <w:sz w:val="16"/>
          <w:szCs w:val="16"/>
          <w:color w:val="auto"/>
        </w:rPr>
        <w:t>(A)The Corporation hereby represents and warrants to Executive as follows: (i) the execution and delivery of this Agreement and the performance by the Corporation of the actions contemplated hereby have been duly authorized by all necessary corporate action on the part of the Corporation; (ii) this Agreement is a legal, valid and legally binding obligation of the Corporation, enforceable in accordance with its terms;</w:t>
      </w:r>
    </w:p>
    <w:p>
      <w:pPr>
        <w:spacing w:after="0" w:line="2" w:lineRule="exact"/>
        <w:rPr>
          <w:sz w:val="20"/>
          <w:szCs w:val="20"/>
          <w:color w:val="auto"/>
        </w:rPr>
      </w:pPr>
    </w:p>
    <w:p>
      <w:pPr>
        <w:jc w:val="both"/>
        <w:ind w:left="860" w:hanging="2"/>
        <w:spacing w:after="0" w:line="268" w:lineRule="auto"/>
        <w:tabs>
          <w:tab w:leader="none" w:pos="1184"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neither the execution or delivery of this Agreement nor the consummation by the Corporation of the actions contemplated hereby (a) will violate any provision of the certificate of incorporation or bylaws (or other charter documents) of the Corporation; or (b) will violate or be in conflict with any applicable law or any judgment, decree, injunction or order of any court or governmental agency or authority. Executive hereby represents and warrants to the Corporation that (x) Executive’s execution, delivery and performance of this Agreement does not and shall not conflict with, breach, violate or cause a default under any contract, agreement, instrument, order, judgment or decree to which Executive is a party or by which he is bound, (y) Executive is not a party to or bound by any employment agreement, non-compete agreement or confidentiality agreement with any other person or entity, and (z) upon the execution and delivery of this Agreement by the Corporation, this Agreement shall be the valid and binding obligation of Executive, enforceable in accordance with its terms. Executive hereby acknowledges and represents that s/he fully understands the terms and conditions contained herein.</w:t>
      </w:r>
    </w:p>
    <w:p>
      <w:pPr>
        <w:spacing w:after="0" w:line="181" w:lineRule="exact"/>
        <w:rPr>
          <w:sz w:val="20"/>
          <w:szCs w:val="20"/>
          <w:color w:val="auto"/>
        </w:rPr>
      </w:pPr>
    </w:p>
    <w:p>
      <w:pPr>
        <w:jc w:val="both"/>
        <w:ind w:left="860" w:right="20" w:firstLine="798"/>
        <w:spacing w:after="0" w:line="277" w:lineRule="auto"/>
        <w:rPr>
          <w:sz w:val="20"/>
          <w:szCs w:val="20"/>
          <w:color w:val="auto"/>
        </w:rPr>
      </w:pPr>
      <w:r>
        <w:rPr>
          <w:rFonts w:ascii="Arial" w:cs="Arial" w:eastAsia="Arial" w:hAnsi="Arial"/>
          <w:sz w:val="18"/>
          <w:szCs w:val="18"/>
          <w:color w:val="auto"/>
        </w:rPr>
        <w:t>(B)In no event shall payments be made under this Agreement in respect of more than one termination of Executive’s employment with the Corporation and its Affiliates.</w:t>
      </w:r>
    </w:p>
    <w:p>
      <w:pPr>
        <w:spacing w:after="0" w:line="170" w:lineRule="exact"/>
        <w:rPr>
          <w:sz w:val="20"/>
          <w:szCs w:val="20"/>
          <w:color w:val="auto"/>
        </w:rPr>
      </w:pPr>
    </w:p>
    <w:p>
      <w:pPr>
        <w:jc w:val="both"/>
        <w:ind w:left="860" w:firstLine="798"/>
        <w:spacing w:after="0" w:line="259" w:lineRule="auto"/>
        <w:rPr>
          <w:sz w:val="20"/>
          <w:szCs w:val="20"/>
          <w:color w:val="auto"/>
        </w:rPr>
      </w:pPr>
      <w:r>
        <w:rPr>
          <w:rFonts w:ascii="Arial" w:cs="Arial" w:eastAsia="Arial" w:hAnsi="Arial"/>
          <w:sz w:val="18"/>
          <w:szCs w:val="18"/>
          <w:color w:val="auto"/>
        </w:rPr>
        <w:t>(C)This Agreement does not create, and shall not be construed as creating, an express or implied contract of employment and, except as otherwise agreed in writing between Executive and the Corporation, Executive does not and shall not have any right to be retained in the employ of the Corporation or any Affiliate. Notwithstanding the immediately preceding sentence or any other provision of this Agreement, a termination of</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jc w:val="both"/>
        <w:ind w:left="860" w:firstLine="798"/>
        <w:spacing w:after="0" w:line="277" w:lineRule="auto"/>
        <w:rPr>
          <w:sz w:val="20"/>
          <w:szCs w:val="20"/>
          <w:color w:val="auto"/>
        </w:rPr>
      </w:pPr>
      <w:r>
        <w:rPr>
          <w:rFonts w:ascii="Arial" w:cs="Arial" w:eastAsia="Arial" w:hAnsi="Arial"/>
          <w:sz w:val="18"/>
          <w:szCs w:val="18"/>
          <w:color w:val="auto"/>
        </w:rPr>
        <w:t>Executive’s employment with the Corporation or any Affiliate must be effected in accordance with a Notice of Termination satisfying paragraph (A) of Section 8 in order to constitute a termination for purposes of this Agreement.</w:t>
      </w:r>
    </w:p>
    <w:p>
      <w:pPr>
        <w:spacing w:after="0" w:line="170"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u w:val="single" w:color="auto"/>
          <w:color w:val="auto"/>
        </w:rPr>
        <w:t>Severance Payments</w:t>
      </w:r>
      <w:r>
        <w:rPr>
          <w:rFonts w:ascii="Arial" w:cs="Arial" w:eastAsia="Arial" w:hAnsi="Arial"/>
          <w:sz w:val="18"/>
          <w:szCs w:val="18"/>
          <w:color w:val="auto"/>
        </w:rPr>
        <w:t>.</w:t>
      </w:r>
    </w:p>
    <w:p>
      <w:pPr>
        <w:spacing w:after="0" w:line="225" w:lineRule="exact"/>
        <w:rPr>
          <w:sz w:val="20"/>
          <w:szCs w:val="20"/>
          <w:color w:val="auto"/>
        </w:rPr>
      </w:pPr>
    </w:p>
    <w:p>
      <w:pPr>
        <w:jc w:val="both"/>
        <w:ind w:left="860" w:firstLine="798"/>
        <w:spacing w:after="0" w:line="263" w:lineRule="auto"/>
        <w:rPr>
          <w:sz w:val="20"/>
          <w:szCs w:val="20"/>
          <w:color w:val="auto"/>
        </w:rPr>
      </w:pPr>
      <w:r>
        <w:rPr>
          <w:rFonts w:ascii="Arial" w:cs="Arial" w:eastAsia="Arial" w:hAnsi="Arial"/>
          <w:sz w:val="18"/>
          <w:szCs w:val="18"/>
          <w:color w:val="auto"/>
        </w:rPr>
        <w:t>(A)Not in Connection with a Change in Control. In the event that the Executive’s employment with the Corporation and its Affiliates terminates during the term of this Agreement and such termination does not occur coincident with or within one year following a Change in Control, the terms of this Paragraph (A) of Section 4 shall apply.</w:t>
      </w:r>
    </w:p>
    <w:p>
      <w:pPr>
        <w:spacing w:after="0" w:line="184" w:lineRule="exact"/>
        <w:rPr>
          <w:sz w:val="20"/>
          <w:szCs w:val="20"/>
          <w:color w:val="auto"/>
        </w:rPr>
      </w:pPr>
    </w:p>
    <w:p>
      <w:pPr>
        <w:jc w:val="both"/>
        <w:ind w:left="860" w:firstLine="798"/>
        <w:spacing w:after="0" w:line="259" w:lineRule="auto"/>
        <w:rPr>
          <w:sz w:val="20"/>
          <w:szCs w:val="20"/>
          <w:color w:val="auto"/>
        </w:rPr>
      </w:pPr>
      <w:r>
        <w:rPr>
          <w:rFonts w:ascii="Arial" w:cs="Arial" w:eastAsia="Arial" w:hAnsi="Arial"/>
          <w:sz w:val="18"/>
          <w:szCs w:val="18"/>
          <w:color w:val="auto"/>
        </w:rPr>
        <w:t>(i)By the Corporation for Cause or by Executive without Good Reason. f the Corporation terminates Executive’s employment for Cause or Executive terminates his or her employment with the Corporation without Good Reason, then the Corporation shall pay to Executive Executive’s base salary and any accrued vacation pay through the Date of Termination to the extent not theretofore paid, and such amount shall be paid in a lump sum within 30 days following the Date of Termination.</w:t>
      </w:r>
    </w:p>
    <w:p>
      <w:pPr>
        <w:spacing w:after="0" w:line="187" w:lineRule="exact"/>
        <w:rPr>
          <w:sz w:val="20"/>
          <w:szCs w:val="20"/>
          <w:color w:val="auto"/>
        </w:rPr>
      </w:pPr>
    </w:p>
    <w:p>
      <w:pPr>
        <w:jc w:val="both"/>
        <w:ind w:left="860" w:firstLine="798"/>
        <w:spacing w:after="0" w:line="342" w:lineRule="auto"/>
        <w:rPr>
          <w:sz w:val="20"/>
          <w:szCs w:val="20"/>
          <w:color w:val="auto"/>
        </w:rPr>
      </w:pPr>
      <w:r>
        <w:rPr>
          <w:rFonts w:ascii="Arial" w:cs="Arial" w:eastAsia="Arial" w:hAnsi="Arial"/>
          <w:sz w:val="16"/>
          <w:szCs w:val="16"/>
          <w:color w:val="auto"/>
        </w:rPr>
        <w:t>(ii)By the Corporation not for Cause or by Executive with Good Reason. If the Corporation terminates Executive’s employment not for Cause or Executive terminates his or her employment with the Corporation with Good Reason, then the Corporation shall pay to Executive:</w:t>
      </w:r>
    </w:p>
    <w:p>
      <w:pPr>
        <w:spacing w:after="0" w:line="124" w:lineRule="exact"/>
        <w:rPr>
          <w:sz w:val="20"/>
          <w:szCs w:val="20"/>
          <w:color w:val="auto"/>
        </w:rPr>
      </w:pPr>
    </w:p>
    <w:p>
      <w:pPr>
        <w:ind w:left="1700" w:firstLine="733"/>
        <w:spacing w:after="0" w:line="277" w:lineRule="auto"/>
        <w:rPr>
          <w:sz w:val="20"/>
          <w:szCs w:val="20"/>
          <w:color w:val="auto"/>
        </w:rPr>
      </w:pPr>
      <w:r>
        <w:rPr>
          <w:rFonts w:ascii="Arial" w:cs="Arial" w:eastAsia="Arial" w:hAnsi="Arial"/>
          <w:sz w:val="18"/>
          <w:szCs w:val="18"/>
          <w:color w:val="auto"/>
        </w:rPr>
        <w:t>(a)Executive’s base salary and any accrued vacation pay through the Date of Termination to the extent not theretofore paid and such amount shall be paid in a lump sum within 30 days following the Date of Termination;</w:t>
      </w:r>
    </w:p>
    <w:p>
      <w:pPr>
        <w:spacing w:after="0" w:line="170" w:lineRule="exact"/>
        <w:rPr>
          <w:sz w:val="20"/>
          <w:szCs w:val="20"/>
          <w:color w:val="auto"/>
        </w:rPr>
      </w:pPr>
    </w:p>
    <w:p>
      <w:pPr>
        <w:jc w:val="both"/>
        <w:ind w:left="1700" w:firstLine="733"/>
        <w:spacing w:after="0" w:line="279" w:lineRule="auto"/>
        <w:rPr>
          <w:sz w:val="20"/>
          <w:szCs w:val="20"/>
          <w:color w:val="auto"/>
        </w:rPr>
      </w:pPr>
      <w:r>
        <w:rPr>
          <w:rFonts w:ascii="Arial" w:cs="Arial" w:eastAsia="Arial" w:hAnsi="Arial"/>
          <w:sz w:val="17"/>
          <w:szCs w:val="17"/>
          <w:color w:val="auto"/>
        </w:rPr>
        <w:t>(b)within (I) 30 days following the Date of Termination or (II) any earlier date as required by the Annual Incentive Plan, and subject to Sections 7 and 10 of this Agreement, the amount of any incentive compensation that has been allocated to, accrued to, earned by, or awarded to Executive for a completed fiscal year or other completed measuring period preceding the occurrence of the Date of Termination under any incentive compensation plan that has not yet been paid to Executive;</w:t>
      </w:r>
    </w:p>
    <w:p>
      <w:pPr>
        <w:spacing w:after="0" w:line="171" w:lineRule="exact"/>
        <w:rPr>
          <w:sz w:val="20"/>
          <w:szCs w:val="20"/>
          <w:color w:val="auto"/>
        </w:rPr>
      </w:pPr>
    </w:p>
    <w:p>
      <w:pPr>
        <w:jc w:val="both"/>
        <w:ind w:left="1700" w:firstLine="733"/>
        <w:spacing w:after="0" w:line="272" w:lineRule="auto"/>
        <w:rPr>
          <w:sz w:val="20"/>
          <w:szCs w:val="20"/>
          <w:color w:val="auto"/>
        </w:rPr>
      </w:pPr>
      <w:r>
        <w:rPr>
          <w:rFonts w:ascii="Arial" w:cs="Arial" w:eastAsia="Arial" w:hAnsi="Arial"/>
          <w:sz w:val="17"/>
          <w:szCs w:val="17"/>
          <w:color w:val="auto"/>
        </w:rPr>
        <w:t>(c)Commencing on the first payroll date on or immediately following the 60th day following the Date of Termination, subject to Sections 7 and 10 of this Agreement, the Corporation shall pay to Executive an amount equal to the product of: (I) 1.5 (one and one-half) multiplied by (II) the sum of (x) Executive’s annual base salary in effect on the Date of Termination and (y) the average of the bonus payments paid to Executive under an Annual Incentive Plan during the three years (or lesser period if the Executive has been employed fewer than three full fiscal years) preceding the year in which the Date of Termination occurs. This amount will be paid to Executive in equal installments over a period of 1 year. Such installment payments will be made to Executive in accordance with the Corporation’s customary payroll practices; and</w:t>
      </w:r>
    </w:p>
    <w:p>
      <w:pPr>
        <w:spacing w:after="0" w:line="177" w:lineRule="exact"/>
        <w:rPr>
          <w:sz w:val="20"/>
          <w:szCs w:val="20"/>
          <w:color w:val="auto"/>
        </w:rPr>
      </w:pPr>
    </w:p>
    <w:p>
      <w:pPr>
        <w:jc w:val="both"/>
        <w:ind w:left="1700" w:hanging="784"/>
        <w:spacing w:after="0" w:line="254" w:lineRule="auto"/>
        <w:tabs>
          <w:tab w:leader="none" w:pos="1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color w:val="auto"/>
        </w:rPr>
        <w:t>Commencing on the first payroll date on or immediately following the 60th day following the Date of Termination and continuing for a period of 1 year, and subject to Sections 7 and 10 of this Agreement the Corporation shall pay to Executive, in equal installments over the course of the applicable payment period, an amount equal to the product of (I) Executive’s monthly premium for health, vision and dental insurance continuation coverage for Executive and Executive’s family under the Consolidated Omnibus Budget Reconciliation Act of 1985, based on the monthly premium rate for such coverage in effect on the Date of Termination, multiplied by (II) 12 months. The installment payments will be made to Executive in accordance with the Corporation’s customary payroll practices.</w:t>
      </w:r>
    </w:p>
    <w:p>
      <w:pPr>
        <w:spacing w:after="0" w:line="195" w:lineRule="exact"/>
        <w:rPr>
          <w:sz w:val="20"/>
          <w:szCs w:val="20"/>
          <w:color w:val="auto"/>
        </w:rPr>
      </w:pPr>
    </w:p>
    <w:p>
      <w:pPr>
        <w:jc w:val="both"/>
        <w:ind w:left="860" w:firstLine="798"/>
        <w:spacing w:after="0" w:line="263" w:lineRule="auto"/>
        <w:rPr>
          <w:sz w:val="20"/>
          <w:szCs w:val="20"/>
          <w:color w:val="auto"/>
        </w:rPr>
      </w:pPr>
      <w:r>
        <w:rPr>
          <w:rFonts w:ascii="Arial" w:cs="Arial" w:eastAsia="Arial" w:hAnsi="Arial"/>
          <w:sz w:val="18"/>
          <w:szCs w:val="18"/>
          <w:color w:val="auto"/>
        </w:rPr>
        <w:t>(B)Coincident with or within one year following a Change in Control. In the event that Executive’s employment with the Corporation and its Affiliates terminates during the term of this Agreement and such termination occurs coincident with or within one year following a Change in Control, the terms of this Paragraph (B) of Section 4 shall apply:</w:t>
      </w:r>
    </w:p>
    <w:p>
      <w:pPr>
        <w:spacing w:after="0" w:line="3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0" w:name="page51"/>
    <w:bookmarkEnd w:id="50"/>
    <w:p>
      <w:pPr>
        <w:jc w:val="both"/>
        <w:ind w:left="860" w:firstLine="798"/>
        <w:spacing w:after="0" w:line="259" w:lineRule="auto"/>
        <w:rPr>
          <w:sz w:val="20"/>
          <w:szCs w:val="20"/>
          <w:color w:val="auto"/>
        </w:rPr>
      </w:pPr>
      <w:r>
        <w:rPr>
          <w:rFonts w:ascii="Arial" w:cs="Arial" w:eastAsia="Arial" w:hAnsi="Arial"/>
          <w:sz w:val="18"/>
          <w:szCs w:val="18"/>
          <w:color w:val="auto"/>
        </w:rPr>
        <w:t>(i)By the Corporation for Cause or by Executive without Good Reason. If the Corporation terminates Executive’s employment for Cause or Executive terminates his or her employment without Good Reason, then the Corporation shall pay to Executive Executive’s base salary and any accrued vacation pay through the Date of Termination to the extent not theretofore paid, and such amount shall be paid in a lump sum within 30 days following the Date of Termination.</w:t>
      </w:r>
    </w:p>
    <w:p>
      <w:pPr>
        <w:spacing w:after="0" w:line="187" w:lineRule="exact"/>
        <w:rPr>
          <w:sz w:val="20"/>
          <w:szCs w:val="20"/>
          <w:color w:val="auto"/>
        </w:rPr>
      </w:pPr>
    </w:p>
    <w:p>
      <w:pPr>
        <w:jc w:val="both"/>
        <w:ind w:left="860" w:right="20" w:firstLine="798"/>
        <w:spacing w:after="0" w:line="277" w:lineRule="auto"/>
        <w:rPr>
          <w:sz w:val="20"/>
          <w:szCs w:val="20"/>
          <w:color w:val="auto"/>
        </w:rPr>
      </w:pPr>
      <w:r>
        <w:rPr>
          <w:rFonts w:ascii="Arial" w:cs="Arial" w:eastAsia="Arial" w:hAnsi="Arial"/>
          <w:sz w:val="18"/>
          <w:szCs w:val="18"/>
          <w:color w:val="auto"/>
        </w:rPr>
        <w:t>(ii)Upon the occurrence of a Payment Trigger. If a Payment Trigger occurs during the term of this Agreement, then the Corporation shall provide to Executive:</w:t>
      </w:r>
    </w:p>
    <w:p>
      <w:pPr>
        <w:spacing w:after="0" w:line="170" w:lineRule="exact"/>
        <w:rPr>
          <w:sz w:val="20"/>
          <w:szCs w:val="20"/>
          <w:color w:val="auto"/>
        </w:rPr>
      </w:pPr>
    </w:p>
    <w:p>
      <w:pPr>
        <w:jc w:val="both"/>
        <w:ind w:left="1700" w:firstLine="733"/>
        <w:spacing w:after="0" w:line="277" w:lineRule="auto"/>
        <w:rPr>
          <w:sz w:val="20"/>
          <w:szCs w:val="20"/>
          <w:color w:val="auto"/>
        </w:rPr>
      </w:pPr>
      <w:r>
        <w:rPr>
          <w:rFonts w:ascii="Arial" w:cs="Arial" w:eastAsia="Arial" w:hAnsi="Arial"/>
          <w:sz w:val="18"/>
          <w:szCs w:val="18"/>
          <w:color w:val="auto"/>
        </w:rPr>
        <w:t>(a)within 30 days following the Date of Termination, Executive’s base salary and accrued vacation pay through the Date of Termination to the extent not theretofore paid;</w:t>
      </w:r>
    </w:p>
    <w:p>
      <w:pPr>
        <w:spacing w:after="0" w:line="170" w:lineRule="exact"/>
        <w:rPr>
          <w:sz w:val="20"/>
          <w:szCs w:val="20"/>
          <w:color w:val="auto"/>
        </w:rPr>
      </w:pPr>
    </w:p>
    <w:p>
      <w:pPr>
        <w:jc w:val="both"/>
        <w:ind w:left="1700" w:firstLine="733"/>
        <w:spacing w:after="0" w:line="279" w:lineRule="auto"/>
        <w:rPr>
          <w:sz w:val="20"/>
          <w:szCs w:val="20"/>
          <w:color w:val="auto"/>
        </w:rPr>
      </w:pPr>
      <w:r>
        <w:rPr>
          <w:rFonts w:ascii="Arial" w:cs="Arial" w:eastAsia="Arial" w:hAnsi="Arial"/>
          <w:sz w:val="17"/>
          <w:szCs w:val="17"/>
          <w:color w:val="auto"/>
        </w:rPr>
        <w:t>(b)within (I) 30 days following the Date of Termination or (II) any earlier date as required by the Annual Incentive Plan, and subject to Sections 7 and 10 of this Agreement, the amount of any incentive compensation that has been allocated to, accrued to, earned by, or awarded to Executive for a completed fiscal year or other completed measuring period preceding the occurrence of the Date of Termination under any incentive compensation plan that has not yet been paid to Executive;</w:t>
      </w:r>
    </w:p>
    <w:p>
      <w:pPr>
        <w:spacing w:after="0" w:line="171" w:lineRule="exact"/>
        <w:rPr>
          <w:sz w:val="20"/>
          <w:szCs w:val="20"/>
          <w:color w:val="auto"/>
        </w:rPr>
      </w:pPr>
    </w:p>
    <w:p>
      <w:pPr>
        <w:jc w:val="both"/>
        <w:ind w:left="1700" w:firstLine="733"/>
        <w:spacing w:after="0" w:line="255" w:lineRule="auto"/>
        <w:rPr>
          <w:sz w:val="20"/>
          <w:szCs w:val="20"/>
          <w:color w:val="auto"/>
        </w:rPr>
      </w:pPr>
      <w:r>
        <w:rPr>
          <w:rFonts w:ascii="Arial" w:cs="Arial" w:eastAsia="Arial" w:hAnsi="Arial"/>
          <w:sz w:val="18"/>
          <w:szCs w:val="18"/>
          <w:color w:val="auto"/>
        </w:rPr>
        <w:t>(c)within (I) the 30-day period commencing on the 60th day following the Date of Termination, or (II) such later period as required by Section 6, and subject to Sections 7 and 10 of this Agreement, a lump sum payment equal to the product of (x) the Annual Incentive Target in effect immediately prior to the Payment Trigger and (y) a fraction, the numerator of which is the number of calendar days in the current fiscal year through the Date of Termination, and the denominator of which is 365, reduced by the amount, if any, paid to Executive under the Annual Incentive Plan’s terms with respect to the fiscal year during which the Date of Termination occurs;</w:t>
      </w:r>
    </w:p>
    <w:p>
      <w:pPr>
        <w:spacing w:after="0" w:line="192" w:lineRule="exact"/>
        <w:rPr>
          <w:sz w:val="20"/>
          <w:szCs w:val="20"/>
          <w:color w:val="auto"/>
        </w:rPr>
      </w:pPr>
    </w:p>
    <w:p>
      <w:pPr>
        <w:jc w:val="both"/>
        <w:ind w:left="1700" w:firstLine="733"/>
        <w:spacing w:after="0" w:line="253" w:lineRule="auto"/>
        <w:rPr>
          <w:sz w:val="20"/>
          <w:szCs w:val="20"/>
          <w:color w:val="auto"/>
        </w:rPr>
      </w:pPr>
      <w:r>
        <w:rPr>
          <w:rFonts w:ascii="Arial" w:cs="Arial" w:eastAsia="Arial" w:hAnsi="Arial"/>
          <w:sz w:val="18"/>
          <w:szCs w:val="18"/>
          <w:color w:val="auto"/>
        </w:rPr>
        <w:t>(d)Commencing on the first payroll date on or immediately following the 60th day following the Date of Termination and continuing for a period of 1 year, or within such other period as required by Section 6, and subject to Sections 7 and 10 of this Agreement, the Corporation shall pay to Executive, in equal installments over the course of the applicable payment period, an amount equal to the product of: (I) two multiplied by, (II) the sum of: (x) the higher of (1) Executive’s annual base salary in effect immediately prior to the occurrence of the Change in Control and (2) Executive’s annual base salary in effect immediately prior to the Payment Trigger; and (y) the average of the bonus payments paid to Executive under an Annual Incentive Plan during the three years (or lesser period if the Executive has been employed fewer than three full fiscal years) preceding the year in which the Date of Termination occurs. The installment payments will be made to Executive in accordance with the Corporation’s customary payroll practices;</w:t>
      </w:r>
    </w:p>
    <w:p>
      <w:pPr>
        <w:spacing w:after="0" w:line="196" w:lineRule="exact"/>
        <w:rPr>
          <w:sz w:val="20"/>
          <w:szCs w:val="20"/>
          <w:color w:val="auto"/>
        </w:rPr>
      </w:pPr>
    </w:p>
    <w:p>
      <w:pPr>
        <w:jc w:val="both"/>
        <w:ind w:left="1700" w:firstLine="733"/>
        <w:spacing w:after="0" w:line="254" w:lineRule="auto"/>
        <w:rPr>
          <w:sz w:val="20"/>
          <w:szCs w:val="20"/>
          <w:color w:val="auto"/>
        </w:rPr>
      </w:pPr>
      <w:r>
        <w:rPr>
          <w:rFonts w:ascii="Arial" w:cs="Arial" w:eastAsia="Arial" w:hAnsi="Arial"/>
          <w:sz w:val="18"/>
          <w:szCs w:val="18"/>
          <w:color w:val="auto"/>
        </w:rPr>
        <w:t>(e)Commencing on the first payroll date on or immediately following the 60th day following the Date of Termination and continuing for a period of 1 year, and subject to Sections 7 and 10 of this Agreement, the Corporation shall pay to Executive, in equal installments over the course of the applicable payment period, an amount equal to the product of (I) Executive’s monthly premium for health, vision and dental insurance continuation coverage for Executive and Executive’s family under the Consolidated Omnibus Budget Reconciliation Act of 1985, based on the monthly premium rate for such coverage in effect on the Date of Termination, multiplied by (II) 24 months. The installment payments will be made to Executive in accordance with the Corporation’s customary payroll practices; and</w:t>
      </w:r>
    </w:p>
    <w:p>
      <w:pPr>
        <w:spacing w:after="0" w:line="195" w:lineRule="exact"/>
        <w:rPr>
          <w:sz w:val="20"/>
          <w:szCs w:val="20"/>
          <w:color w:val="auto"/>
        </w:rPr>
      </w:pPr>
    </w:p>
    <w:p>
      <w:pPr>
        <w:jc w:val="both"/>
        <w:ind w:left="1700" w:firstLine="733"/>
        <w:spacing w:after="0" w:line="301" w:lineRule="auto"/>
        <w:rPr>
          <w:sz w:val="20"/>
          <w:szCs w:val="20"/>
          <w:color w:val="auto"/>
        </w:rPr>
      </w:pPr>
      <w:r>
        <w:rPr>
          <w:rFonts w:ascii="Arial" w:cs="Arial" w:eastAsia="Arial" w:hAnsi="Arial"/>
          <w:sz w:val="16"/>
          <w:szCs w:val="16"/>
          <w:color w:val="auto"/>
        </w:rPr>
        <w:t>(f)subject to Sections 7 and 10 of this Agreement, up to $25,000 for executive transition/outplacement services received by Executive (I) prior to the expiration of the Non-Interference / Assistance Period (II) through a third party professional provider of such services identified and retained by Executive. Such payment will be paid directly to such third-party provider by the Corporation promptly following its receipt of an invoice from such provider confirming the provision of such services to Executive.</w:t>
      </w:r>
    </w:p>
    <w:p>
      <w:pPr>
        <w:spacing w:after="0" w:line="31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jc w:val="both"/>
        <w:ind w:left="860" w:firstLine="798"/>
        <w:spacing w:after="0" w:line="293" w:lineRule="auto"/>
        <w:rPr>
          <w:sz w:val="20"/>
          <w:szCs w:val="20"/>
          <w:color w:val="auto"/>
        </w:rPr>
      </w:pPr>
      <w:r>
        <w:rPr>
          <w:rFonts w:ascii="Arial" w:cs="Arial" w:eastAsia="Arial" w:hAnsi="Arial"/>
          <w:sz w:val="16"/>
          <w:szCs w:val="16"/>
          <w:color w:val="auto"/>
        </w:rPr>
        <w:t>(C)</w:t>
      </w:r>
      <w:r>
        <w:rPr>
          <w:rFonts w:ascii="Arial" w:cs="Arial" w:eastAsia="Arial" w:hAnsi="Arial"/>
          <w:sz w:val="16"/>
          <w:szCs w:val="16"/>
          <w:u w:val="single" w:color="auto"/>
          <w:color w:val="auto"/>
        </w:rPr>
        <w:t>Death or Disability</w:t>
      </w:r>
      <w:r>
        <w:rPr>
          <w:rFonts w:ascii="Arial" w:cs="Arial" w:eastAsia="Arial" w:hAnsi="Arial"/>
          <w:sz w:val="16"/>
          <w:szCs w:val="16"/>
          <w:color w:val="auto"/>
        </w:rPr>
        <w:t>. If Executive’s employment terminates as a result of Executive’s death or Disability, then the Corporation shall pay to Executive or Executive’s estate, as appropriate: (I) Executive’s base salary and any accrued vacation pay through the Date of Termination to the extent not theretofore paid; (II) the amount of any incentive compensation that has been allocated to, accrued to, earned by or awarded to Executive for a completed fiscal year or other completed measuring period preceding the occurrence of the Date of Termination under any incentive compensation plan that has not yet been paid to Executive (III) one (1) times the Executive’s annual base salary in effect on the Date of Termination. Such payments shall be made in a lump sum within 30 days following the Date of Termination.</w:t>
      </w:r>
    </w:p>
    <w:p>
      <w:pPr>
        <w:spacing w:after="0" w:line="164" w:lineRule="exact"/>
        <w:rPr>
          <w:sz w:val="20"/>
          <w:szCs w:val="20"/>
          <w:color w:val="auto"/>
        </w:rPr>
      </w:pPr>
    </w:p>
    <w:p>
      <w:pPr>
        <w:jc w:val="both"/>
        <w:ind w:left="860" w:firstLine="798"/>
        <w:spacing w:after="0" w:line="218" w:lineRule="exact"/>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Exclusive Severance Benefit</w:t>
      </w:r>
      <w:r>
        <w:rPr>
          <w:rFonts w:ascii="Arial" w:cs="Arial" w:eastAsia="Arial" w:hAnsi="Arial"/>
          <w:sz w:val="18"/>
          <w:szCs w:val="18"/>
          <w:color w:val="auto"/>
        </w:rPr>
        <w:t>. Notwithstanding the foregoing provisions of this Article 4, and except as specifically provided below, any severance payments or benefits received by Executive pursuant to this Agreement shall be in lieu of any benefits under the Uniti Group Inc. Severance Program or any other severance or reduction</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force plan, program, policy, agreement or arrangement maintained by the Corporation or an Affiliate (not including an equity award agreement, retirement or deferred compensation plan or similar plan or agreement which may contain provisions operative on a termination of Executive’s employment or which may incidentally refer to accelerated vesting or accelerated payment upon a termination of employment) and in lieu of any severance or separation pay benefit that may be required under applicable law.</w:t>
      </w:r>
    </w:p>
    <w:p>
      <w:pPr>
        <w:spacing w:after="0" w:line="207"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u w:val="single" w:color="auto"/>
          <w:color w:val="auto"/>
        </w:rPr>
        <w:t>Certain Reductions in Change in Control Payments</w:t>
      </w:r>
      <w:r>
        <w:rPr>
          <w:rFonts w:ascii="Arial" w:cs="Arial" w:eastAsia="Arial" w:hAnsi="Arial"/>
          <w:sz w:val="18"/>
          <w:szCs w:val="18"/>
          <w:color w:val="auto"/>
        </w:rPr>
        <w:t>.</w:t>
      </w:r>
    </w:p>
    <w:p>
      <w:pPr>
        <w:spacing w:after="0" w:line="225" w:lineRule="exact"/>
        <w:rPr>
          <w:sz w:val="20"/>
          <w:szCs w:val="20"/>
          <w:color w:val="auto"/>
        </w:rPr>
      </w:pPr>
    </w:p>
    <w:p>
      <w:pPr>
        <w:jc w:val="both"/>
        <w:ind w:left="860" w:firstLine="798"/>
        <w:spacing w:after="0" w:line="257" w:lineRule="auto"/>
        <w:rPr>
          <w:sz w:val="20"/>
          <w:szCs w:val="20"/>
          <w:color w:val="auto"/>
        </w:rPr>
      </w:pPr>
      <w:r>
        <w:rPr>
          <w:rFonts w:ascii="Arial" w:cs="Arial" w:eastAsia="Arial" w:hAnsi="Arial"/>
          <w:sz w:val="18"/>
          <w:szCs w:val="18"/>
          <w:color w:val="auto"/>
        </w:rPr>
        <w:t>(A)In the event that the Accounting Firm determines that any Change in Control Payment to Executive would be subject to the Excise Tax, the Accounting Firm shall determine, in accordance with the following restrictions, whether to reduce the aggregate amount of the Change in Control Payments payable to Executive to the Reduced Amount. For clarity, the Change in Control Payments shall be reduced to the Reduced Amount only if the Accounting Firm determines that Executive would receive a greater Net After-Tax Benefit if Executive’s Change in Control Payments were reduced to the Reduced Amount.</w:t>
      </w:r>
    </w:p>
    <w:p>
      <w:pPr>
        <w:spacing w:after="0" w:line="188" w:lineRule="exact"/>
        <w:rPr>
          <w:sz w:val="20"/>
          <w:szCs w:val="20"/>
          <w:color w:val="auto"/>
        </w:rPr>
      </w:pPr>
    </w:p>
    <w:p>
      <w:pPr>
        <w:jc w:val="both"/>
        <w:ind w:left="860" w:firstLine="798"/>
        <w:spacing w:after="0" w:line="254" w:lineRule="auto"/>
        <w:rPr>
          <w:sz w:val="20"/>
          <w:szCs w:val="20"/>
          <w:color w:val="auto"/>
        </w:rPr>
      </w:pPr>
      <w:r>
        <w:rPr>
          <w:rFonts w:ascii="Arial" w:cs="Arial" w:eastAsia="Arial" w:hAnsi="Arial"/>
          <w:sz w:val="18"/>
          <w:szCs w:val="18"/>
          <w:color w:val="auto"/>
        </w:rPr>
        <w:t>(B)If the Accounting Firm determines that the aggregate Change in Control Payments otherwise payable to Executive should be reduced to the Reduced Amount in accordance with Section 5(A), the Corporation shall promptly notify Executive to that effect and provide Executive a copy of the detailed calculation thereof. All determinations made by the Accounting Firm under this Section 5 shall be binding upon the Corporation and Executive and shall be made within 30 business days after termination of Executive’s employment. The reduction of Executive’s Change in Control Payments to the Reduced Amount, if applicable, shall be made by reducing the Change in Control Payments under the following Paragraphs of Section 4 (and no other Change in Control Payments) in the following order: (i) Paragraph (B)(ii)(d), (ii) Paragraph (B)(ii)(c), (iii) Paragraph (B)(ii)(e), and (iv) Paragraph (B)(ii)(f). All fees and expenses of the Accounting Firm pursuant to this Section 5 shall be borne solely by the Corporation.</w:t>
      </w:r>
    </w:p>
    <w:p>
      <w:pPr>
        <w:spacing w:after="0" w:line="19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(C)The following terms have the following meanings for purposes of this Section 5:</w:t>
      </w:r>
    </w:p>
    <w:p>
      <w:pPr>
        <w:spacing w:after="0" w:line="225" w:lineRule="exact"/>
        <w:rPr>
          <w:sz w:val="20"/>
          <w:szCs w:val="20"/>
          <w:color w:val="auto"/>
        </w:rPr>
      </w:pPr>
    </w:p>
    <w:p>
      <w:pPr>
        <w:jc w:val="both"/>
        <w:ind w:left="860" w:firstLine="798"/>
        <w:spacing w:after="0" w:line="286" w:lineRule="auto"/>
        <w:rPr>
          <w:sz w:val="20"/>
          <w:szCs w:val="20"/>
          <w:color w:val="auto"/>
        </w:rPr>
      </w:pPr>
      <w:r>
        <w:rPr>
          <w:rFonts w:ascii="Arial" w:cs="Arial" w:eastAsia="Arial" w:hAnsi="Arial"/>
          <w:sz w:val="17"/>
          <w:szCs w:val="17"/>
          <w:color w:val="auto"/>
        </w:rPr>
        <w:t>(i)“</w:t>
      </w:r>
      <w:r>
        <w:rPr>
          <w:rFonts w:ascii="Arial" w:cs="Arial" w:eastAsia="Arial" w:hAnsi="Arial"/>
          <w:sz w:val="17"/>
          <w:szCs w:val="17"/>
          <w:u w:val="single" w:color="auto"/>
          <w:color w:val="auto"/>
        </w:rPr>
        <w:t>Accounting Firm</w:t>
      </w:r>
      <w:r>
        <w:rPr>
          <w:rFonts w:ascii="Arial" w:cs="Arial" w:eastAsia="Arial" w:hAnsi="Arial"/>
          <w:sz w:val="17"/>
          <w:szCs w:val="17"/>
          <w:color w:val="auto"/>
        </w:rPr>
        <w:t>” means an independent, nationally recognized accounting firm designated by the Corporation in good faith prior to a Change in Control; provided that if the Accounting Firm is not willing or able to value the restrictive covenants in Section 9, then the restrictive covenants shall be valued by an independent third-party valuation specialist selected by the Corporation in good faith.</w:t>
      </w:r>
    </w:p>
    <w:p>
      <w:pPr>
        <w:spacing w:after="0" w:line="165" w:lineRule="exact"/>
        <w:rPr>
          <w:sz w:val="20"/>
          <w:szCs w:val="20"/>
          <w:color w:val="auto"/>
        </w:rPr>
      </w:pPr>
    </w:p>
    <w:p>
      <w:pPr>
        <w:jc w:val="both"/>
        <w:ind w:left="860" w:firstLine="798"/>
        <w:spacing w:after="0" w:line="263"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Change in Control Payment</w:t>
      </w:r>
      <w:r>
        <w:rPr>
          <w:rFonts w:ascii="Arial" w:cs="Arial" w:eastAsia="Arial" w:hAnsi="Arial"/>
          <w:sz w:val="18"/>
          <w:szCs w:val="18"/>
          <w:color w:val="auto"/>
        </w:rPr>
        <w:t>” means any payment or distribution by the Corporation in the nature of compensation (within the meaning of Section 280G(b)(2) of the Code) to or for the benefit of Executive that is contingent on a Change in Control, whether paid or payable or distributed or distributable pursuant to the terms of this Agreement or otherwise.</w:t>
      </w:r>
    </w:p>
    <w:p>
      <w:pPr>
        <w:spacing w:after="0" w:line="184" w:lineRule="exact"/>
        <w:rPr>
          <w:sz w:val="20"/>
          <w:szCs w:val="20"/>
          <w:color w:val="auto"/>
        </w:rPr>
      </w:pPr>
    </w:p>
    <w:p>
      <w:pPr>
        <w:jc w:val="both"/>
        <w:ind w:left="860" w:firstLine="798"/>
        <w:spacing w:after="0" w:line="277"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Excise Tax</w:t>
      </w:r>
      <w:r>
        <w:rPr>
          <w:rFonts w:ascii="Arial" w:cs="Arial" w:eastAsia="Arial" w:hAnsi="Arial"/>
          <w:sz w:val="18"/>
          <w:szCs w:val="18"/>
          <w:color w:val="auto"/>
        </w:rPr>
        <w:t>” means the excise tax imposed by Section 4999 of the Code, together with any interest or penalties imposed with respect to such excise tax.</w:t>
      </w:r>
    </w:p>
    <w:p>
      <w:pPr>
        <w:spacing w:after="0" w:line="170" w:lineRule="exact"/>
        <w:rPr>
          <w:sz w:val="20"/>
          <w:szCs w:val="20"/>
          <w:color w:val="auto"/>
        </w:rPr>
      </w:pPr>
    </w:p>
    <w:p>
      <w:pPr>
        <w:jc w:val="both"/>
        <w:ind w:left="860" w:firstLine="798"/>
        <w:spacing w:after="0" w:line="263" w:lineRule="auto"/>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Net After-Tax Benefit</w:t>
      </w:r>
      <w:r>
        <w:rPr>
          <w:rFonts w:ascii="Arial" w:cs="Arial" w:eastAsia="Arial" w:hAnsi="Arial"/>
          <w:sz w:val="18"/>
          <w:szCs w:val="18"/>
          <w:color w:val="auto"/>
        </w:rPr>
        <w:t>” means the aggregate Value of all Change in Control Payments to Executive, net of all taxes imposed on Executive with respect thereto under Sections 1 and 4999 of the Code and under applicable state and local laws, as determined by the Accounting Firm after taking</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left="1660"/>
        <w:spacing w:after="0"/>
        <w:rPr>
          <w:sz w:val="20"/>
          <w:szCs w:val="20"/>
          <w:color w:val="auto"/>
        </w:rPr>
      </w:pPr>
      <w:r>
        <w:rPr>
          <w:rFonts w:ascii="Arial" w:cs="Arial" w:eastAsia="Arial" w:hAnsi="Arial"/>
          <w:sz w:val="16"/>
          <w:szCs w:val="16"/>
          <w:color w:val="auto"/>
        </w:rPr>
        <w:t>into account any value attributable to the restrictive covenants in Section 9 that is treated as reasonable compensation described in</w:t>
      </w: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rPr>
              <w:t>Section 280G(b)(4) of the Code.</w:t>
            </w:r>
          </w:p>
        </w:tc>
      </w:tr>
      <w:tr>
        <w:trPr>
          <w:trHeight w:val="377"/>
        </w:trPr>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0"/>
              </w:rPr>
              <w:t>(v)“Reduced Amount” means the greatest amount of Change in Control Payments that can be paid to Executive that would not result</w:t>
            </w:r>
          </w:p>
        </w:tc>
      </w:tr>
      <w:tr>
        <w:trPr>
          <w:trHeight w:val="20"/>
        </w:trPr>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4"/>
              </w:rPr>
              <w:t>in the imposition of the Excise Tax upon Executive if the Accounting Firm determines to reduce Change in Control Payments to Executive</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1"/>
              </w:rPr>
              <w:t>pursuant to this Section 5, determined after taking into account any value attributable to the restrictive covenants in Section 9 that is treated as</w:t>
            </w:r>
          </w:p>
        </w:tc>
      </w:tr>
      <w:tr>
        <w:trPr>
          <w:trHeight w:val="230"/>
        </w:trPr>
        <w:tc>
          <w:tcPr>
            <w:tcW w:w="460" w:type="dxa"/>
            <w:vAlign w:val="bottom"/>
          </w:tcPr>
          <w:p>
            <w:pPr>
              <w:spacing w:after="0"/>
              <w:rPr>
                <w:sz w:val="20"/>
                <w:szCs w:val="20"/>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rPr>
              <w:t>reasonable compensation described in Section 280G(b)(4) of the Code.</w:t>
            </w:r>
          </w:p>
        </w:tc>
      </w:tr>
      <w:tr>
        <w:trPr>
          <w:trHeight w:val="392"/>
        </w:trPr>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0"/>
              </w:rPr>
              <w:t>(vi)“Value” of a Change in Control Payment means the economic present value of a Change in Control Payment as of the date of the</w:t>
            </w:r>
          </w:p>
        </w:tc>
      </w:tr>
      <w:tr>
        <w:trPr>
          <w:trHeight w:val="20"/>
        </w:trPr>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1"/>
              </w:rPr>
              <w:t>Change in Control (or such other date as required pursuant to Section 280G), as determined by the Accounting Firm pursuant to Section 280G</w:t>
            </w:r>
          </w:p>
        </w:tc>
      </w:tr>
      <w:tr>
        <w:trPr>
          <w:trHeight w:val="230"/>
        </w:trPr>
        <w:tc>
          <w:tcPr>
            <w:tcW w:w="460" w:type="dxa"/>
            <w:vAlign w:val="bottom"/>
          </w:tcPr>
          <w:p>
            <w:pPr>
              <w:spacing w:after="0"/>
              <w:rPr>
                <w:sz w:val="20"/>
                <w:szCs w:val="20"/>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rPr>
              <w:t>of the Code using the discount rate required by Section 280G(d)(4) of the Code.</w:t>
            </w:r>
          </w:p>
        </w:tc>
      </w:tr>
      <w:tr>
        <w:trPr>
          <w:trHeight w:val="392"/>
        </w:trPr>
        <w:tc>
          <w:tcPr>
            <w:tcW w:w="460" w:type="dxa"/>
            <w:vAlign w:val="bottom"/>
          </w:tcPr>
          <w:p>
            <w:pPr>
              <w:jc w:val="right"/>
              <w:ind w:right="256"/>
              <w:spacing w:after="0"/>
              <w:rPr>
                <w:sz w:val="20"/>
                <w:szCs w:val="20"/>
                <w:color w:val="auto"/>
              </w:rPr>
            </w:pPr>
            <w:r>
              <w:rPr>
                <w:rFonts w:ascii="Arial" w:cs="Arial" w:eastAsia="Arial" w:hAnsi="Arial"/>
                <w:sz w:val="17"/>
                <w:szCs w:val="17"/>
                <w:color w:val="auto"/>
                <w:w w:val="70"/>
              </w:rPr>
              <w:t>6.</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rPr>
              <w:t>Compliance with Section 409A.</w:t>
            </w:r>
          </w:p>
        </w:tc>
      </w:tr>
      <w:tr>
        <w:trPr>
          <w:trHeight w:val="20"/>
        </w:trPr>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38"/>
        </w:trPr>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5"/>
              </w:rPr>
              <w:t>(A)Notwithstanding anything contained in this Agreement to the contrary, if Executive is a “specified employee,” as determined</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1"/>
              </w:rPr>
              <w:t>under the Corporation’s policy for determining specified employees on the Date of Termination, all payments, benefits or reimbursements paid</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6"/>
              </w:rPr>
              <w:t>or provided under this Agreement that constitute a “deferral of compensation” within the meaning of Section 409A of the Code, that are</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1"/>
              </w:rPr>
              <w:t>provided as a result of a “separation from service” within the meaning of Section 409A and that would otherwise be paid or provided during the</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2"/>
              </w:rPr>
              <w:t>first six months following such Date of Termination shall be accumulated through and paid or provided (together with interest at the applicable</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5"/>
              </w:rPr>
              <w:t>Federal short-term rate, compounded semi-annually, in effect under Section 1274(d) of the Code as of the Date of Termination) within 30</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3"/>
              </w:rPr>
              <w:t>calendar days after the first business day following the six month anniversary of such Date of Termination (or, if Executive dies during such</w:t>
            </w:r>
          </w:p>
        </w:tc>
      </w:tr>
      <w:tr>
        <w:trPr>
          <w:trHeight w:val="230"/>
        </w:trPr>
        <w:tc>
          <w:tcPr>
            <w:tcW w:w="460" w:type="dxa"/>
            <w:vAlign w:val="bottom"/>
          </w:tcPr>
          <w:p>
            <w:pPr>
              <w:spacing w:after="0"/>
              <w:rPr>
                <w:sz w:val="20"/>
                <w:szCs w:val="20"/>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rPr>
              <w:t>six-month period, within 10 calendar days after Executive’s death).</w:t>
            </w:r>
          </w:p>
        </w:tc>
      </w:tr>
      <w:tr>
        <w:trPr>
          <w:trHeight w:val="418"/>
        </w:trPr>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4"/>
              </w:rPr>
              <w:t>(B)It is intended that the payments and benefits provided under this Agreement either shall be exempt from the application of or</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2"/>
              </w:rPr>
              <w:t>shall comply with the requirements of Section 409A. For purposes of Section 409A, each payment hereunder shall be considered a separate</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2"/>
              </w:rPr>
              <w:t>payment. This Agreement shall be construed, administered, and governed in a manner that effects such intent, and the Corporation shall not</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5"/>
              </w:rPr>
              <w:t>take any action that would be inconsistent with such intent. Without limiting the foregoing, the payments and benefits provided under this</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1"/>
              </w:rPr>
              <w:t>Agreement may not be deferred, accelerated, extended, paid out or modified in a manner that would result in the imposition of an additional tax</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7"/>
              </w:rPr>
              <w:t>under Section 409A upon Executive. Although the Corporation shall use its best efforts to avoid the imposition of taxation, interest and</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4"/>
              </w:rPr>
              <w:t>penalties under Section 409A, the tax treatment of the benefits provided under this Agreement is not warranted or guaranteed. Neither the</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6"/>
              </w:rPr>
              <w:t>Corporation, its Affiliates nor any of their respective directors, officers, employees or advisors shall be held liable for any taxes, interest,</w:t>
            </w:r>
          </w:p>
        </w:tc>
      </w:tr>
      <w:tr>
        <w:trPr>
          <w:trHeight w:val="230"/>
        </w:trPr>
        <w:tc>
          <w:tcPr>
            <w:tcW w:w="460" w:type="dxa"/>
            <w:vAlign w:val="bottom"/>
          </w:tcPr>
          <w:p>
            <w:pPr>
              <w:spacing w:after="0"/>
              <w:rPr>
                <w:sz w:val="20"/>
                <w:szCs w:val="20"/>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rPr>
              <w:t>penalties or other monetary amounts owed by Executive or any other taxpayer as a result of the Agreement.</w:t>
            </w:r>
          </w:p>
        </w:tc>
      </w:tr>
      <w:tr>
        <w:trPr>
          <w:trHeight w:val="391"/>
        </w:trPr>
        <w:tc>
          <w:tcPr>
            <w:tcW w:w="460" w:type="dxa"/>
            <w:vAlign w:val="bottom"/>
          </w:tcPr>
          <w:p>
            <w:pPr>
              <w:jc w:val="right"/>
              <w:ind w:right="256"/>
              <w:spacing w:after="0"/>
              <w:rPr>
                <w:sz w:val="20"/>
                <w:szCs w:val="20"/>
                <w:color w:val="auto"/>
              </w:rPr>
            </w:pPr>
            <w:r>
              <w:rPr>
                <w:rFonts w:ascii="Arial" w:cs="Arial" w:eastAsia="Arial" w:hAnsi="Arial"/>
                <w:sz w:val="17"/>
                <w:szCs w:val="17"/>
                <w:color w:val="auto"/>
                <w:w w:val="70"/>
              </w:rPr>
              <w:t>7.</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3"/>
              </w:rPr>
              <w:t>Release.  Notwithstanding anything contained herein to the contrary, the Corporation shall only be obligated to pay or provide, or</w:t>
            </w:r>
          </w:p>
        </w:tc>
      </w:tr>
      <w:tr>
        <w:trPr>
          <w:trHeight w:val="20"/>
        </w:trPr>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3"/>
              </w:rPr>
              <w:t>continue to pay or provide, any benefit under Paragraphs (A)(ii), (B)(ii)(c), (B)(ii)(d), (B)(ii)(e) and (B)(ii)(f) of Section 4 to the extent that: (A)</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3"/>
              </w:rPr>
              <w:t>within the 45-day period after the Date of Termination, Executive executes a waiver and release substantially in the form attached hereto as</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1"/>
              </w:rPr>
              <w:t>Exhibit A; (B) Executive does not revoke such waiver and release; (C) the waiver and release becomes effective and irrevocable in accordance</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2"/>
              </w:rPr>
              <w:t>with its terms; (D) Executive remains in compliance with the terms and conditions of Section 9; and (E) Executive is not then-currently subject</w:t>
            </w:r>
          </w:p>
        </w:tc>
      </w:tr>
      <w:tr>
        <w:trPr>
          <w:trHeight w:val="216"/>
        </w:trPr>
        <w:tc>
          <w:tcPr>
            <w:tcW w:w="460" w:type="dxa"/>
            <w:vAlign w:val="bottom"/>
          </w:tcPr>
          <w:p>
            <w:pPr>
              <w:spacing w:after="0"/>
              <w:rPr>
                <w:sz w:val="18"/>
                <w:szCs w:val="18"/>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w w:val="94"/>
              </w:rPr>
              <w:t>to any claims for recoupment or clawback of any of his or her compensation from the Corporation under any clawback and/or recoupment</w:t>
            </w:r>
          </w:p>
        </w:tc>
      </w:tr>
      <w:tr>
        <w:trPr>
          <w:trHeight w:val="230"/>
        </w:trPr>
        <w:tc>
          <w:tcPr>
            <w:tcW w:w="460" w:type="dxa"/>
            <w:vAlign w:val="bottom"/>
          </w:tcPr>
          <w:p>
            <w:pPr>
              <w:spacing w:after="0"/>
              <w:rPr>
                <w:sz w:val="20"/>
                <w:szCs w:val="20"/>
                <w:color w:val="auto"/>
              </w:rPr>
            </w:pPr>
          </w:p>
        </w:tc>
        <w:tc>
          <w:tcPr>
            <w:tcW w:w="10700" w:type="dxa"/>
            <w:vAlign w:val="bottom"/>
            <w:gridSpan w:val="8"/>
          </w:tcPr>
          <w:p>
            <w:pPr>
              <w:ind w:left="320"/>
              <w:spacing w:after="0"/>
              <w:rPr>
                <w:sz w:val="20"/>
                <w:szCs w:val="20"/>
                <w:color w:val="auto"/>
              </w:rPr>
            </w:pPr>
            <w:r>
              <w:rPr>
                <w:rFonts w:ascii="Arial" w:cs="Arial" w:eastAsia="Arial" w:hAnsi="Arial"/>
                <w:sz w:val="18"/>
                <w:szCs w:val="18"/>
                <w:color w:val="auto"/>
              </w:rPr>
              <w:t>policy of the Corporation applicable to Executive.</w:t>
            </w:r>
          </w:p>
        </w:tc>
      </w:tr>
      <w:tr>
        <w:trPr>
          <w:trHeight w:val="391"/>
        </w:trPr>
        <w:tc>
          <w:tcPr>
            <w:tcW w:w="460" w:type="dxa"/>
            <w:vAlign w:val="bottom"/>
          </w:tcPr>
          <w:p>
            <w:pPr>
              <w:jc w:val="right"/>
              <w:ind w:right="256"/>
              <w:spacing w:after="0"/>
              <w:rPr>
                <w:sz w:val="20"/>
                <w:szCs w:val="20"/>
                <w:color w:val="auto"/>
              </w:rPr>
            </w:pPr>
            <w:r>
              <w:rPr>
                <w:rFonts w:ascii="Arial" w:cs="Arial" w:eastAsia="Arial" w:hAnsi="Arial"/>
                <w:sz w:val="17"/>
                <w:szCs w:val="17"/>
                <w:color w:val="auto"/>
                <w:w w:val="70"/>
              </w:rPr>
              <w:t>8.</w:t>
            </w: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rPr>
              <w:t>Termination Procedures.</w:t>
            </w:r>
          </w:p>
        </w:tc>
      </w:tr>
      <w:tr>
        <w:trPr>
          <w:trHeight w:val="20"/>
        </w:trPr>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gridSpan w:val="5"/>
            <w:shd w:val="clear" w:color="auto" w:fill="000000"/>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w w:val="98"/>
              </w:rPr>
              <w:t>(A)Except in the event that Executive’s employment terminates as a result of Executive’s death (in which case no Notice of</w:t>
            </w:r>
          </w:p>
        </w:tc>
      </w:tr>
    </w:tbl>
    <w:p>
      <w:pPr>
        <w:jc w:val="both"/>
        <w:ind w:left="860"/>
        <w:spacing w:after="0" w:line="295" w:lineRule="auto"/>
        <w:rPr>
          <w:sz w:val="20"/>
          <w:szCs w:val="20"/>
          <w:color w:val="auto"/>
        </w:rPr>
      </w:pPr>
      <w:r>
        <w:rPr>
          <w:rFonts w:ascii="Arial" w:cs="Arial" w:eastAsia="Arial" w:hAnsi="Arial"/>
          <w:sz w:val="16"/>
          <w:szCs w:val="16"/>
          <w:color w:val="auto"/>
        </w:rPr>
        <w:t>Termination is required), any purported termination of Executive’s employment shall be communicated by written Notice of Termination from one party hereto to the other party hereto in accordance with Section 13 hereof. For purposes of this Agreement, a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means a written notice that indicates the specific termination provision in this Agreement relied upon, and, if applicable, sets forth in reasonable detail the facts and circumstances claimed to provide a basis for termination of Executive’s employment under the provision so</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both"/>
        <w:ind w:left="860" w:firstLine="798"/>
        <w:spacing w:after="0" w:line="296" w:lineRule="auto"/>
        <w:rPr>
          <w:sz w:val="20"/>
          <w:szCs w:val="20"/>
          <w:color w:val="auto"/>
        </w:rPr>
      </w:pPr>
      <w:r>
        <w:rPr>
          <w:rFonts w:ascii="Arial" w:cs="Arial" w:eastAsia="Arial" w:hAnsi="Arial"/>
          <w:sz w:val="16"/>
          <w:szCs w:val="16"/>
          <w:color w:val="auto"/>
        </w:rPr>
        <w:t>indicated. Further, a Notice of Termination for Cause shall include a copy of a resolution duly adopted by the affirmative vote of not less than a majority of the entire membership of the Board (excluding for these purposes Executive himself or herself) at a meeting of the Board that was called and held for the purpose of considering the termination (after reasonable notice to Executive and an opportunity for Executive, together with his or her counsel, to be heard by the members of the Board) finding that, in the informed, reasonable, good faith judgment of the Board, Executive was guilty of conduct set forth in the definition of Cause in Section 1(D), and specifying the particulars thereof in detail.</w:t>
      </w:r>
    </w:p>
    <w:p>
      <w:pPr>
        <w:spacing w:after="0" w:line="161" w:lineRule="exact"/>
        <w:rPr>
          <w:sz w:val="20"/>
          <w:szCs w:val="20"/>
          <w:color w:val="auto"/>
        </w:rPr>
      </w:pPr>
    </w:p>
    <w:p>
      <w:pPr>
        <w:jc w:val="both"/>
        <w:ind w:left="860" w:firstLine="798"/>
        <w:spacing w:after="0" w:line="287" w:lineRule="auto"/>
        <w:rPr>
          <w:sz w:val="20"/>
          <w:szCs w:val="20"/>
          <w:color w:val="auto"/>
        </w:rPr>
      </w:pPr>
      <w:r>
        <w:rPr>
          <w:rFonts w:ascii="Arial" w:cs="Arial" w:eastAsia="Arial" w:hAnsi="Arial"/>
          <w:sz w:val="16"/>
          <w:szCs w:val="16"/>
          <w:color w:val="auto"/>
        </w:rPr>
        <w:t>(B)“</w:t>
      </w:r>
      <w:r>
        <w:rPr>
          <w:rFonts w:ascii="Arial" w:cs="Arial" w:eastAsia="Arial" w:hAnsi="Arial"/>
          <w:sz w:val="16"/>
          <w:szCs w:val="16"/>
          <w:u w:val="single" w:color="auto"/>
          <w:color w:val="auto"/>
        </w:rPr>
        <w:t>Date of Termination</w:t>
      </w:r>
      <w:r>
        <w:rPr>
          <w:rFonts w:ascii="Arial" w:cs="Arial" w:eastAsia="Arial" w:hAnsi="Arial"/>
          <w:sz w:val="16"/>
          <w:szCs w:val="16"/>
          <w:color w:val="auto"/>
        </w:rPr>
        <w:t>” means the effective date of the termination of Executive’s employment with the Corporation resulting from Executive’s death or an event that constitutes a “separation from service” within the meaning of Section 409A of the Code. Except as provided in the next sentence, the Date of Termination shall be determined as follows: (i) if Executive’s employment is terminated for Disability, 20 business days after Notice of Termination is given (provided that Executive shall not have returned to the full-time performance of Executive’s duties during that 20 business day period); (ii) if Executive’s employment is terminated as a result of Executive’s death, the date of Executive’s death; and (iii) if Executive’s employment is terminated for any other reason, the date specified in the Notice of Termination, which, in the case of a termination by the Corporation, shall not be less than 10 business days except in the case of a termination for Cause (in which case the date of termination may be earlier), and, in the case of a termination by Executive, shall not be less than 10 business days nor more than 20 business days, respectively, after the date such Notice of Termination is given. The Corporation and Executive shall take all steps necessary (including with regard to any post-termination services by Executive) to ensure that any termination described in this Paragraph (B) of Section 8 constitutes a “separation from service” (or is otherwise a permissible distribution event) within the meaning of Section 409A of the Code and that the date on which such separation from service (or permissible distribution event) takes place is the “Date of Termination”.</w:t>
      </w:r>
    </w:p>
    <w:p>
      <w:pPr>
        <w:spacing w:after="0" w:line="168"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u w:val="single" w:color="auto"/>
          <w:color w:val="auto"/>
        </w:rPr>
        <w:t>Non-Disclosure; Non-Competition; and Non-Interference</w:t>
      </w:r>
      <w:r>
        <w:rPr>
          <w:rFonts w:ascii="Arial" w:cs="Arial" w:eastAsia="Arial" w:hAnsi="Arial"/>
          <w:sz w:val="18"/>
          <w:szCs w:val="18"/>
          <w:color w:val="auto"/>
        </w:rPr>
        <w:t>.</w:t>
      </w:r>
    </w:p>
    <w:p>
      <w:pPr>
        <w:spacing w:after="0" w:line="225" w:lineRule="exact"/>
        <w:rPr>
          <w:sz w:val="20"/>
          <w:szCs w:val="20"/>
          <w:color w:val="auto"/>
        </w:rPr>
      </w:pPr>
    </w:p>
    <w:p>
      <w:pPr>
        <w:jc w:val="both"/>
        <w:ind w:left="860" w:firstLine="798"/>
        <w:spacing w:after="0" w:line="267" w:lineRule="auto"/>
        <w:rPr>
          <w:sz w:val="20"/>
          <w:szCs w:val="20"/>
          <w:color w:val="auto"/>
        </w:rPr>
      </w:pPr>
      <w:r>
        <w:rPr>
          <w:rFonts w:ascii="Arial" w:cs="Arial" w:eastAsia="Arial" w:hAnsi="Arial"/>
          <w:sz w:val="17"/>
          <w:szCs w:val="17"/>
          <w:color w:val="auto"/>
        </w:rPr>
        <w:t>(A)Executive acknowledges that in the course of his or her employment with the Corporation and its Affiliates s/he has had and will have access to confidential information and trade secrets proprietary to the Corporation and its Affiliates, including, without limitation, information relating to the Corporation’s and its Affiliates’ products, suppliers, and customers, the sources, nature, processes, costs and prices of the Corporation’s and its Affiliates’ products, the names, addresses, contact persons, purchasing and sales histories, and preferences of the Corporation’s and its Affiliates’ suppliers and customers, the Corporation’s and its Affiliates’ business plans and strategies, and the names and addresses of, amounts of compensation paid to, and the trading and sales performance of the Corporation’s and its Affiliates’ employees and agents (hereinafter referred to as the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Confidential Information excludes information which (i) is in the public domain through no act or omission of Participant in violation of any agreement that Participant is a party to with the Corporation, or (ii) has become available to Participant on a nonconfidential basis from a source other than the Corporation without breach of such source’s confidentiality or nondisclosure obligations to the Corporation. Executive further acknowledges that the Confidential Information is proprietary to the Corporation and its Affiliates, that the unauthorized disclosure of any of the Confidential Information to any person or entity will result in immediate and irreparable competitive injury to the Corporation and its Affiliates, and that such injury cannot adequately be remedied by an award of monetary damages. Accordingly, Executive shall not at any time disclose any Confidential Information to any person or entity who is not properly authorized by the Corporation or its Affiliates to receive the information without the prior written consent of the Chairman of the Board (which consent may be withheld for any reason or no reason) unless and except to the extent that such disclosure is required by any subpoena or other legal process (in which event Executive shall give the Chairman of the Board prompt written notice of such subpoena or other legal process in order to permit the Corporation and its Affiliates to seek appropriate protective orders), and that s/he shall not use any Confidential Information for his or her own account without the prior written consent of the Chairman of the Board (which consent may be withheld for any reason or no reason).</w:t>
      </w:r>
    </w:p>
    <w:p>
      <w:pPr>
        <w:spacing w:after="0" w:line="188" w:lineRule="exact"/>
        <w:rPr>
          <w:sz w:val="20"/>
          <w:szCs w:val="20"/>
          <w:color w:val="auto"/>
        </w:rPr>
      </w:pPr>
    </w:p>
    <w:p>
      <w:pPr>
        <w:jc w:val="both"/>
        <w:ind w:left="860" w:firstLine="798"/>
        <w:spacing w:after="0" w:line="275" w:lineRule="auto"/>
        <w:rPr>
          <w:sz w:val="20"/>
          <w:szCs w:val="20"/>
          <w:color w:val="auto"/>
        </w:rPr>
      </w:pPr>
      <w:r>
        <w:rPr>
          <w:rFonts w:ascii="Arial" w:cs="Arial" w:eastAsia="Arial" w:hAnsi="Arial"/>
          <w:sz w:val="17"/>
          <w:szCs w:val="17"/>
          <w:color w:val="auto"/>
        </w:rPr>
        <w:t>(B)Executive shall not during his or her employment with the Corporation or its Affiliates and thereafter until the expiration of the Non-Interference/Assistance Period, in any manner, directly or indirectly, through any person, firm or corporation, alone or as a member of a partnership or as an officer, director, shareholder, investor or employee of or in any other corporation or enterprise or otherwise, (i) engage in or be engaged in, or collaborate or partner with, or assist or provide perform any executive, managerial, supervisory, sales, marketing, research, consulting, or customer-related services to any other person, firm, corporation or enterprise in engaging or being</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jc w:val="both"/>
        <w:ind w:left="860" w:firstLine="798"/>
        <w:spacing w:after="0" w:line="253" w:lineRule="auto"/>
        <w:rPr>
          <w:sz w:val="20"/>
          <w:szCs w:val="20"/>
          <w:color w:val="auto"/>
        </w:rPr>
      </w:pPr>
      <w:r>
        <w:rPr>
          <w:rFonts w:ascii="Arial" w:cs="Arial" w:eastAsia="Arial" w:hAnsi="Arial"/>
          <w:sz w:val="18"/>
          <w:szCs w:val="18"/>
          <w:color w:val="auto"/>
        </w:rPr>
        <w:t>engaged in, any Competitive Business within any state in which the Corporation or any Affiliate conducts business as of Executive’s Date of Termination, or (ii) directly or indirectly solicit, divert, take away, service, or accept the business of any active customer of the Corporation or any Affiliate, or any person or entity who is or was at any time during the previous one-year period a customer of the Corporation or any Affiliate. Nothing in this Section 9 prohibit Executive from being: (a) owning shares of a mutual fund or a diversified investment company or (b) passively owning not more than 5% of any class of outstanding equity securities of any corporation or other entity that is publicly traded, so long as Executive does not actively participate in the business of such corporation or other entity. For purposes of this Section 9, “Competitive Business” means the business then actively being conducted by the Corporation or any Affiliate as of the Date of Termination, and any area of business in which the Corporation or any Affiliate has engaged during the one year period immediately preceding the Date of Termination, including, but not limited to, the business of owning, acquiring, developing, building and/or leasing communication distribution systems.</w:t>
      </w:r>
    </w:p>
    <w:p>
      <w:pPr>
        <w:spacing w:after="0" w:line="194" w:lineRule="exact"/>
        <w:rPr>
          <w:sz w:val="20"/>
          <w:szCs w:val="20"/>
          <w:color w:val="auto"/>
        </w:rPr>
      </w:pPr>
    </w:p>
    <w:p>
      <w:pPr>
        <w:jc w:val="both"/>
        <w:ind w:left="860" w:firstLine="798"/>
        <w:spacing w:after="0" w:line="255" w:lineRule="auto"/>
        <w:rPr>
          <w:sz w:val="20"/>
          <w:szCs w:val="20"/>
          <w:color w:val="auto"/>
        </w:rPr>
      </w:pPr>
      <w:r>
        <w:rPr>
          <w:rFonts w:ascii="Arial" w:cs="Arial" w:eastAsia="Arial" w:hAnsi="Arial"/>
          <w:sz w:val="18"/>
          <w:szCs w:val="18"/>
          <w:color w:val="auto"/>
        </w:rPr>
        <w:t>(C)Executive shall not during his or her employment with the Corporation or its Affiliates and thereafter until the expiration of the Non-Interference/Assistance Period, employ, partner or collaborate on a business enterprise with or assist any person or entity in employing, any employee of the Corporation or an Affiliate. Executive shall not during his or her employment with the Corporation or its Affiliates and thereafter until the expiration of the Non-Interference/Assistance Period solicit, or assist any person or entity to solicit, any employee of the Corporation or any Affiliate to leave the employment of the Corporation or such Affiliate or to become employed by, or partner or collaborate on a business enterprise with, any other entity.</w:t>
      </w:r>
    </w:p>
    <w:p>
      <w:pPr>
        <w:spacing w:after="0" w:line="192" w:lineRule="exact"/>
        <w:rPr>
          <w:sz w:val="20"/>
          <w:szCs w:val="20"/>
          <w:color w:val="auto"/>
        </w:rPr>
      </w:pPr>
    </w:p>
    <w:p>
      <w:pPr>
        <w:jc w:val="both"/>
        <w:ind w:left="860" w:firstLine="798"/>
        <w:spacing w:after="0" w:line="259" w:lineRule="auto"/>
        <w:rPr>
          <w:sz w:val="20"/>
          <w:szCs w:val="20"/>
          <w:color w:val="auto"/>
        </w:rPr>
      </w:pPr>
      <w:r>
        <w:rPr>
          <w:rFonts w:ascii="Arial" w:cs="Arial" w:eastAsia="Arial" w:hAnsi="Arial"/>
          <w:sz w:val="18"/>
          <w:szCs w:val="18"/>
          <w:color w:val="auto"/>
        </w:rPr>
        <w:t>(D)If a court of competent jurisdictions holds that the restrictions stated herein are unreasonable under circumstances then existing, the parties agree to substitute the maximum period, scope or geographical area reasonable under such circumstances for the stated period, scope or area and that the court shall be allowed to revise and/or modify the restrictions contained herein to cover the maximum period, scope and area permitted by applicable law.</w:t>
      </w:r>
    </w:p>
    <w:p>
      <w:pPr>
        <w:spacing w:after="0" w:line="187" w:lineRule="exact"/>
        <w:rPr>
          <w:sz w:val="20"/>
          <w:szCs w:val="20"/>
          <w:color w:val="auto"/>
        </w:rPr>
      </w:pPr>
    </w:p>
    <w:p>
      <w:pPr>
        <w:jc w:val="both"/>
        <w:ind w:left="860" w:firstLine="798"/>
        <w:spacing w:after="0" w:line="285" w:lineRule="auto"/>
        <w:rPr>
          <w:sz w:val="20"/>
          <w:szCs w:val="20"/>
          <w:color w:val="auto"/>
        </w:rPr>
      </w:pPr>
      <w:r>
        <w:rPr>
          <w:rFonts w:ascii="Arial" w:cs="Arial" w:eastAsia="Arial" w:hAnsi="Arial"/>
          <w:sz w:val="16"/>
          <w:szCs w:val="16"/>
          <w:color w:val="auto"/>
        </w:rPr>
        <w:t>(E)Executive acknowledges that the covenants contained in this Section 9 are a principal inducement for the willingness of the Corporation to enter into this Agreement and make the payments and provide to Executive the benefits described in this Agreement and that the Corporation and Executive intend the covenants (i) to be binding upon and enforceable against Executive in accordance with their terms, notwithstanding any common or statutory law to the contrary; and (ii) to survive and continue in full force in accordance with their terms notwithstanding the termination of this Agreement. Executive agrees that the obligations of the Corporation under this Agreement (specifically including, but not limited to, the obligation to make any payment or provide any benefit under any of Paragraphs (A)(ii), (B)(ii)(c), (B)(ii)(d), (B)(ii)(e) and (B)(ii)(f) of Section 4) constitute sufficient consideration for the covenants contained in this Section 9. The Corporation and Executive further agree that the restrictions contained in this Section 9 are reasonable in period, scope and geographical area and are necessary to protect the legitimate business interests and Confidential Information of the Corporation and its Affiliates. Executive agrees that s/he will notify the Corporation in writing if s/he has any questions regarding the applicability of this Section 9. Because Executive’s services are unique and because Executive has access to Confidential Information, the parties agree that the Corporation and its Affiliates would be damaged irreparably in the event any of the provisions of this Section 9 were not performed in accordance with their specific terms or were otherwise breached and that money damages would be an inadequate remedy for any such non-performance or breach. In the event that Executive breaches or threatens to breach any such provision of this Section 9, the parties agree that the Corporation and its Affiliates shall be entitled to seek any and all equitable and legal relief provided by law, specifically including immediate and permanent injunctive relief to prevent any breach or threatened breach of any of such provisions and to enforce such provisions specifically (without posting a bond or other security). Executive hereby waives any claim that the Corporation and its Affiliates have an adequate remedy at law. The parties agree that the foregoing relief shall not be construed to limit or otherwise restrict the ability of the Corporation and its Affiliates to pursue any other remedy provided by law, including the recovery of any actual, compensatory or punitive damages.</w:t>
      </w:r>
    </w:p>
    <w:p>
      <w:pPr>
        <w:spacing w:after="0" w:line="169" w:lineRule="exact"/>
        <w:rPr>
          <w:sz w:val="20"/>
          <w:szCs w:val="20"/>
          <w:color w:val="auto"/>
        </w:rPr>
      </w:pPr>
    </w:p>
    <w:p>
      <w:pPr>
        <w:jc w:val="both"/>
        <w:ind w:left="860" w:hanging="784"/>
        <w:spacing w:after="0" w:line="296" w:lineRule="auto"/>
        <w:tabs>
          <w:tab w:leader="none" w:pos="8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u w:val="single" w:color="auto"/>
          <w:color w:val="auto"/>
        </w:rPr>
        <w:t>Cessation of Payments; Recoupment</w:t>
      </w:r>
      <w:r>
        <w:rPr>
          <w:rFonts w:ascii="Arial" w:cs="Arial" w:eastAsia="Arial" w:hAnsi="Arial"/>
          <w:sz w:val="16"/>
          <w:szCs w:val="16"/>
          <w:color w:val="auto"/>
        </w:rPr>
        <w:t>. The Corporation and Executive acknowledge and agree that the Corporation may cease</w:t>
      </w:r>
      <w:r>
        <w:rPr>
          <w:rFonts w:ascii="Arial" w:cs="Arial" w:eastAsia="Arial" w:hAnsi="Arial"/>
          <w:sz w:val="16"/>
          <w:szCs w:val="16"/>
          <w:u w:val="single" w:color="auto"/>
          <w:color w:val="auto"/>
        </w:rPr>
        <w:t xml:space="preserve"> </w:t>
      </w:r>
      <w:r>
        <w:rPr>
          <w:rFonts w:ascii="Arial" w:cs="Arial" w:eastAsia="Arial" w:hAnsi="Arial"/>
          <w:sz w:val="16"/>
          <w:szCs w:val="16"/>
          <w:color w:val="auto"/>
        </w:rPr>
        <w:t>making any and all payments payable under Paragraphs (A)(ii), (B)(ii)(c), (B)(ii)(d), (B)(ii)(e) and (B)(ii)(f) of Section 4 if the Corporation reasonably believes that Executive has breached, or is in breach of, any of his/her obligations under Section 9 as evidenced by a resolution duly adopted by the affirmative vote of not less than a majority of the entire membership of the Board at a meeting of the Board that was called and held for the purpose of considering such action (after reasonable notice to Executive and an opportunity for Executive, together</w:t>
      </w:r>
    </w:p>
    <w:p>
      <w:pPr>
        <w:spacing w:after="0" w:line="10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jc w:val="both"/>
        <w:ind w:left="860" w:firstLine="798"/>
        <w:spacing w:after="0" w:line="293" w:lineRule="auto"/>
        <w:rPr>
          <w:sz w:val="20"/>
          <w:szCs w:val="20"/>
          <w:color w:val="auto"/>
        </w:rPr>
      </w:pPr>
      <w:r>
        <w:rPr>
          <w:rFonts w:ascii="Arial" w:cs="Arial" w:eastAsia="Arial" w:hAnsi="Arial"/>
          <w:sz w:val="16"/>
          <w:szCs w:val="16"/>
          <w:color w:val="auto"/>
        </w:rPr>
        <w:t>with his or her counsel, to be heard by the members of the Board) finding that, in the informed, reasonable, good faith judgment of the Board, Executive has breached, or is in breach of, any of his/her obligations under Section 9, and specifying the particulars thereof in detail. Without prejudice to any other remedies available to the Corporation under this Agreement or applicable law, the Corporation may also seek to recoup, and Executive agrees to return upon Corporation’s written request, any payments (other than Executive’s annual base salary and any accrued vacation pay through the Date of Termination) made to Executive under Paragraphs (A)(ii), (B)(ii)(c), (B)(ii)(d), (B)(ii)(e) and (B)(ii) (f) of Section 4 if Executive has breached, or is in breach of, any of Executive’s obligations under this Agreement.</w:t>
      </w:r>
    </w:p>
    <w:p>
      <w:pPr>
        <w:spacing w:after="0" w:line="16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u w:val="single" w:color="auto"/>
          <w:color w:val="auto"/>
        </w:rPr>
        <w:t>Disputes</w:t>
      </w:r>
      <w:r>
        <w:rPr>
          <w:rFonts w:ascii="Arial" w:cs="Arial" w:eastAsia="Arial" w:hAnsi="Arial"/>
          <w:sz w:val="18"/>
          <w:szCs w:val="18"/>
          <w:color w:val="auto"/>
        </w:rPr>
        <w:t>.</w:t>
      </w:r>
    </w:p>
    <w:p>
      <w:pPr>
        <w:spacing w:after="0" w:line="225" w:lineRule="exact"/>
        <w:rPr>
          <w:sz w:val="20"/>
          <w:szCs w:val="20"/>
          <w:color w:val="auto"/>
        </w:rPr>
      </w:pPr>
    </w:p>
    <w:p>
      <w:pPr>
        <w:jc w:val="both"/>
        <w:ind w:left="860" w:firstLine="798"/>
        <w:spacing w:after="0" w:line="273" w:lineRule="auto"/>
        <w:rPr>
          <w:sz w:val="20"/>
          <w:szCs w:val="20"/>
          <w:color w:val="auto"/>
        </w:rPr>
      </w:pPr>
      <w:r>
        <w:rPr>
          <w:rFonts w:ascii="Arial" w:cs="Arial" w:eastAsia="Arial" w:hAnsi="Arial"/>
          <w:sz w:val="17"/>
          <w:szCs w:val="17"/>
          <w:color w:val="auto"/>
        </w:rPr>
        <w:t>(A)Except as set forth in Section 11(B) below, any dispute or controversy arising out of or in connection with this Agreement shall, upon a written notice from Executive to the Corporation either before suit thereupon is filed or within 20 business days thereafter, be settled exclusively by binding arbitration in accordance with the Commercial Arbitration Rules of the American Arbitration Association. The arbitration proceeding shall be conducted before a panel of three arbitrators sitting in the municipality in which Executive’s principal place of employment with the Corporation (or, if applicable, an Affiliate) is (or was, in the event that Executive’s employment is terminated prior to the initiation of arbitration proceedings) located. Judgment may be entered on the arbitrator’s award in any court having jurisdiction.</w:t>
      </w:r>
    </w:p>
    <w:p>
      <w:pPr>
        <w:spacing w:after="0" w:line="178" w:lineRule="exact"/>
        <w:rPr>
          <w:sz w:val="20"/>
          <w:szCs w:val="20"/>
          <w:color w:val="auto"/>
        </w:rPr>
      </w:pPr>
    </w:p>
    <w:p>
      <w:pPr>
        <w:jc w:val="both"/>
        <w:ind w:left="860" w:firstLine="798"/>
        <w:spacing w:after="0" w:line="263" w:lineRule="auto"/>
        <w:rPr>
          <w:sz w:val="20"/>
          <w:szCs w:val="20"/>
          <w:color w:val="auto"/>
        </w:rPr>
      </w:pPr>
      <w:r>
        <w:rPr>
          <w:rFonts w:ascii="Arial" w:cs="Arial" w:eastAsia="Arial" w:hAnsi="Arial"/>
          <w:sz w:val="18"/>
          <w:szCs w:val="18"/>
          <w:color w:val="auto"/>
        </w:rPr>
        <w:t>(B)Notwithstanding anything to the contrary in Section 11(A), the Corporation shall not be required to seek or participate in arbitration regarding any breach or threatened breach by Executive of his or her obligations under Section 9, and may instead pursue its remedies for such breach in a court of competent jurisdiction in accordance with Section 15.</w:t>
      </w:r>
    </w:p>
    <w:p>
      <w:pPr>
        <w:spacing w:after="0" w:line="184" w:lineRule="exact"/>
        <w:rPr>
          <w:sz w:val="20"/>
          <w:szCs w:val="20"/>
          <w:color w:val="auto"/>
        </w:rPr>
      </w:pPr>
    </w:p>
    <w:p>
      <w:pPr>
        <w:jc w:val="both"/>
        <w:ind w:left="860" w:firstLine="798"/>
        <w:spacing w:after="0" w:line="275" w:lineRule="auto"/>
        <w:rPr>
          <w:sz w:val="20"/>
          <w:szCs w:val="20"/>
          <w:color w:val="auto"/>
        </w:rPr>
      </w:pPr>
      <w:r>
        <w:rPr>
          <w:rFonts w:ascii="Arial" w:cs="Arial" w:eastAsia="Arial" w:hAnsi="Arial"/>
          <w:sz w:val="17"/>
          <w:szCs w:val="17"/>
          <w:color w:val="auto"/>
        </w:rPr>
        <w:t>(C)Corporation undertakes and agrees that if Corporation breaches or threatens to breach any material provision of this Agreement, Corporation shall be liable for any attorneys’ fees and costs reasonably incurred by Executive in enforcing, in accordance with the terms of this Agreement, Executive’s rights under this Agreement. Executive undertakes and agrees that if Executive breaches or threatens to breach any provision of this Agreement, Executive shall be liable for any attorneys’ fees and costs reasonably incurred by the Corporation in enforcing, in accordance with the terms of this Agreement, its rights under this Agreement.</w:t>
      </w:r>
    </w:p>
    <w:p>
      <w:pPr>
        <w:spacing w:after="0" w:line="176"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w:t>
      </w:r>
    </w:p>
    <w:p>
      <w:pPr>
        <w:spacing w:after="0" w:line="225" w:lineRule="exact"/>
        <w:rPr>
          <w:sz w:val="20"/>
          <w:szCs w:val="20"/>
          <w:color w:val="auto"/>
        </w:rPr>
      </w:pPr>
    </w:p>
    <w:p>
      <w:pPr>
        <w:jc w:val="both"/>
        <w:ind w:left="860" w:firstLine="798"/>
        <w:spacing w:after="0" w:line="277" w:lineRule="auto"/>
        <w:rPr>
          <w:sz w:val="20"/>
          <w:szCs w:val="20"/>
          <w:color w:val="auto"/>
        </w:rPr>
      </w:pPr>
      <w:r>
        <w:rPr>
          <w:rFonts w:ascii="Arial" w:cs="Arial" w:eastAsia="Arial" w:hAnsi="Arial"/>
          <w:sz w:val="18"/>
          <w:szCs w:val="18"/>
          <w:color w:val="auto"/>
        </w:rPr>
        <w:t>(A)Except as otherwise provided herein, all covenants and agreements contained in this Agreement shall bind and inure to the benefit of and be enforceable by and upon the Corporation and its successors and assigns.</w:t>
      </w:r>
    </w:p>
    <w:p>
      <w:pPr>
        <w:spacing w:after="0" w:line="170" w:lineRule="exact"/>
        <w:rPr>
          <w:sz w:val="20"/>
          <w:szCs w:val="20"/>
          <w:color w:val="auto"/>
        </w:rPr>
      </w:pPr>
    </w:p>
    <w:p>
      <w:pPr>
        <w:jc w:val="both"/>
        <w:ind w:left="860" w:firstLine="798"/>
        <w:spacing w:after="0" w:line="257" w:lineRule="auto"/>
        <w:rPr>
          <w:sz w:val="20"/>
          <w:szCs w:val="20"/>
          <w:color w:val="auto"/>
        </w:rPr>
      </w:pPr>
      <w:r>
        <w:rPr>
          <w:rFonts w:ascii="Arial" w:cs="Arial" w:eastAsia="Arial" w:hAnsi="Arial"/>
          <w:sz w:val="18"/>
          <w:szCs w:val="18"/>
          <w:color w:val="auto"/>
        </w:rPr>
        <w:t>(B)This Agreement shall inure to the benefit of and be enforceable by Executive’s personal or legal representatives, executors, administrators, successors, heirs, distributees, devisees, and legatees. Any and all amounts payable to Executive hereunder that, as a result of Executive’s death, would not be paid until after Executive’s death (other than amounts which, by their terms, terminate upon the death of Executive) shall be paid in accordance with the terms of this Agreement to the executors, personal representatives, or administrators of Executive’s estate.</w:t>
      </w:r>
    </w:p>
    <w:p>
      <w:pPr>
        <w:spacing w:after="0" w:line="188" w:lineRule="exact"/>
        <w:rPr>
          <w:sz w:val="20"/>
          <w:szCs w:val="20"/>
          <w:color w:val="auto"/>
        </w:rPr>
      </w:pPr>
    </w:p>
    <w:p>
      <w:pPr>
        <w:jc w:val="both"/>
        <w:ind w:left="860" w:hanging="784"/>
        <w:spacing w:after="0" w:line="279" w:lineRule="auto"/>
        <w:tabs>
          <w:tab w:leader="none" w:pos="8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For purposes of this Agreement, all notices and other communications provided pursuant to the Agreement shall be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writing and shall be deemed to have been duly given when delivered or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shall be effective only upon actual receipt:</w:t>
      </w:r>
    </w:p>
    <w:p>
      <w:pPr>
        <w:sectPr>
          <w:pgSz w:w="11900" w:h="16838" w:orient="portrait"/>
          <w:cols w:equalWidth="0" w:num="1">
            <w:col w:w="11240"/>
          </w:cols>
          <w:pgMar w:left="320" w:top="355" w:right="339" w:bottom="1440" w:gutter="0" w:footer="0" w:header="0"/>
        </w:sect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the Corporation:</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Uniti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2101 Riverfront Drive, Suite A</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Little Rock, AR 72202</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Attention: Chief Executive Officer</w:t>
      </w:r>
    </w:p>
    <w:p>
      <w:pPr>
        <w:spacing w:after="0" w:line="200" w:lineRule="exact"/>
        <w:rPr>
          <w:sz w:val="20"/>
          <w:szCs w:val="20"/>
          <w:color w:val="auto"/>
        </w:rPr>
      </w:pPr>
    </w:p>
    <w:p>
      <w:pPr>
        <w:sectPr>
          <w:pgSz w:w="11900" w:h="16838" w:orient="portrait"/>
          <w:cols w:equalWidth="0" w:num="2">
            <w:col w:w="1540" w:space="120"/>
            <w:col w:w="9580"/>
          </w:cols>
          <w:pgMar w:left="320" w:top="355" w:right="339" w:bottom="1440" w:gutter="0" w:footer="0" w:header="0"/>
          <w:type w:val="continuous"/>
        </w:sectPr>
      </w:pPr>
    </w:p>
    <w:p>
      <w:pPr>
        <w:spacing w:after="0" w:line="20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10</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56" w:name="page57"/>
    <w:bookmarkEnd w:id="56"/>
    <w:tbl>
      <w:tblPr>
        <w:tblLayout w:type="fixed"/>
        <w:tblInd w:w="8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To Executive:</w:t>
            </w:r>
          </w:p>
        </w:tc>
        <w:tc>
          <w:tcPr>
            <w:tcW w:w="9580" w:type="dxa"/>
            <w:vAlign w:val="bottom"/>
            <w:gridSpan w:val="2"/>
          </w:tcPr>
          <w:p>
            <w:pPr>
              <w:ind w:left="140"/>
              <w:spacing w:after="0"/>
              <w:rPr>
                <w:sz w:val="20"/>
                <w:szCs w:val="20"/>
                <w:color w:val="auto"/>
              </w:rPr>
            </w:pPr>
            <w:r>
              <w:rPr>
                <w:rFonts w:ascii="Arial" w:cs="Arial" w:eastAsia="Arial" w:hAnsi="Arial"/>
                <w:sz w:val="18"/>
                <w:szCs w:val="18"/>
                <w:color w:val="auto"/>
              </w:rPr>
              <w:t>Michael Friloux</w:t>
            </w:r>
          </w:p>
        </w:tc>
      </w:tr>
      <w:tr>
        <w:trPr>
          <w:trHeight w:val="216"/>
        </w:trPr>
        <w:tc>
          <w:tcPr>
            <w:tcW w:w="158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XXXXX</w:t>
            </w:r>
          </w:p>
        </w:tc>
      </w:tr>
      <w:tr>
        <w:trPr>
          <w:trHeight w:val="230"/>
        </w:trPr>
        <w:tc>
          <w:tcPr>
            <w:tcW w:w="158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XXXXX</w:t>
            </w:r>
          </w:p>
        </w:tc>
      </w:tr>
      <w:tr>
        <w:trPr>
          <w:trHeight w:val="392"/>
        </w:trPr>
        <w:tc>
          <w:tcPr>
            <w:tcW w:w="1580" w:type="dxa"/>
            <w:vAlign w:val="bottom"/>
          </w:tcPr>
          <w:p>
            <w:pPr>
              <w:spacing w:after="0"/>
              <w:rPr>
                <w:sz w:val="20"/>
                <w:szCs w:val="20"/>
                <w:color w:val="auto"/>
              </w:rPr>
            </w:pPr>
            <w:r>
              <w:rPr>
                <w:rFonts w:ascii="Arial" w:cs="Arial" w:eastAsia="Arial" w:hAnsi="Arial"/>
                <w:sz w:val="18"/>
                <w:szCs w:val="18"/>
                <w:color w:val="auto"/>
              </w:rPr>
              <w:t>14.</w:t>
            </w:r>
          </w:p>
        </w:tc>
        <w:tc>
          <w:tcPr>
            <w:tcW w:w="9580" w:type="dxa"/>
            <w:vAlign w:val="bottom"/>
            <w:gridSpan w:val="2"/>
          </w:tcPr>
          <w:p>
            <w:pPr>
              <w:spacing w:after="0"/>
              <w:rPr>
                <w:sz w:val="20"/>
                <w:szCs w:val="20"/>
                <w:color w:val="auto"/>
              </w:rPr>
            </w:pPr>
            <w:r>
              <w:rPr>
                <w:rFonts w:ascii="Arial" w:cs="Arial" w:eastAsia="Arial" w:hAnsi="Arial"/>
                <w:sz w:val="18"/>
                <w:szCs w:val="18"/>
                <w:color w:val="auto"/>
                <w:w w:val="92"/>
              </w:rPr>
              <w:t>Miscellaneous. Except as otherwise provided in Section 6, no provision of this Agreement may be modified, waived, or discharged</w:t>
            </w:r>
          </w:p>
        </w:tc>
      </w:tr>
      <w:tr>
        <w:trPr>
          <w:trHeight w:val="20"/>
        </w:trPr>
        <w:tc>
          <w:tcPr>
            <w:tcW w:w="1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r>
      <w:tr>
        <w:trPr>
          <w:trHeight w:val="222"/>
        </w:trPr>
        <w:tc>
          <w:tcPr>
            <w:tcW w:w="11160" w:type="dxa"/>
            <w:vAlign w:val="bottom"/>
            <w:gridSpan w:val="3"/>
          </w:tcPr>
          <w:p>
            <w:pPr>
              <w:ind w:left="780"/>
              <w:spacing w:after="0"/>
              <w:rPr>
                <w:sz w:val="20"/>
                <w:szCs w:val="20"/>
                <w:color w:val="auto"/>
              </w:rPr>
            </w:pPr>
            <w:r>
              <w:rPr>
                <w:rFonts w:ascii="Arial" w:cs="Arial" w:eastAsia="Arial" w:hAnsi="Arial"/>
                <w:sz w:val="18"/>
                <w:szCs w:val="18"/>
                <w:color w:val="auto"/>
                <w:w w:val="94"/>
              </w:rPr>
              <w:t>unless such waiver, modification, or discharge is agreed to in writing and signed by Executive and an officer of the Corporation specifically</w:t>
            </w:r>
          </w:p>
        </w:tc>
      </w:tr>
      <w:tr>
        <w:trPr>
          <w:trHeight w:val="216"/>
        </w:trPr>
        <w:tc>
          <w:tcPr>
            <w:tcW w:w="11160" w:type="dxa"/>
            <w:vAlign w:val="bottom"/>
            <w:gridSpan w:val="3"/>
          </w:tcPr>
          <w:p>
            <w:pPr>
              <w:ind w:left="780"/>
              <w:spacing w:after="0"/>
              <w:rPr>
                <w:sz w:val="20"/>
                <w:szCs w:val="20"/>
                <w:color w:val="auto"/>
              </w:rPr>
            </w:pPr>
            <w:r>
              <w:rPr>
                <w:rFonts w:ascii="Arial" w:cs="Arial" w:eastAsia="Arial" w:hAnsi="Arial"/>
                <w:sz w:val="18"/>
                <w:szCs w:val="18"/>
                <w:color w:val="auto"/>
                <w:w w:val="95"/>
              </w:rPr>
              <w:t>designated by the Board. No waiver by either party hereto at any time of any breach by the other party hereto of, or compliance with, any</w:t>
            </w:r>
          </w:p>
        </w:tc>
      </w:tr>
      <w:tr>
        <w:trPr>
          <w:trHeight w:val="216"/>
        </w:trPr>
        <w:tc>
          <w:tcPr>
            <w:tcW w:w="11160" w:type="dxa"/>
            <w:vAlign w:val="bottom"/>
            <w:gridSpan w:val="3"/>
          </w:tcPr>
          <w:p>
            <w:pPr>
              <w:ind w:left="780"/>
              <w:spacing w:after="0"/>
              <w:rPr>
                <w:sz w:val="20"/>
                <w:szCs w:val="20"/>
                <w:color w:val="auto"/>
              </w:rPr>
            </w:pPr>
            <w:r>
              <w:rPr>
                <w:rFonts w:ascii="Arial" w:cs="Arial" w:eastAsia="Arial" w:hAnsi="Arial"/>
                <w:sz w:val="18"/>
                <w:szCs w:val="18"/>
                <w:color w:val="auto"/>
                <w:w w:val="94"/>
              </w:rPr>
              <w:t>condition or provision of this Agreement to be performed by such other party shall be deemed a waiver of similar or dissimilar provisions or</w:t>
            </w:r>
          </w:p>
        </w:tc>
      </w:tr>
      <w:tr>
        <w:trPr>
          <w:trHeight w:val="216"/>
        </w:trPr>
        <w:tc>
          <w:tcPr>
            <w:tcW w:w="11160" w:type="dxa"/>
            <w:vAlign w:val="bottom"/>
            <w:gridSpan w:val="3"/>
          </w:tcPr>
          <w:p>
            <w:pPr>
              <w:ind w:left="780"/>
              <w:spacing w:after="0"/>
              <w:rPr>
                <w:sz w:val="20"/>
                <w:szCs w:val="20"/>
                <w:color w:val="auto"/>
              </w:rPr>
            </w:pPr>
            <w:r>
              <w:rPr>
                <w:rFonts w:ascii="Arial" w:cs="Arial" w:eastAsia="Arial" w:hAnsi="Arial"/>
                <w:sz w:val="18"/>
                <w:szCs w:val="18"/>
                <w:color w:val="auto"/>
                <w:w w:val="90"/>
              </w:rPr>
              <w:t>conditions at the same or at any prior or subsequent time. No agreements or representations, oral or otherwise, express or implied, with respect</w:t>
            </w:r>
          </w:p>
        </w:tc>
      </w:tr>
      <w:tr>
        <w:trPr>
          <w:trHeight w:val="230"/>
        </w:trPr>
        <w:tc>
          <w:tcPr>
            <w:tcW w:w="11160" w:type="dxa"/>
            <w:vAlign w:val="bottom"/>
            <w:gridSpan w:val="3"/>
          </w:tcPr>
          <w:p>
            <w:pPr>
              <w:ind w:left="780"/>
              <w:spacing w:after="0"/>
              <w:rPr>
                <w:sz w:val="20"/>
                <w:szCs w:val="20"/>
                <w:color w:val="auto"/>
              </w:rPr>
            </w:pPr>
            <w:r>
              <w:rPr>
                <w:rFonts w:ascii="Arial" w:cs="Arial" w:eastAsia="Arial" w:hAnsi="Arial"/>
                <w:sz w:val="18"/>
                <w:szCs w:val="18"/>
                <w:color w:val="auto"/>
                <w:w w:val="93"/>
              </w:rPr>
              <w:t>to the subject matter hereof have been made by either party which are not expressly set forth in this Agreement. Any payments provided for</w:t>
            </w: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02"/>
        </w:trPr>
        <w:tc>
          <w:tcPr>
            <w:tcW w:w="500" w:type="dxa"/>
            <w:vAlign w:val="bottom"/>
          </w:tcPr>
          <w:p>
            <w:pPr>
              <w:spacing w:after="0"/>
              <w:rPr>
                <w:sz w:val="17"/>
                <w:szCs w:val="17"/>
                <w:color w:val="auto"/>
              </w:rPr>
            </w:pPr>
          </w:p>
        </w:tc>
        <w:tc>
          <w:tcPr>
            <w:tcW w:w="10660" w:type="dxa"/>
            <w:vAlign w:val="bottom"/>
            <w:gridSpan w:val="4"/>
          </w:tcPr>
          <w:p>
            <w:pPr>
              <w:ind w:left="280"/>
              <w:spacing w:after="0" w:line="201" w:lineRule="exact"/>
              <w:rPr>
                <w:sz w:val="20"/>
                <w:szCs w:val="20"/>
                <w:color w:val="auto"/>
              </w:rPr>
            </w:pPr>
            <w:r>
              <w:rPr>
                <w:rFonts w:ascii="Arial" w:cs="Arial" w:eastAsia="Arial" w:hAnsi="Arial"/>
                <w:sz w:val="18"/>
                <w:szCs w:val="18"/>
                <w:color w:val="auto"/>
                <w:w w:val="94"/>
              </w:rPr>
              <w:t>hereunder shall be paid net of any applicable withholding required under federal, state, or local law and any additional withholding to which</w:t>
            </w:r>
          </w:p>
        </w:tc>
      </w:tr>
      <w:tr>
        <w:trPr>
          <w:trHeight w:val="230"/>
        </w:trPr>
        <w:tc>
          <w:tcPr>
            <w:tcW w:w="500" w:type="dxa"/>
            <w:vAlign w:val="bottom"/>
          </w:tcPr>
          <w:p>
            <w:pPr>
              <w:spacing w:after="0"/>
              <w:rPr>
                <w:sz w:val="20"/>
                <w:szCs w:val="20"/>
                <w:color w:val="auto"/>
              </w:rPr>
            </w:pPr>
          </w:p>
        </w:tc>
        <w:tc>
          <w:tcPr>
            <w:tcW w:w="10660" w:type="dxa"/>
            <w:vAlign w:val="bottom"/>
            <w:gridSpan w:val="4"/>
          </w:tcPr>
          <w:p>
            <w:pPr>
              <w:ind w:left="280"/>
              <w:spacing w:after="0"/>
              <w:rPr>
                <w:sz w:val="20"/>
                <w:szCs w:val="20"/>
                <w:color w:val="auto"/>
              </w:rPr>
            </w:pPr>
            <w:r>
              <w:rPr>
                <w:rFonts w:ascii="Arial" w:cs="Arial" w:eastAsia="Arial" w:hAnsi="Arial"/>
                <w:sz w:val="18"/>
                <w:szCs w:val="18"/>
                <w:color w:val="auto"/>
              </w:rPr>
              <w:t>Executive has agreed.</w:t>
            </w:r>
          </w:p>
        </w:tc>
      </w:tr>
      <w:tr>
        <w:trPr>
          <w:trHeight w:val="391"/>
        </w:trPr>
        <w:tc>
          <w:tcPr>
            <w:tcW w:w="500" w:type="dxa"/>
            <w:vAlign w:val="bottom"/>
          </w:tcPr>
          <w:p>
            <w:pPr>
              <w:jc w:val="right"/>
              <w:ind w:right="190"/>
              <w:spacing w:after="0"/>
              <w:rPr>
                <w:sz w:val="20"/>
                <w:szCs w:val="20"/>
                <w:color w:val="auto"/>
              </w:rPr>
            </w:pPr>
            <w:r>
              <w:rPr>
                <w:rFonts w:ascii="Arial" w:cs="Arial" w:eastAsia="Arial" w:hAnsi="Arial"/>
                <w:sz w:val="18"/>
                <w:szCs w:val="18"/>
                <w:color w:val="auto"/>
                <w:w w:val="79"/>
              </w:rPr>
              <w:t>15.</w:t>
            </w:r>
          </w:p>
        </w:tc>
        <w:tc>
          <w:tcPr>
            <w:tcW w:w="108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2"/>
              </w:rPr>
              <w:t>Governing Law. The validity, interpretation, construction, and performance of this Agreement shall be governed by the laws of the</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222"/>
        </w:trPr>
        <w:tc>
          <w:tcPr>
            <w:tcW w:w="500" w:type="dxa"/>
            <w:vAlign w:val="bottom"/>
          </w:tcPr>
          <w:p>
            <w:pPr>
              <w:spacing w:after="0"/>
              <w:rPr>
                <w:sz w:val="19"/>
                <w:szCs w:val="19"/>
                <w:color w:val="auto"/>
              </w:rPr>
            </w:pPr>
          </w:p>
        </w:tc>
        <w:tc>
          <w:tcPr>
            <w:tcW w:w="10660" w:type="dxa"/>
            <w:vAlign w:val="bottom"/>
            <w:gridSpan w:val="4"/>
          </w:tcPr>
          <w:p>
            <w:pPr>
              <w:ind w:left="280"/>
              <w:spacing w:after="0"/>
              <w:rPr>
                <w:sz w:val="20"/>
                <w:szCs w:val="20"/>
                <w:color w:val="auto"/>
              </w:rPr>
            </w:pPr>
            <w:r>
              <w:rPr>
                <w:rFonts w:ascii="Arial" w:cs="Arial" w:eastAsia="Arial" w:hAnsi="Arial"/>
                <w:sz w:val="18"/>
                <w:szCs w:val="18"/>
                <w:color w:val="auto"/>
                <w:w w:val="93"/>
              </w:rPr>
              <w:t>State of Maryland, without giving effect to any choice of law or conflict of law provision or rule (whether of the State or Maryland or any other</w:t>
            </w:r>
          </w:p>
        </w:tc>
      </w:tr>
      <w:tr>
        <w:trPr>
          <w:trHeight w:val="216"/>
        </w:trPr>
        <w:tc>
          <w:tcPr>
            <w:tcW w:w="500" w:type="dxa"/>
            <w:vAlign w:val="bottom"/>
          </w:tcPr>
          <w:p>
            <w:pPr>
              <w:spacing w:after="0"/>
              <w:rPr>
                <w:sz w:val="18"/>
                <w:szCs w:val="18"/>
                <w:color w:val="auto"/>
              </w:rPr>
            </w:pPr>
          </w:p>
        </w:tc>
        <w:tc>
          <w:tcPr>
            <w:tcW w:w="10660" w:type="dxa"/>
            <w:vAlign w:val="bottom"/>
            <w:gridSpan w:val="4"/>
          </w:tcPr>
          <w:p>
            <w:pPr>
              <w:ind w:left="280"/>
              <w:spacing w:after="0"/>
              <w:rPr>
                <w:sz w:val="20"/>
                <w:szCs w:val="20"/>
                <w:color w:val="auto"/>
              </w:rPr>
            </w:pPr>
            <w:r>
              <w:rPr>
                <w:rFonts w:ascii="Arial" w:cs="Arial" w:eastAsia="Arial" w:hAnsi="Arial"/>
                <w:sz w:val="18"/>
                <w:szCs w:val="18"/>
                <w:color w:val="auto"/>
                <w:w w:val="93"/>
              </w:rPr>
              <w:t>jurisdiction). Any legal action, other than an arbitration described in Paragraph (A) of Section 11, relating to or arising out of this Agreement</w:t>
            </w:r>
          </w:p>
        </w:tc>
      </w:tr>
      <w:tr>
        <w:trPr>
          <w:trHeight w:val="230"/>
        </w:trPr>
        <w:tc>
          <w:tcPr>
            <w:tcW w:w="500" w:type="dxa"/>
            <w:vAlign w:val="bottom"/>
          </w:tcPr>
          <w:p>
            <w:pPr>
              <w:spacing w:after="0"/>
              <w:rPr>
                <w:sz w:val="20"/>
                <w:szCs w:val="20"/>
                <w:color w:val="auto"/>
              </w:rPr>
            </w:pPr>
          </w:p>
        </w:tc>
        <w:tc>
          <w:tcPr>
            <w:tcW w:w="10660" w:type="dxa"/>
            <w:vAlign w:val="bottom"/>
            <w:gridSpan w:val="4"/>
          </w:tcPr>
          <w:p>
            <w:pPr>
              <w:ind w:left="280"/>
              <w:spacing w:after="0"/>
              <w:rPr>
                <w:sz w:val="20"/>
                <w:szCs w:val="20"/>
                <w:color w:val="auto"/>
              </w:rPr>
            </w:pPr>
            <w:r>
              <w:rPr>
                <w:rFonts w:ascii="Arial" w:cs="Arial" w:eastAsia="Arial" w:hAnsi="Arial"/>
                <w:sz w:val="18"/>
                <w:szCs w:val="18"/>
                <w:color w:val="auto"/>
              </w:rPr>
              <w:t>shall be filed and litigated exclusively in a state court of competent jurisdiction located in Little Rock, Arkansas.</w:t>
            </w:r>
          </w:p>
        </w:tc>
      </w:tr>
      <w:tr>
        <w:trPr>
          <w:trHeight w:val="391"/>
        </w:trPr>
        <w:tc>
          <w:tcPr>
            <w:tcW w:w="500" w:type="dxa"/>
            <w:vAlign w:val="bottom"/>
          </w:tcPr>
          <w:p>
            <w:pPr>
              <w:jc w:val="right"/>
              <w:ind w:right="190"/>
              <w:spacing w:after="0"/>
              <w:rPr>
                <w:sz w:val="20"/>
                <w:szCs w:val="20"/>
                <w:color w:val="auto"/>
              </w:rPr>
            </w:pPr>
            <w:r>
              <w:rPr>
                <w:rFonts w:ascii="Arial" w:cs="Arial" w:eastAsia="Arial" w:hAnsi="Arial"/>
                <w:sz w:val="18"/>
                <w:szCs w:val="18"/>
                <w:color w:val="auto"/>
                <w:w w:val="79"/>
              </w:rPr>
              <w:t>16.</w:t>
            </w:r>
          </w:p>
        </w:tc>
        <w:tc>
          <w:tcPr>
            <w:tcW w:w="1080" w:type="dxa"/>
            <w:vAlign w:val="bottom"/>
          </w:tcPr>
          <w:p>
            <w:pPr>
              <w:spacing w:after="0"/>
              <w:rPr>
                <w:sz w:val="24"/>
                <w:szCs w:val="24"/>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w w:val="95"/>
              </w:rPr>
              <w:t>Validity. The invalidity or unenforceability of any provision of this Agreement shall not affect the validity or enforceability of any</w:t>
            </w: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20" w:type="dxa"/>
            <w:vAlign w:val="bottom"/>
            <w:gridSpan w:val="2"/>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10660" w:type="dxa"/>
            <w:vAlign w:val="bottom"/>
            <w:gridSpan w:val="4"/>
          </w:tcPr>
          <w:p>
            <w:pPr>
              <w:ind w:left="280"/>
              <w:spacing w:after="0"/>
              <w:rPr>
                <w:sz w:val="20"/>
                <w:szCs w:val="20"/>
                <w:color w:val="auto"/>
              </w:rPr>
            </w:pPr>
            <w:r>
              <w:rPr>
                <w:rFonts w:ascii="Arial" w:cs="Arial" w:eastAsia="Arial" w:hAnsi="Arial"/>
                <w:sz w:val="18"/>
                <w:szCs w:val="18"/>
                <w:color w:val="auto"/>
              </w:rPr>
              <w:t>other provision of this Agreement, each of which shall remain in full force and effect.</w:t>
            </w:r>
          </w:p>
        </w:tc>
      </w:tr>
    </w:tbl>
    <w:p>
      <w:pPr>
        <w:spacing w:after="0" w:line="202" w:lineRule="exact"/>
        <w:rPr>
          <w:sz w:val="20"/>
          <w:szCs w:val="20"/>
          <w:color w:val="auto"/>
        </w:rPr>
      </w:pPr>
    </w:p>
    <w:p>
      <w:pPr>
        <w:jc w:val="both"/>
        <w:ind w:left="860" w:right="20" w:hanging="784"/>
        <w:spacing w:after="0" w:line="277" w:lineRule="auto"/>
        <w:tabs>
          <w:tab w:leader="none" w:pos="8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jc w:val="right"/>
        <w:ind w:right="2319"/>
        <w:spacing w:after="0"/>
        <w:rPr>
          <w:sz w:val="20"/>
          <w:szCs w:val="20"/>
          <w:color w:val="auto"/>
        </w:rPr>
      </w:pPr>
      <w:r>
        <w:rPr>
          <w:rFonts w:ascii="Arial" w:cs="Arial" w:eastAsia="Arial" w:hAnsi="Arial"/>
          <w:sz w:val="18"/>
          <w:szCs w:val="18"/>
          <w:color w:val="auto"/>
        </w:rPr>
        <w:t>IN WITNESS WHEREOF, the parties have signed this Agreement as of the date set forth above.</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UNITI GROUP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gridSpan w:val="3"/>
          </w:tcPr>
          <w:p>
            <w:pPr>
              <w:jc w:val="right"/>
              <w:ind w:right="920"/>
              <w:spacing w:after="0"/>
              <w:rPr>
                <w:sz w:val="20"/>
                <w:szCs w:val="20"/>
                <w:color w:val="auto"/>
              </w:rPr>
            </w:pPr>
            <w:r>
              <w:rPr>
                <w:rFonts w:ascii="Arial" w:cs="Arial" w:eastAsia="Arial" w:hAnsi="Arial"/>
                <w:sz w:val="18"/>
                <w:szCs w:val="18"/>
                <w:color w:val="auto"/>
              </w:rPr>
              <w:t>/s/ Kenneth A. Gunderman</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19"/>
                <w:szCs w:val="19"/>
                <w:color w:val="auto"/>
              </w:rPr>
            </w:pPr>
          </w:p>
        </w:tc>
        <w:tc>
          <w:tcPr>
            <w:tcW w:w="2860" w:type="dxa"/>
            <w:vAlign w:val="bottom"/>
            <w:gridSpan w:val="2"/>
          </w:tcPr>
          <w:p>
            <w:pPr>
              <w:jc w:val="right"/>
              <w:ind w:right="920"/>
              <w:spacing w:after="0"/>
              <w:rPr>
                <w:sz w:val="20"/>
                <w:szCs w:val="20"/>
                <w:color w:val="auto"/>
              </w:rPr>
            </w:pPr>
            <w:r>
              <w:rPr>
                <w:rFonts w:ascii="Arial" w:cs="Arial" w:eastAsia="Arial" w:hAnsi="Arial"/>
                <w:sz w:val="18"/>
                <w:szCs w:val="18"/>
                <w:color w:val="auto"/>
              </w:rPr>
              <w:t>Kenneth A. Gunderman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0"/>
                <w:szCs w:val="20"/>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w w:val="94"/>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Michael Firloux</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Michael Friloux</w:t>
      </w:r>
    </w:p>
    <w:p>
      <w:pPr>
        <w:spacing w:after="0" w:line="200" w:lineRule="exact"/>
        <w:rPr>
          <w:sz w:val="20"/>
          <w:szCs w:val="20"/>
          <w:color w:val="auto"/>
        </w:rPr>
      </w:pPr>
    </w:p>
    <w:p>
      <w:pPr>
        <w:spacing w:after="0" w:line="3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 AND RELEASE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WAIVER AND RELEASE AGREEMENT (this “</w:t>
      </w:r>
      <w:r>
        <w:rPr>
          <w:rFonts w:ascii="Arial" w:cs="Arial" w:eastAsia="Arial" w:hAnsi="Arial"/>
          <w:sz w:val="16"/>
          <w:szCs w:val="16"/>
          <w:u w:val="single" w:color="auto"/>
          <w:color w:val="auto"/>
        </w:rPr>
        <w:t>Waiver and Release</w:t>
      </w:r>
      <w:r>
        <w:rPr>
          <w:rFonts w:ascii="Arial" w:cs="Arial" w:eastAsia="Arial" w:hAnsi="Arial"/>
          <w:sz w:val="16"/>
          <w:szCs w:val="16"/>
          <w:color w:val="auto"/>
        </w:rPr>
        <w:t>”) is entered into by and between ____________(“</w:t>
      </w:r>
      <w:r>
        <w:rPr>
          <w:rFonts w:ascii="Arial" w:cs="Arial" w:eastAsia="Arial" w:hAnsi="Arial"/>
          <w:sz w:val="16"/>
          <w:szCs w:val="16"/>
          <w:u w:val="single" w:color="auto"/>
          <w:color w:val="auto"/>
        </w:rPr>
        <w:t>Executive</w:t>
      </w:r>
      <w:r>
        <w:rPr>
          <w:rFonts w:ascii="Arial" w:cs="Arial" w:eastAsia="Arial" w:hAnsi="Arial"/>
          <w:sz w:val="16"/>
          <w:szCs w:val="16"/>
          <w:color w:val="auto"/>
        </w:rPr>
        <w: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WHEREAS, the Parties have entered into a Severance Agreement dated as of ____, 20__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25"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WHEREAS, Executive’s employment has been or will be terminated in accordance with the Agreement as of [DATE] (the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w:t>
      </w:r>
      <w:r>
        <w:rPr>
          <w:rFonts w:ascii="Arial" w:cs="Arial" w:eastAsia="Arial" w:hAnsi="Arial"/>
          <w:sz w:val="18"/>
          <w:szCs w:val="18"/>
          <w:color w:val="auto"/>
        </w:rPr>
        <w:t>”); and</w:t>
      </w:r>
    </w:p>
    <w:p>
      <w:pPr>
        <w:spacing w:after="0" w:line="170" w:lineRule="exact"/>
        <w:rPr>
          <w:sz w:val="20"/>
          <w:szCs w:val="20"/>
          <w:color w:val="auto"/>
        </w:rPr>
      </w:pPr>
    </w:p>
    <w:p>
      <w:pPr>
        <w:ind w:right="20" w:firstLine="864"/>
        <w:spacing w:after="0" w:line="277" w:lineRule="auto"/>
        <w:rPr>
          <w:sz w:val="20"/>
          <w:szCs w:val="20"/>
          <w:color w:val="auto"/>
        </w:rPr>
      </w:pPr>
      <w:r>
        <w:rPr>
          <w:rFonts w:ascii="Arial" w:cs="Arial" w:eastAsia="Arial" w:hAnsi="Arial"/>
          <w:sz w:val="18"/>
          <w:szCs w:val="18"/>
          <w:color w:val="auto"/>
        </w:rPr>
        <w:t>WHEREAS, the Parties seek to fully and finally settle all existing claims, whether or not now known, arising out of Executive’s employment and termination of employment on the terms set forth herein.</w:t>
      </w:r>
    </w:p>
    <w:p>
      <w:pPr>
        <w:spacing w:after="0" w:line="170"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NOW, THEREFORE, in consideration of the promises and agreements contained herein and other good and valuable consideration, the sufficiency and receipt of which are hereby acknowledged, and intending to be legally bound, the Parties agree as follows:</w:t>
      </w:r>
    </w:p>
    <w:p>
      <w:pPr>
        <w:spacing w:after="0" w:line="170" w:lineRule="exact"/>
        <w:rPr>
          <w:sz w:val="20"/>
          <w:szCs w:val="20"/>
          <w:color w:val="auto"/>
        </w:rPr>
      </w:pPr>
    </w:p>
    <w:p>
      <w:pPr>
        <w:jc w:val="both"/>
        <w:ind w:left="860" w:hanging="784"/>
        <w:spacing w:after="0" w:line="257" w:lineRule="auto"/>
        <w:tabs>
          <w:tab w:leader="none" w:pos="8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In consideration of the payments to be made and the benefits to be received by Executive pursuant to Paragraphs (A)(ii), (B)(ii)(c), (B)(ii)(d), (B)(ii)(e) and (B)(ii)(f) of Section 4 of the Agreement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which Executive acknowledges are in addition to payments and benefits to which Executive would otherwise be entitled upon termination of employment without providing a release of claims under the normal operation of the Company’s benefit plans, policies, and/or practices Executive hereby agrees to provide the waiver and release set forth in Section 2 below.</w:t>
      </w:r>
    </w:p>
    <w:p>
      <w:pPr>
        <w:spacing w:after="0" w:line="188" w:lineRule="exact"/>
        <w:rPr>
          <w:sz w:val="20"/>
          <w:szCs w:val="20"/>
          <w:color w:val="auto"/>
        </w:rPr>
      </w:pPr>
    </w:p>
    <w:p>
      <w:pPr>
        <w:jc w:val="both"/>
        <w:ind w:left="860" w:hanging="784"/>
        <w:spacing w:after="0" w:line="291" w:lineRule="auto"/>
        <w:tabs>
          <w:tab w:leader="none" w:pos="8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For valuable consideration from the Company, receipt of which is hereby acknowledged, Executive waives, releases, and forever discharges the Company and its current and former parents, subsidiaries, affiliates, divisions, shareholders, owners, members, officers, directors, attorneys, agents, employees, successors, and assigns, and the Company’s parents’, subsidiaries’, and affiliates’ divisions, shareholders, owners, members, officers, directors, attorneys, agents, employees, successors, and assigns (collectively referred to as the “Company Releasees”) from any and all rights, causes of action, claims or demands, whether express or implied, known or unknown, that arise on or before the date that Executive executes this Waiver and Release, which Executive has or may have against the Company and/or the Company Releasees, including, but not limited to, any rights, causes of action, claims, or demands relating to or arising out of the following:</w:t>
      </w:r>
    </w:p>
    <w:p>
      <w:pPr>
        <w:spacing w:after="0" w:line="166" w:lineRule="exact"/>
        <w:rPr>
          <w:sz w:val="20"/>
          <w:szCs w:val="20"/>
          <w:color w:val="auto"/>
        </w:rPr>
      </w:pPr>
    </w:p>
    <w:p>
      <w:pPr>
        <w:jc w:val="both"/>
        <w:ind w:left="860" w:hanging="784"/>
        <w:spacing w:after="0" w:line="254" w:lineRule="auto"/>
        <w:tabs>
          <w:tab w:leader="none" w:pos="8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anti-discrimination, anti-harassment, and anti-retaliation laws, such as the Age Discrimination in Employment Act, the Older Workers Benefit Protection Act, and Executive Order 11141, which prohibit employment discrimination based on age; Title VII of the Civil Rights Act of 1964, the Civil Rights Act of 1866 (42 U.S.C. § 1981), the Equal Pay Act, and Executive Order 11246, which prohibit discrimination based on race, color, national origin, religion, or sex; the Genetic Information Nondiscrimination Act, which prohibits discrimination on the basis of genetic information; the Americans With Disabilities Act and Sections 503 and 504 of the Rehabilitation Act of 1973, which prohibit discrimination based on disability; and any other federal, state, or local laws prohibiting employment or wage discrimination; and</w:t>
      </w:r>
    </w:p>
    <w:p>
      <w:pPr>
        <w:spacing w:after="0" w:line="195" w:lineRule="exact"/>
        <w:rPr>
          <w:sz w:val="20"/>
          <w:szCs w:val="20"/>
          <w:color w:val="auto"/>
        </w:rPr>
      </w:pPr>
    </w:p>
    <w:p>
      <w:pPr>
        <w:jc w:val="both"/>
        <w:ind w:left="860" w:hanging="784"/>
        <w:spacing w:after="0" w:line="257" w:lineRule="auto"/>
        <w:tabs>
          <w:tab w:leader="none" w:pos="8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other employment laws, such as the Worker Adjustment and Retraining Notification Act, which requires that advance notice be given of certain workforce reductions; the Employee Retirement Income Security Act of 1974, which, among other things, protects employee benefits; the Family and Medical Leave Act, which requires employers to provide leaves of absence under certain circumstances; state laws which regulate wage and hour matters, including all forms of compensation, vacation pay, sick pay, compensatory time, overtime, commissions, bonuses, and meal and break periods; state family, medical, and</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A-1</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jc w:val="both"/>
        <w:ind w:left="860" w:firstLine="798"/>
        <w:spacing w:after="0" w:line="279" w:lineRule="auto"/>
        <w:rPr>
          <w:sz w:val="20"/>
          <w:szCs w:val="20"/>
          <w:color w:val="auto"/>
        </w:rPr>
      </w:pPr>
      <w:r>
        <w:rPr>
          <w:rFonts w:ascii="Arial" w:cs="Arial" w:eastAsia="Arial" w:hAnsi="Arial"/>
          <w:sz w:val="17"/>
          <w:szCs w:val="17"/>
          <w:color w:val="auto"/>
        </w:rPr>
        <w:t>military leave laws, which require employers to provide leaves of absence under certain circumstances; the Sarbanes Oxley Act; and any other federal, state, or local laws relating to employment which—to the extent Employee performed work for the Company in West Virginia—would include, without limitation, the West Virginia Human Rights Act, and—to the extent Employee performed work for the Company in New Jersey—would include, without limitation, the New Jersey Conscientious Employee Protection Act; and</w:t>
      </w:r>
    </w:p>
    <w:p>
      <w:pPr>
        <w:sectPr>
          <w:pgSz w:w="11900" w:h="16838" w:orient="portrait"/>
          <w:cols w:equalWidth="0" w:num="1">
            <w:col w:w="11240"/>
          </w:cols>
          <w:pgMar w:left="320" w:top="355" w:right="339" w:bottom="1440" w:gutter="0" w:footer="0" w:header="0"/>
        </w:sectPr>
      </w:pPr>
    </w:p>
    <w:p>
      <w:pPr>
        <w:spacing w:after="0" w:line="171" w:lineRule="exact"/>
        <w:rPr>
          <w:sz w:val="20"/>
          <w:szCs w:val="20"/>
          <w:color w:val="auto"/>
        </w:rPr>
      </w:pPr>
    </w:p>
    <w:p>
      <w:pPr>
        <w:ind w:left="80"/>
        <w:spacing w:after="0"/>
        <w:rPr>
          <w:sz w:val="20"/>
          <w:szCs w:val="20"/>
          <w:color w:val="auto"/>
        </w:rPr>
      </w:pPr>
      <w:r>
        <w:rPr>
          <w:rFonts w:ascii="Arial" w:cs="Arial" w:eastAsia="Arial" w:hAnsi="Arial"/>
          <w:sz w:val="15"/>
          <w:szCs w:val="15"/>
          <w:color w:val="auto"/>
        </w:rPr>
        <w:t>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firstLine="798"/>
        <w:spacing w:after="0" w:line="301" w:lineRule="auto"/>
        <w:rPr>
          <w:sz w:val="20"/>
          <w:szCs w:val="20"/>
          <w:color w:val="auto"/>
        </w:rPr>
      </w:pPr>
      <w:r>
        <w:rPr>
          <w:rFonts w:ascii="Arial" w:cs="Arial" w:eastAsia="Arial" w:hAnsi="Arial"/>
          <w:sz w:val="16"/>
          <w:szCs w:val="16"/>
          <w:color w:val="auto"/>
        </w:rPr>
        <w:t>tort, contract, and quasi-contract claims, such as claims for wrongful discharge, physical or personal injury, intentional or negligent infliction of emotional distress, fraud, fraud in the inducement, negligent misrepresentation, defamation, invasion of privacy, interference with contract or with prospective economic advantage, breach of express or implied contract, unjust enrichment, promissory estoppel, breach of covenants of good faith and fair dealing, negligent hiring, negligent supervision, negligent retention, and similar or related claims; and</w:t>
      </w:r>
    </w:p>
    <w:p>
      <w:pPr>
        <w:spacing w:after="0" w:line="157" w:lineRule="exact"/>
        <w:rPr>
          <w:sz w:val="20"/>
          <w:szCs w:val="20"/>
          <w:color w:val="auto"/>
        </w:rPr>
      </w:pPr>
    </w:p>
    <w:p>
      <w:pPr>
        <w:sectPr>
          <w:pgSz w:w="11900" w:h="16838" w:orient="portrait"/>
          <w:cols w:equalWidth="0" w:num="2">
            <w:col w:w="200" w:space="660"/>
            <w:col w:w="10380"/>
          </w:cols>
          <w:pgMar w:left="320" w:top="355" w:right="33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ind w:firstLine="798"/>
        <w:spacing w:after="0" w:line="277" w:lineRule="auto"/>
        <w:rPr>
          <w:sz w:val="20"/>
          <w:szCs w:val="20"/>
          <w:color w:val="auto"/>
        </w:rPr>
      </w:pPr>
      <w:r>
        <w:rPr>
          <w:rFonts w:ascii="Arial" w:cs="Arial" w:eastAsia="Arial" w:hAnsi="Arial"/>
          <w:sz w:val="18"/>
          <w:szCs w:val="18"/>
          <w:color w:val="auto"/>
        </w:rPr>
        <w:t>all remedies of any type, including, but not limited to, damages and injunctive relief, in any action that may be brought on Executive’s behalf against the Company and/or the Company Releasees by any government agency or other entity or person.</w:t>
      </w:r>
    </w:p>
    <w:p>
      <w:pPr>
        <w:spacing w:after="0" w:line="170" w:lineRule="exact"/>
        <w:rPr>
          <w:sz w:val="20"/>
          <w:szCs w:val="20"/>
          <w:color w:val="auto"/>
        </w:rPr>
      </w:pPr>
    </w:p>
    <w:p>
      <w:pPr>
        <w:sectPr>
          <w:pgSz w:w="11900" w:h="16838" w:orient="portrait"/>
          <w:cols w:equalWidth="0" w:num="2">
            <w:col w:w="200" w:space="660"/>
            <w:col w:w="10380"/>
          </w:cols>
          <w:pgMar w:left="320" w:top="355" w:right="339" w:bottom="1440" w:gutter="0" w:footer="0" w:header="0"/>
          <w:type w:val="continuous"/>
        </w:sectPr>
      </w:pPr>
    </w:p>
    <w:p>
      <w:pPr>
        <w:jc w:val="both"/>
        <w:ind w:firstLine="864"/>
        <w:spacing w:after="0" w:line="254" w:lineRule="auto"/>
        <w:rPr>
          <w:sz w:val="20"/>
          <w:szCs w:val="20"/>
          <w:color w:val="auto"/>
        </w:rPr>
      </w:pPr>
      <w:r>
        <w:rPr>
          <w:rFonts w:ascii="Arial" w:cs="Arial" w:eastAsia="Arial" w:hAnsi="Arial"/>
          <w:sz w:val="18"/>
          <w:szCs w:val="18"/>
          <w:color w:val="auto"/>
        </w:rPr>
        <w:t>Executive understands that Executive is releasing claims about which Executive may not know anything at the time Executive executes this Waiver and Release. Executive acknowledges that it is Executive’s intent to release such unknown claims, even though Executive recognizes that someday Executive might learn new facts relating to Executive’s employment or learn that some or all of the facts Executive currently believes to be true are untrue, and even though Executive might then regret having signed this Waiver and Release. Nevertheless, Executive acknowledges Executive’s awareness of that risk and agrees that this Waiver and Release shall remain effective in all respects in any such case. Executive expressly waives all rights Executive might have under any laws, including, without limitation, the laws set forth in Schedule I to this Waiver and Release, intended to protect Executive from waiving unknown claims.</w:t>
      </w:r>
    </w:p>
    <w:p>
      <w:pPr>
        <w:spacing w:after="0" w:line="195" w:lineRule="exact"/>
        <w:rPr>
          <w:sz w:val="20"/>
          <w:szCs w:val="20"/>
          <w:color w:val="auto"/>
        </w:rPr>
      </w:pPr>
    </w:p>
    <w:p>
      <w:pPr>
        <w:jc w:val="both"/>
        <w:ind w:left="860" w:hanging="784"/>
        <w:spacing w:after="0" w:line="268" w:lineRule="auto"/>
        <w:tabs>
          <w:tab w:leader="none" w:pos="8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Notwithstanding anything to the contrary in this Waiver and Release, the waiver and release contained herein shall exclude any rights or claims (a) that may arise after the date on which Executive executes this Waiver and Release; (b) that cannot be released under applicable law (such as worker’s compensation and unemployment insurance claims); or (c) for indemnification or directors and officers liability insurance coverage, if any, to which s/he was entitled immediately prior to his or her Date of Termination with regard to his or her service as an officer or director of the Company or any company(ies) controlled by, controlling or under common control with the Company, and any predecessors, successors or assigns to the foregoing (the “</w:t>
      </w:r>
      <w:r>
        <w:rPr>
          <w:rFonts w:ascii="Arial" w:cs="Arial" w:eastAsia="Arial" w:hAnsi="Arial"/>
          <w:sz w:val="17"/>
          <w:szCs w:val="17"/>
          <w:u w:val="single" w:color="auto"/>
          <w:color w:val="auto"/>
        </w:rPr>
        <w:t>UNIT Group</w:t>
      </w:r>
      <w:r>
        <w:rPr>
          <w:rFonts w:ascii="Arial" w:cs="Arial" w:eastAsia="Arial" w:hAnsi="Arial"/>
          <w:sz w:val="17"/>
          <w:szCs w:val="17"/>
          <w:color w:val="auto"/>
        </w:rPr>
        <w:t>”). In addition, the Parties agree that this Waiver and Release shall not adversely affect, alter, or extinguish (i) any vested right that Executive may have with respect to any pension or other retirement benefits to which Executive is or will be entitled by virtue of Executive’s employment with the UNIT Group; (ii) Executive’s rights under the Consolidated Omnibus Budget Reconciliation Act of 1985; or (iii) Executive’s rights under Sections 4 and 5 of the Agreement which are intended to survive termination of employment, and nothing in this Waiver and Release shall prohibit Executive from enforcing such rights. Moreover, nothing in this Waiver and Release shall prevent or preclude Executive from challenging in good faith the validity of this Waiver and Release, nor does it impose any conditions precedent, penalties, or costs for doing so, unless specifically authorized by applicable law.</w:t>
      </w:r>
    </w:p>
    <w:p>
      <w:pPr>
        <w:spacing w:after="0" w:line="186" w:lineRule="exact"/>
        <w:rPr>
          <w:sz w:val="20"/>
          <w:szCs w:val="20"/>
          <w:color w:val="auto"/>
        </w:rPr>
      </w:pPr>
    </w:p>
    <w:p>
      <w:pPr>
        <w:jc w:val="both"/>
        <w:ind w:left="860" w:hanging="784"/>
        <w:spacing w:after="0" w:line="253" w:lineRule="auto"/>
        <w:tabs>
          <w:tab w:leader="none" w:pos="8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Except to the extent previously disclosed by Executive in writing to the Company, Executive represents and warrants that Executive has (a) filed no claims, lawsuits, charges, grievances, or causes of action of any kind against the Company and/or the Company Releasees and, to the best of Executive’s knowledge, Executive possesses no claims (including Fair Labor Standards Act (“</w:t>
      </w:r>
      <w:r>
        <w:rPr>
          <w:rFonts w:ascii="Arial" w:cs="Arial" w:eastAsia="Arial" w:hAnsi="Arial"/>
          <w:sz w:val="18"/>
          <w:szCs w:val="18"/>
          <w:u w:val="single" w:color="auto"/>
          <w:color w:val="auto"/>
        </w:rPr>
        <w:t>FLSA</w:t>
      </w:r>
      <w:r>
        <w:rPr>
          <w:rFonts w:ascii="Arial" w:cs="Arial" w:eastAsia="Arial" w:hAnsi="Arial"/>
          <w:sz w:val="18"/>
          <w:szCs w:val="18"/>
          <w:color w:val="auto"/>
        </w:rPr>
        <w:t>”) and worker’s compensation claims); (b) received any and all compensation (including overtime compensation), meal periods, and rest periods to which Executive may have been entitled, and Executive is not currently aware of any facts or circumstances constituting a violation by the Company and/or the Company Releasees of the FLSA or other applicable wage, hour, meal period, and/or rest period laws; and (c) not suffered any work-related injury or illness within the twelve (12) months preceding Executive’s execution of this Waiver and Release, and Executive is not currently aware of any facts or circumstances that would give rise to a worker’s compensation claim against the Company and/or the Company Releasees.</w:t>
      </w:r>
    </w:p>
    <w:p>
      <w:pPr>
        <w:spacing w:after="0" w:line="196" w:lineRule="exact"/>
        <w:rPr>
          <w:sz w:val="20"/>
          <w:szCs w:val="20"/>
          <w:color w:val="auto"/>
        </w:rPr>
      </w:pPr>
    </w:p>
    <w:p>
      <w:pPr>
        <w:jc w:val="both"/>
        <w:ind w:left="860" w:hanging="784"/>
        <w:spacing w:after="0" w:line="277" w:lineRule="auto"/>
        <w:tabs>
          <w:tab w:leader="none" w:pos="8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Executive agrees that Executive will remain reasonably available to the Company as needed to assist in the smooth transition of Executive’s duties to one or more other employees of the Company and without additional</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A-2</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60" w:name="page61"/>
    <w:bookmarkEnd w:id="60"/>
    <w:tbl>
      <w:tblPr>
        <w:tblLayout w:type="fixed"/>
        <w:tblInd w:w="8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0660" w:type="dxa"/>
            <w:vAlign w:val="bottom"/>
          </w:tcPr>
          <w:p>
            <w:pPr>
              <w:ind w:left="1080"/>
              <w:spacing w:after="0"/>
              <w:rPr>
                <w:sz w:val="20"/>
                <w:szCs w:val="20"/>
                <w:color w:val="auto"/>
              </w:rPr>
            </w:pPr>
            <w:r>
              <w:rPr>
                <w:rFonts w:ascii="Arial" w:cs="Arial" w:eastAsia="Arial" w:hAnsi="Arial"/>
                <w:sz w:val="18"/>
                <w:szCs w:val="18"/>
                <w:color w:val="auto"/>
                <w:w w:val="91"/>
              </w:rPr>
              <w:t>compensation to Executive and to assist in the defense of the Company’s interests in pending or threatened litigation and any other</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administrative and regulatory proceedings which currently exist or which may arise in the future and involve the conduct of the Company’s</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business activities during the period of Executive’s employment with the Company.  Executive’s obligations with respect to transition duties</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under this Section 5 shall terminate eight (8) weeks following the Date of Termination; however, Executive’s obligations under this Section 5</w:t>
            </w:r>
          </w:p>
        </w:tc>
      </w:tr>
      <w:tr>
        <w:trPr>
          <w:trHeight w:val="230"/>
        </w:trPr>
        <w:tc>
          <w:tcPr>
            <w:tcW w:w="5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with respect to the defense of the Company’s interests shall survive the Date of Termination and the termination of this Waiver and Release.</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10660" w:type="dxa"/>
            <w:vAlign w:val="bottom"/>
          </w:tcPr>
          <w:p>
            <w:pPr>
              <w:ind w:left="1080"/>
              <w:spacing w:after="0"/>
              <w:rPr>
                <w:sz w:val="20"/>
                <w:szCs w:val="20"/>
                <w:color w:val="auto"/>
              </w:rPr>
            </w:pPr>
            <w:r>
              <w:rPr>
                <w:rFonts w:ascii="Arial" w:cs="Arial" w:eastAsia="Arial" w:hAnsi="Arial"/>
                <w:sz w:val="18"/>
                <w:szCs w:val="18"/>
                <w:color w:val="auto"/>
                <w:w w:val="91"/>
              </w:rPr>
              <w:t>Executive specifically agrees and understands that the existence and terms of this Waiver and Release are strictly CONFIDENTIAL</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and that such confidentiality is a material term of this Waiver and Release.  Accordingly, except as required by applicable law or unless</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authorized to do so by the Company in writing, Executive agrees that s/he shall not communicate, display or otherwise reveal any of the</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contents of this Waiver and Release to anyone other than his or her spouse, attorney or financial advisor, provided, however, that they are first</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advised of the confidential nature of this Waiver and Release and Executive obtains their agreement to be bound by the same. The Company</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6"/>
              </w:rPr>
              <w:t>agrees that Executive may respond to legitimate inquiries regarding his or her employment with the Company by stating that the Parties</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terminated their relationship on an amicable basis and that the Parties have entered into a confidential Waiver and Release that prohibits him or</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her from further discussing the specifics of his or her separation.  Nothing contained herein shall be construed to prevent Executive from</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discussing or otherwise advising subsequent employers of the existence of any obligations as set forth in the Agreement or this Waiver and</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Release. Further, nothing contained herein shall be construed to limit or otherwise restrict the UNIT Group’s ability to disclose the terms and</w:t>
            </w:r>
          </w:p>
        </w:tc>
      </w:tr>
      <w:tr>
        <w:trPr>
          <w:trHeight w:val="230"/>
        </w:trPr>
        <w:tc>
          <w:tcPr>
            <w:tcW w:w="5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conditions of this Waiver and Release as may be required by applicable law or business necessity.</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10660" w:type="dxa"/>
            <w:vAlign w:val="bottom"/>
          </w:tcPr>
          <w:p>
            <w:pPr>
              <w:ind w:left="1080"/>
              <w:spacing w:after="0"/>
              <w:rPr>
                <w:sz w:val="20"/>
                <w:szCs w:val="20"/>
                <w:color w:val="auto"/>
              </w:rPr>
            </w:pPr>
            <w:r>
              <w:rPr>
                <w:rFonts w:ascii="Arial" w:cs="Arial" w:eastAsia="Arial" w:hAnsi="Arial"/>
                <w:sz w:val="18"/>
                <w:szCs w:val="18"/>
                <w:color w:val="auto"/>
                <w:w w:val="93"/>
              </w:rPr>
              <w:t>In the event that Executive breaches or threatens to breach any provision of this Waiver and Release, s/he agrees that the UNIT</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Group shall be entitled to seek any and all equitable and legal relief provided by law, specifically including immediate and permanent injunctive</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relief. Executive hereby waives any claim that the UNIT Group has an adequate remedy at law. In addition, and to the extent not prohibited by</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law, Executive agrees that the UNIT Group shall be entitled to an award of all costs and attorneys’ fees incurred by the UNIT Group in any</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successful effort to enforce the terms of this Waiver and Release. Executive agrees that the foregoing relief shall not be construed to limit or</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otherwise restrict the UNIT Group’s ability to pursue any other remedy provided by law, including the recovery of any actual, compensatory or</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punitive damages.  Moreover, if Executive pursues any claims against any Company Releasee subject to the foregoing Waiver and Release,</w:t>
            </w:r>
          </w:p>
        </w:tc>
      </w:tr>
      <w:tr>
        <w:trPr>
          <w:trHeight w:val="230"/>
        </w:trPr>
        <w:tc>
          <w:tcPr>
            <w:tcW w:w="5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1"/>
              </w:rPr>
              <w:t>Executive agrees to immediately reimburse the Company for the value of all Severance Benefits received to the fullest extent permitted by law.</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10660" w:type="dxa"/>
            <w:vAlign w:val="bottom"/>
          </w:tcPr>
          <w:p>
            <w:pPr>
              <w:ind w:left="1080"/>
              <w:spacing w:after="0"/>
              <w:rPr>
                <w:sz w:val="20"/>
                <w:szCs w:val="20"/>
                <w:color w:val="auto"/>
              </w:rPr>
            </w:pPr>
            <w:r>
              <w:rPr>
                <w:rFonts w:ascii="Arial" w:cs="Arial" w:eastAsia="Arial" w:hAnsi="Arial"/>
                <w:sz w:val="18"/>
                <w:szCs w:val="18"/>
                <w:color w:val="auto"/>
                <w:w w:val="90"/>
              </w:rPr>
              <w:t>The Parties acknowledge that this Waiver and Release is entered into solely for the purpose of ending their employment relationship</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0"/>
              </w:rPr>
              <w:t>on an amicable basis and shall not be construed as, or used as evidence of, an admission of liability or wrongdoing by either Party and that both</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9"/>
              </w:rPr>
              <w:t>the UNIT Group and Executive have expressly denied any such liability or wrongdoing.  Executive agrees that s/he is eligible for re-</w:t>
            </w:r>
          </w:p>
        </w:tc>
      </w:tr>
      <w:tr>
        <w:trPr>
          <w:trHeight w:val="230"/>
        </w:trPr>
        <w:tc>
          <w:tcPr>
            <w:tcW w:w="5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employment by the UNIT Group only by mutual agreement and consent of the Parties.</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10660" w:type="dxa"/>
            <w:vAlign w:val="bottom"/>
          </w:tcPr>
          <w:p>
            <w:pPr>
              <w:ind w:left="1080"/>
              <w:spacing w:after="0"/>
              <w:rPr>
                <w:sz w:val="20"/>
                <w:szCs w:val="20"/>
                <w:color w:val="auto"/>
              </w:rPr>
            </w:pPr>
            <w:r>
              <w:rPr>
                <w:rFonts w:ascii="Arial" w:cs="Arial" w:eastAsia="Arial" w:hAnsi="Arial"/>
                <w:sz w:val="18"/>
                <w:szCs w:val="18"/>
                <w:color w:val="auto"/>
                <w:w w:val="90"/>
              </w:rPr>
              <w:t>Each of the promises and obligations contained in this Waiver and Release shall be binding upon and shall inure to the benefit of the</w:t>
            </w:r>
          </w:p>
        </w:tc>
      </w:tr>
      <w:tr>
        <w:trPr>
          <w:trHeight w:val="230"/>
        </w:trPr>
        <w:tc>
          <w:tcPr>
            <w:tcW w:w="5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heirs, executors, administrators, assigns and successors in interest of each of the Parties.</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10660" w:type="dxa"/>
            <w:vAlign w:val="bottom"/>
          </w:tcPr>
          <w:p>
            <w:pPr>
              <w:ind w:left="1080"/>
              <w:spacing w:after="0"/>
              <w:rPr>
                <w:sz w:val="20"/>
                <w:szCs w:val="20"/>
                <w:color w:val="auto"/>
              </w:rPr>
            </w:pPr>
            <w:r>
              <w:rPr>
                <w:rFonts w:ascii="Arial" w:cs="Arial" w:eastAsia="Arial" w:hAnsi="Arial"/>
                <w:sz w:val="18"/>
                <w:szCs w:val="18"/>
                <w:color w:val="auto"/>
                <w:w w:val="90"/>
              </w:rPr>
              <w:t>The Parties agree that each and every paragraph, sentence, clause, term and provision of this Waiver and Release is severable and</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7"/>
              </w:rPr>
              <w:t>that if any portion of this Waiver and Release should be deemed not enforceable for any reason, such portion shall be stricken and the</w:t>
            </w:r>
          </w:p>
        </w:tc>
      </w:tr>
      <w:tr>
        <w:trPr>
          <w:trHeight w:val="230"/>
        </w:trPr>
        <w:tc>
          <w:tcPr>
            <w:tcW w:w="5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remaining portion(s) thereof should continue to be enforced to the fullest extent permitted by applicable law.</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0660" w:type="dxa"/>
            <w:vAlign w:val="bottom"/>
          </w:tcPr>
          <w:p>
            <w:pPr>
              <w:ind w:left="1080"/>
              <w:spacing w:after="0"/>
              <w:rPr>
                <w:sz w:val="20"/>
                <w:szCs w:val="20"/>
                <w:color w:val="auto"/>
              </w:rPr>
            </w:pPr>
            <w:r>
              <w:rPr>
                <w:rFonts w:ascii="Arial" w:cs="Arial" w:eastAsia="Arial" w:hAnsi="Arial"/>
                <w:sz w:val="18"/>
                <w:szCs w:val="18"/>
                <w:color w:val="auto"/>
                <w:w w:val="90"/>
              </w:rPr>
              <w:t>This Waiver and Release shall be interpreted, enforced and governed under the laws of the State of Maryland, without regard to any</w:t>
            </w:r>
          </w:p>
        </w:tc>
      </w:tr>
      <w:tr>
        <w:trPr>
          <w:trHeight w:val="230"/>
        </w:trPr>
        <w:tc>
          <w:tcPr>
            <w:tcW w:w="5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applicable state’s choice of law provisions.</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660" w:type="dxa"/>
            <w:vAlign w:val="bottom"/>
          </w:tcPr>
          <w:p>
            <w:pPr>
              <w:ind w:left="1080"/>
              <w:spacing w:after="0"/>
              <w:rPr>
                <w:sz w:val="20"/>
                <w:szCs w:val="20"/>
                <w:color w:val="auto"/>
              </w:rPr>
            </w:pPr>
            <w:r>
              <w:rPr>
                <w:rFonts w:ascii="Arial" w:cs="Arial" w:eastAsia="Arial" w:hAnsi="Arial"/>
                <w:sz w:val="18"/>
                <w:szCs w:val="18"/>
                <w:color w:val="auto"/>
                <w:w w:val="93"/>
              </w:rPr>
              <w:t>Executive represents and acknowledges that in signing this Waiver and Release s/he does not rely, and has not relied, upon any</w:t>
            </w:r>
          </w:p>
        </w:tc>
      </w:tr>
      <w:tr>
        <w:trPr>
          <w:trHeight w:val="216"/>
        </w:trPr>
        <w:tc>
          <w:tcPr>
            <w:tcW w:w="5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representation or statement made by the UNIT Group or by any of the UNIT Group’s employees, officers, agents, stockholders, directors or</w:t>
            </w:r>
          </w:p>
        </w:tc>
      </w:tr>
      <w:tr>
        <w:trPr>
          <w:trHeight w:val="230"/>
        </w:trPr>
        <w:tc>
          <w:tcPr>
            <w:tcW w:w="5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8"/>
              </w:rPr>
              <w:t>attorneys with regard to the subject matter, basis or effect of this Waiver and Release other than those specifically contained herein.</w:t>
            </w:r>
          </w:p>
        </w:tc>
      </w:tr>
    </w:tbl>
    <w:p>
      <w:pPr>
        <w:spacing w:after="0" w:line="3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A-3</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1" w:name="page62"/>
    <w:bookmarkEnd w:id="61"/>
    <w:p>
      <w:pPr>
        <w:jc w:val="both"/>
        <w:ind w:left="860" w:hanging="784"/>
        <w:spacing w:after="0" w:line="273" w:lineRule="auto"/>
        <w:tabs>
          <w:tab w:leader="none" w:pos="8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Executive acknowledges that Executive has been given at least forty-five (45) days to consider this Waiver and Release from the date that it was first given to Executive. Executive agrees that changes in the terms of this Waiver and Release, whether material or immaterial, do not restart the running of the forty-five (45)-day consideration period. Executive may accept this Waiver and Release by executing this Waiver and Release within the designated time period, but no sooner than the first day after the Date of Termination. Executive shall have seven (7) days from the date that Executive executes this Waiver and Release to revoke Executive’s acceptance of this Waiver and Release by delivering written notice of revocation within the seven (7)-day period to the following Company contact:</w:t>
      </w:r>
    </w:p>
    <w:p>
      <w:pPr>
        <w:spacing w:after="0" w:line="178"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Uniti Group Inc.</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2101 Riverfront Drive, Suite A</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Little Rock, AR 72202</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Attn: Human Resources Department</w:t>
      </w:r>
    </w:p>
    <w:p>
      <w:pPr>
        <w:spacing w:after="0" w:line="21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If Executive does not revoke acceptance, this Waiver and Release will become effective and irrevocable by Executive on the eighth day after Executive has executed it.</w:t>
      </w:r>
    </w:p>
    <w:p>
      <w:pPr>
        <w:spacing w:after="0" w:line="170" w:lineRule="exact"/>
        <w:rPr>
          <w:sz w:val="20"/>
          <w:szCs w:val="20"/>
          <w:color w:val="auto"/>
        </w:rPr>
      </w:pPr>
    </w:p>
    <w:p>
      <w:pPr>
        <w:jc w:val="both"/>
        <w:ind w:left="860" w:hanging="784"/>
        <w:spacing w:after="0" w:line="259" w:lineRule="auto"/>
        <w:tabs>
          <w:tab w:leader="none" w:pos="8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This Waiver and Release represents the entire agreement between the Parties concerning the subject matter hereof, shall supersede any and all prior agreements which may otherwise exist between them concerning the subject matter hereof (specifically excluding, however, the post-termination obligations contained in the Agreement), and shall not be altered, amended, modified or otherwise changed except by a writing executed by both Parties.</w:t>
      </w:r>
    </w:p>
    <w:p>
      <w:pPr>
        <w:spacing w:after="0" w:line="18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BY SIGNING BELOW, EXECUTIVE ACKNOWLEDGES THAT S/HE HAS READ THIS WAIVER AND RELEASE AND THAT IT INCLUDES A COMPLETE RELEASE OF ALL KNOWN AND UNKNOWN CLAIMS; THAT THE COMPANY HAS ADVISED EXECUTIVE TO CONSULT WITH AN ATTORNEY PRIOR TO SIGNING THIS WAIVER AND RELEASE; THAT S/HE HAS BEEN GIVEN SUFFICIENT TIME TO CONSULT WITH AN ATTORNEY AND CONSIDER THE TERMS OF THIS WAIVER AND RELEASE; THAT S/HE UNDERSTANDS EACH OF ITS TERMS; AND THAT S/HE HAS SIGNED THIS WAIVER AND RELEASE KNOWINGLY AND VOLUNTARILY.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A-4</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ind w:firstLine="864"/>
        <w:spacing w:after="0" w:line="277" w:lineRule="auto"/>
        <w:rPr>
          <w:sz w:val="20"/>
          <w:szCs w:val="20"/>
          <w:color w:val="auto"/>
        </w:rPr>
      </w:pPr>
      <w:r>
        <w:rPr>
          <w:rFonts w:ascii="Arial" w:cs="Arial" w:eastAsia="Arial" w:hAnsi="Arial"/>
          <w:sz w:val="18"/>
          <w:szCs w:val="18"/>
          <w:color w:val="auto"/>
        </w:rPr>
        <w:t>IN WITNESS WHEREOF, the Parties have themselves signed, or caused a duly authorized agent thereof to sign, this Waiver and Release on their behalf and thereby acknowledge their intent to be bound by its terms and conditions.</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UNITI GROUP INC.</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A-5</w:t>
      </w:r>
    </w:p>
    <w:p>
      <w:pPr>
        <w:spacing w:after="0"/>
        <w:rPr>
          <w:sz w:val="20"/>
          <w:szCs w:val="20"/>
          <w:color w:val="auto"/>
        </w:rPr>
      </w:pPr>
      <w:r>
        <w:rPr>
          <w:rFonts w:ascii="Arial" w:cs="Arial" w:eastAsia="Arial" w:hAnsi="Arial"/>
          <w:sz w:val="14"/>
          <w:szCs w:val="14"/>
          <w:color w:val="auto"/>
        </w:rPr>
        <w:t>4871-5083-7000.3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[Schedule I to Waiver and Release</w:t>
      </w:r>
    </w:p>
    <w:p>
      <w:pPr>
        <w:spacing w:after="0" w:line="22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As emphasized in the Waiver and Release, Executive understands that Executive is releasing claims that Executive may not know about and that Executive expressly waives and relinquishes all rights and benefits which Executive may have under any state or federal statute or common law principle that would otherwise limit the effect of this release to claims known or suspected prior to the date Executive signs this Waiver and Release, including, but not limited to, the effect of protections afforded by the following laws:</w:t>
      </w:r>
    </w:p>
    <w:p>
      <w:pPr>
        <w:spacing w:after="0" w:line="187"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California Employees</w:t>
      </w:r>
      <w:r>
        <w:rPr>
          <w:rFonts w:ascii="Arial" w:cs="Arial" w:eastAsia="Arial" w:hAnsi="Arial"/>
          <w:sz w:val="18"/>
          <w:szCs w:val="18"/>
          <w:color w:val="auto"/>
        </w:rPr>
        <w:t>. Section 1542 of the Civil Code of the State of California states as follows:</w:t>
      </w:r>
    </w:p>
    <w:p>
      <w:pPr>
        <w:spacing w:after="0" w:line="225" w:lineRule="exact"/>
        <w:rPr>
          <w:sz w:val="20"/>
          <w:szCs w:val="20"/>
          <w:color w:val="auto"/>
        </w:rPr>
      </w:pPr>
    </w:p>
    <w:p>
      <w:pPr>
        <w:jc w:val="both"/>
        <w:ind w:left="880" w:right="880" w:firstLine="731"/>
        <w:spacing w:after="0" w:line="342" w:lineRule="auto"/>
        <w:rPr>
          <w:sz w:val="20"/>
          <w:szCs w:val="20"/>
          <w:color w:val="auto"/>
        </w:rPr>
      </w:pPr>
      <w:r>
        <w:rPr>
          <w:rFonts w:ascii="Arial" w:cs="Arial" w:eastAsia="Arial" w:hAnsi="Arial"/>
          <w:sz w:val="16"/>
          <w:szCs w:val="16"/>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2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u w:val="single" w:color="auto"/>
          <w:color w:val="auto"/>
        </w:rPr>
        <w:t>Montana Employees</w:t>
      </w:r>
      <w:r>
        <w:rPr>
          <w:rFonts w:ascii="Arial" w:cs="Arial" w:eastAsia="Arial" w:hAnsi="Arial"/>
          <w:sz w:val="18"/>
          <w:szCs w:val="18"/>
          <w:color w:val="auto"/>
        </w:rPr>
        <w:t>. Section 28-1-1602 of the Montana Code Annotated states as follows:</w:t>
      </w:r>
    </w:p>
    <w:p>
      <w:pPr>
        <w:spacing w:after="0" w:line="225" w:lineRule="exact"/>
        <w:rPr>
          <w:sz w:val="20"/>
          <w:szCs w:val="20"/>
          <w:color w:val="auto"/>
        </w:rPr>
      </w:pPr>
    </w:p>
    <w:p>
      <w:pPr>
        <w:jc w:val="both"/>
        <w:ind w:left="880" w:right="860" w:firstLine="731"/>
        <w:spacing w:after="0" w:line="263"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the creditor’s favor at the time of executing the release, which, if known by the creditor, must have materially affected the creditor’s settlement with the debtor.”</w:t>
      </w:r>
    </w:p>
    <w:p>
      <w:pPr>
        <w:spacing w:after="0" w:line="18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North Dakota Employees</w:t>
      </w:r>
      <w:r>
        <w:rPr>
          <w:rFonts w:ascii="Arial" w:cs="Arial" w:eastAsia="Arial" w:hAnsi="Arial"/>
          <w:sz w:val="18"/>
          <w:szCs w:val="18"/>
          <w:color w:val="auto"/>
        </w:rPr>
        <w:t>. Section 9-13-02 of the North Dakota Century Code states as follows:</w:t>
      </w:r>
    </w:p>
    <w:p>
      <w:pPr>
        <w:spacing w:after="0" w:line="225" w:lineRule="exact"/>
        <w:rPr>
          <w:sz w:val="20"/>
          <w:szCs w:val="20"/>
          <w:color w:val="auto"/>
        </w:rPr>
      </w:pPr>
    </w:p>
    <w:p>
      <w:pPr>
        <w:jc w:val="both"/>
        <w:ind w:left="880" w:right="860" w:firstLine="731"/>
        <w:spacing w:after="0" w:line="263"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the creditor’s favor at the time of executing the release, which if known by the creditor, must have materially affected the creditor’s settlement with the debtor.”</w:t>
      </w:r>
    </w:p>
    <w:p>
      <w:pPr>
        <w:spacing w:after="0" w:line="184"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u w:val="single" w:color="auto"/>
          <w:color w:val="auto"/>
        </w:rPr>
        <w:t>South Dakota Employees</w:t>
      </w:r>
      <w:r>
        <w:rPr>
          <w:rFonts w:ascii="Arial" w:cs="Arial" w:eastAsia="Arial" w:hAnsi="Arial"/>
          <w:sz w:val="18"/>
          <w:szCs w:val="18"/>
          <w:color w:val="auto"/>
        </w:rPr>
        <w:t>. Section 20-7-11 of the South Dakota Codified Laws states as follows:</w:t>
      </w:r>
    </w:p>
    <w:p>
      <w:pPr>
        <w:spacing w:after="0" w:line="225" w:lineRule="exact"/>
        <w:rPr>
          <w:sz w:val="20"/>
          <w:szCs w:val="20"/>
          <w:color w:val="auto"/>
        </w:rPr>
      </w:pPr>
    </w:p>
    <w:p>
      <w:pPr>
        <w:jc w:val="both"/>
        <w:ind w:left="880" w:right="860" w:firstLine="731"/>
        <w:spacing w:after="0" w:line="263"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Thus, notwithstanding the provisions of Section 1542 of the Civil Code of the State of California, Section 28-1-1602 of the Montana Code Annotated, Section 9-13-02 of the North Dakota Century Code, and Section 20-7-11 of the South Dakota Codified Laws, and for the purpose of implementing a full and complete release and discharge of the Company and the Company Releasees, Employee expressly acknowledges that this release is intended to include in its effect, without limitation, all claims which Employee does not know or suspect to exist in Employee’s favor at the time Employee executes this Agreement, and that this Agreement contemplates the extinguishment of any such claims.]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A-1-1</w:t>
      </w:r>
    </w:p>
    <w:p>
      <w:pPr>
        <w:spacing w:after="0"/>
        <w:rPr>
          <w:sz w:val="20"/>
          <w:szCs w:val="20"/>
          <w:color w:val="auto"/>
        </w:rPr>
      </w:pPr>
      <w:r>
        <w:rPr>
          <w:rFonts w:ascii="Arial" w:cs="Arial" w:eastAsia="Arial" w:hAnsi="Arial"/>
          <w:sz w:val="14"/>
          <w:szCs w:val="14"/>
          <w:color w:val="auto"/>
        </w:rPr>
        <w:t>4871-5083-7000.3</w:t>
      </w:r>
    </w:p>
    <w:p>
      <w:pPr>
        <w:sectPr>
          <w:pgSz w:w="11900" w:h="16838" w:orient="portrait"/>
          <w:cols w:equalWidth="0" w:num="1">
            <w:col w:w="11240"/>
          </w:cols>
          <w:pgMar w:left="320" w:top="58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40" w:hanging="750"/>
        <w:spacing w:after="0" w:line="277"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4800" w:val="left"/>
          <w:tab w:leader="none" w:pos="72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E. Bullington, certify that:</w:t>
      </w:r>
    </w:p>
    <w:p>
      <w:pPr>
        <w:spacing w:after="0" w:line="225"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00" w:right="44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00" w:val="left"/>
          <w:tab w:leader="none" w:pos="736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Paul E. Bullington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5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March 31, 2022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18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March 31, 2022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36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Paul E. Bullington</w:t>
      </w:r>
    </w:p>
    <w:p>
      <w:pPr>
        <w:spacing w:after="0" w:line="32"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9090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Senior Vice President – 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lowerRoman"/>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04"/>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4"/>
    </w:lvl>
  </w:abstractNum>
  <w:abstractNum w:abstractNumId="10">
    <w:nsid w:val="DED7263"/>
    <w:multiLevelType w:val="hybridMultilevel"/>
    <w:lvl w:ilvl="0">
      <w:lvlJc w:val="left"/>
      <w:lvlText w:val="(%1)"/>
      <w:numFmt w:val="upperLetter"/>
      <w:start w:val="1"/>
    </w:lvl>
  </w:abstractNum>
  <w:abstractNum w:abstractNumId="11">
    <w:nsid w:val="7FDCC233"/>
    <w:multiLevelType w:val="hybridMultilevel"/>
    <w:lvl w:ilvl="0">
      <w:lvlJc w:val="left"/>
      <w:lvlText w:val="(%1)"/>
      <w:numFmt w:val="lowerRoman"/>
      <w:start w:val="3"/>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2022-05-06T12:02:15Z</dcterms:created>
  <dcterms:modified xsi:type="dcterms:W3CDTF">2022-05-06T12:02:15Z</dcterms:modified>
</cp:coreProperties>
</file>