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146685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172085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-215265</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79375</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8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74295</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Uniti Group Inc.</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61595</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52" w:lineRule="exact"/>
        <w:rPr>
          <w:sz w:val="24"/>
          <w:szCs w:val="24"/>
          <w:color w:val="auto"/>
        </w:rPr>
      </w:pPr>
    </w:p>
    <w:tbl>
      <w:tblPr>
        <w:tblLayout w:type="fixed"/>
        <w:tblInd w:w="1680" w:type="dxa"/>
        <w:tblCellMar>
          <w:top w:w="0" w:type="dxa"/>
          <w:left w:w="0" w:type="dxa"/>
          <w:bottom w:w="0" w:type="dxa"/>
          <w:right w:w="0" w:type="dxa"/>
        </w:tblCellMar>
      </w:tblPr>
      <w:tr>
        <w:trPr>
          <w:trHeight w:val="209"/>
        </w:trPr>
        <w:tc>
          <w:tcPr>
            <w:tcW w:w="6200" w:type="dxa"/>
            <w:vAlign w:val="bottom"/>
          </w:tcPr>
          <w:p>
            <w:pPr>
              <w:jc w:val="center"/>
              <w:ind w:right="3760"/>
              <w:spacing w:after="0"/>
              <w:rPr>
                <w:sz w:val="20"/>
                <w:szCs w:val="20"/>
                <w:color w:val="auto"/>
              </w:rPr>
            </w:pPr>
            <w:r>
              <w:rPr>
                <w:rFonts w:ascii="Arial" w:cs="Arial" w:eastAsia="Arial" w:hAnsi="Arial"/>
                <w:sz w:val="18"/>
                <w:szCs w:val="18"/>
                <w:b w:val="1"/>
                <w:bCs w:val="1"/>
                <w:color w:val="auto"/>
                <w:w w:val="96"/>
              </w:rPr>
              <w:t>Maryland</w:t>
            </w:r>
          </w:p>
        </w:tc>
        <w:tc>
          <w:tcPr>
            <w:tcW w:w="1240" w:type="dxa"/>
            <w:vAlign w:val="bottom"/>
          </w:tcPr>
          <w:p>
            <w:pPr>
              <w:jc w:val="right"/>
              <w:ind w:right="42"/>
              <w:spacing w:after="0"/>
              <w:rPr>
                <w:sz w:val="20"/>
                <w:szCs w:val="20"/>
                <w:color w:val="auto"/>
              </w:rPr>
            </w:pPr>
            <w:r>
              <w:rPr>
                <w:rFonts w:ascii="Arial" w:cs="Arial" w:eastAsia="Arial" w:hAnsi="Arial"/>
                <w:sz w:val="18"/>
                <w:szCs w:val="18"/>
                <w:b w:val="1"/>
                <w:bCs w:val="1"/>
                <w:color w:val="auto"/>
              </w:rPr>
              <w:t>46-5230630</w:t>
            </w:r>
          </w:p>
        </w:tc>
      </w:tr>
      <w:tr>
        <w:trPr>
          <w:trHeight w:val="146"/>
        </w:trPr>
        <w:tc>
          <w:tcPr>
            <w:tcW w:w="6200" w:type="dxa"/>
            <w:vAlign w:val="bottom"/>
          </w:tcPr>
          <w:p>
            <w:pPr>
              <w:jc w:val="center"/>
              <w:ind w:right="3760"/>
              <w:spacing w:after="0" w:line="147" w:lineRule="exact"/>
              <w:rPr>
                <w:sz w:val="20"/>
                <w:szCs w:val="20"/>
                <w:color w:val="auto"/>
              </w:rPr>
            </w:pPr>
            <w:r>
              <w:rPr>
                <w:rFonts w:ascii="Arial" w:cs="Arial" w:eastAsia="Arial" w:hAnsi="Arial"/>
                <w:sz w:val="14"/>
                <w:szCs w:val="14"/>
                <w:b w:val="1"/>
                <w:bCs w:val="1"/>
                <w:color w:val="auto"/>
                <w:w w:val="91"/>
              </w:rPr>
              <w:t>(State or other jurisdiction of</w:t>
            </w:r>
          </w:p>
        </w:tc>
        <w:tc>
          <w:tcPr>
            <w:tcW w:w="1240" w:type="dxa"/>
            <w:vAlign w:val="bottom"/>
          </w:tcPr>
          <w:p>
            <w:pPr>
              <w:jc w:val="center"/>
              <w:ind w:left="62"/>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6200" w:type="dxa"/>
            <w:vAlign w:val="bottom"/>
          </w:tcPr>
          <w:p>
            <w:pPr>
              <w:jc w:val="center"/>
              <w:ind w:right="3760"/>
              <w:spacing w:after="0"/>
              <w:rPr>
                <w:sz w:val="20"/>
                <w:szCs w:val="20"/>
                <w:color w:val="auto"/>
              </w:rPr>
            </w:pPr>
            <w:r>
              <w:rPr>
                <w:rFonts w:ascii="Arial" w:cs="Arial" w:eastAsia="Arial" w:hAnsi="Arial"/>
                <w:sz w:val="14"/>
                <w:szCs w:val="14"/>
                <w:b w:val="1"/>
                <w:bCs w:val="1"/>
                <w:color w:val="auto"/>
                <w:w w:val="92"/>
              </w:rPr>
              <w:t>incorporation or organization)</w:t>
            </w:r>
          </w:p>
        </w:tc>
        <w:tc>
          <w:tcPr>
            <w:tcW w:w="1240" w:type="dxa"/>
            <w:vAlign w:val="bottom"/>
          </w:tcPr>
          <w:p>
            <w:pPr>
              <w:jc w:val="center"/>
              <w:ind w:left="62"/>
              <w:spacing w:after="0"/>
              <w:rPr>
                <w:sz w:val="20"/>
                <w:szCs w:val="20"/>
                <w:color w:val="auto"/>
              </w:rPr>
            </w:pPr>
            <w:r>
              <w:rPr>
                <w:rFonts w:ascii="Arial" w:cs="Arial" w:eastAsia="Arial" w:hAnsi="Arial"/>
                <w:sz w:val="14"/>
                <w:szCs w:val="14"/>
                <w:b w:val="1"/>
                <w:bCs w:val="1"/>
                <w:color w:val="auto"/>
                <w:w w:val="92"/>
              </w:rPr>
              <w:t>Identification No.)</w:t>
            </w:r>
          </w:p>
        </w:tc>
      </w:tr>
      <w:tr>
        <w:trPr>
          <w:trHeight w:val="259"/>
        </w:trPr>
        <w:tc>
          <w:tcPr>
            <w:tcW w:w="6200" w:type="dxa"/>
            <w:vAlign w:val="bottom"/>
          </w:tcPr>
          <w:p>
            <w:pPr>
              <w:jc w:val="center"/>
              <w:ind w:right="3740"/>
              <w:spacing w:after="0"/>
              <w:rPr>
                <w:sz w:val="20"/>
                <w:szCs w:val="20"/>
                <w:color w:val="auto"/>
              </w:rPr>
            </w:pPr>
            <w:r>
              <w:rPr>
                <w:rFonts w:ascii="Arial" w:cs="Arial" w:eastAsia="Arial" w:hAnsi="Arial"/>
                <w:sz w:val="18"/>
                <w:szCs w:val="18"/>
                <w:b w:val="1"/>
                <w:bCs w:val="1"/>
                <w:color w:val="auto"/>
                <w:w w:val="89"/>
              </w:rPr>
              <w:t>10802 Executive Center Drive</w:t>
            </w:r>
          </w:p>
        </w:tc>
        <w:tc>
          <w:tcPr>
            <w:tcW w:w="1240" w:type="dxa"/>
            <w:vAlign w:val="bottom"/>
          </w:tcPr>
          <w:p>
            <w:pPr>
              <w:spacing w:after="0"/>
              <w:rPr>
                <w:sz w:val="22"/>
                <w:szCs w:val="22"/>
                <w:color w:val="auto"/>
              </w:rPr>
            </w:pPr>
          </w:p>
        </w:tc>
      </w:tr>
      <w:tr>
        <w:trPr>
          <w:trHeight w:val="213"/>
        </w:trPr>
        <w:tc>
          <w:tcPr>
            <w:tcW w:w="6200" w:type="dxa"/>
            <w:vAlign w:val="bottom"/>
          </w:tcPr>
          <w:p>
            <w:pPr>
              <w:jc w:val="center"/>
              <w:ind w:right="3760"/>
              <w:spacing w:after="0"/>
              <w:rPr>
                <w:sz w:val="20"/>
                <w:szCs w:val="20"/>
                <w:color w:val="auto"/>
              </w:rPr>
            </w:pPr>
            <w:r>
              <w:rPr>
                <w:rFonts w:ascii="Arial" w:cs="Arial" w:eastAsia="Arial" w:hAnsi="Arial"/>
                <w:sz w:val="18"/>
                <w:szCs w:val="18"/>
                <w:b w:val="1"/>
                <w:bCs w:val="1"/>
                <w:color w:val="auto"/>
                <w:w w:val="87"/>
              </w:rPr>
              <w:t>Benton Building Suite 300</w:t>
            </w:r>
          </w:p>
        </w:tc>
        <w:tc>
          <w:tcPr>
            <w:tcW w:w="1240" w:type="dxa"/>
            <w:vAlign w:val="bottom"/>
          </w:tcPr>
          <w:p>
            <w:pPr>
              <w:spacing w:after="0"/>
              <w:rPr>
                <w:sz w:val="18"/>
                <w:szCs w:val="18"/>
                <w:color w:val="auto"/>
              </w:rPr>
            </w:pPr>
          </w:p>
        </w:tc>
      </w:tr>
      <w:tr>
        <w:trPr>
          <w:trHeight w:val="209"/>
        </w:trPr>
        <w:tc>
          <w:tcPr>
            <w:tcW w:w="6200" w:type="dxa"/>
            <w:vAlign w:val="bottom"/>
          </w:tcPr>
          <w:p>
            <w:pPr>
              <w:jc w:val="center"/>
              <w:ind w:right="3740"/>
              <w:spacing w:after="0"/>
              <w:rPr>
                <w:sz w:val="20"/>
                <w:szCs w:val="20"/>
                <w:color w:val="auto"/>
              </w:rPr>
            </w:pPr>
            <w:r>
              <w:rPr>
                <w:rFonts w:ascii="Arial" w:cs="Arial" w:eastAsia="Arial" w:hAnsi="Arial"/>
                <w:sz w:val="18"/>
                <w:szCs w:val="18"/>
                <w:b w:val="1"/>
                <w:bCs w:val="1"/>
                <w:color w:val="auto"/>
                <w:w w:val="90"/>
              </w:rPr>
              <w:t>Little Rock, Arkansas</w:t>
            </w:r>
          </w:p>
        </w:tc>
        <w:tc>
          <w:tcPr>
            <w:tcW w:w="1240" w:type="dxa"/>
            <w:vAlign w:val="bottom"/>
          </w:tcPr>
          <w:p>
            <w:pPr>
              <w:jc w:val="right"/>
              <w:ind w:right="262"/>
              <w:spacing w:after="0"/>
              <w:rPr>
                <w:sz w:val="20"/>
                <w:szCs w:val="20"/>
                <w:color w:val="auto"/>
              </w:rPr>
            </w:pPr>
            <w:r>
              <w:rPr>
                <w:rFonts w:ascii="Arial" w:cs="Arial" w:eastAsia="Arial" w:hAnsi="Arial"/>
                <w:sz w:val="18"/>
                <w:szCs w:val="18"/>
                <w:b w:val="1"/>
                <w:bCs w:val="1"/>
                <w:color w:val="auto"/>
              </w:rPr>
              <w:t>72211</w:t>
            </w:r>
          </w:p>
        </w:tc>
      </w:tr>
      <w:tr>
        <w:trPr>
          <w:trHeight w:val="184"/>
        </w:trPr>
        <w:tc>
          <w:tcPr>
            <w:tcW w:w="6200" w:type="dxa"/>
            <w:vAlign w:val="bottom"/>
          </w:tcPr>
          <w:p>
            <w:pPr>
              <w:jc w:val="center"/>
              <w:ind w:right="376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240" w:type="dxa"/>
            <w:vAlign w:val="bottom"/>
          </w:tcPr>
          <w:p>
            <w:pPr>
              <w:jc w:val="center"/>
              <w:ind w:left="62"/>
              <w:spacing w:after="0"/>
              <w:rPr>
                <w:sz w:val="20"/>
                <w:szCs w:val="20"/>
                <w:color w:val="auto"/>
              </w:rPr>
            </w:pPr>
            <w:r>
              <w:rPr>
                <w:rFonts w:ascii="Arial" w:cs="Arial" w:eastAsia="Arial" w:hAnsi="Arial"/>
                <w:sz w:val="14"/>
                <w:szCs w:val="14"/>
                <w:b w:val="1"/>
                <w:bCs w:val="1"/>
                <w:color w:val="auto"/>
                <w:w w:val="95"/>
              </w:rPr>
              <w:t>(Zip Code)</w:t>
            </w:r>
          </w:p>
        </w:tc>
      </w:tr>
      <w:tr>
        <w:trPr>
          <w:trHeight w:val="213"/>
        </w:trPr>
        <w:tc>
          <w:tcPr>
            <w:tcW w:w="6200" w:type="dxa"/>
            <w:vAlign w:val="bottom"/>
          </w:tcPr>
          <w:p>
            <w:pPr>
              <w:ind w:left="2000"/>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c>
          <w:tcPr>
            <w:tcW w:w="1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57785</wp:posOffset>
            </wp:positionV>
            <wp:extent cx="145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39" w:lineRule="exact"/>
        <w:rPr>
          <w:sz w:val="24"/>
          <w:szCs w:val="24"/>
          <w:color w:val="auto"/>
        </w:rPr>
      </w:pPr>
    </w:p>
    <w:p>
      <w:pPr>
        <w:ind w:right="80" w:firstLine="518"/>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8" w:lineRule="exact"/>
        <w:rPr>
          <w:sz w:val="24"/>
          <w:szCs w:val="24"/>
          <w:color w:val="auto"/>
        </w:rPr>
      </w:pPr>
    </w:p>
    <w:p>
      <w:pPr>
        <w:ind w:right="340" w:firstLine="518"/>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1" w:lineRule="exact"/>
        <w:rPr>
          <w:sz w:val="24"/>
          <w:szCs w:val="24"/>
          <w:color w:val="auto"/>
        </w:rPr>
      </w:pPr>
    </w:p>
    <w:p>
      <w:pPr>
        <w:ind w:firstLine="518"/>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6"/>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538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00" w:type="dxa"/>
            <w:vAlign w:val="bottom"/>
          </w:tcPr>
          <w:p>
            <w:pPr>
              <w:ind w:left="1340"/>
              <w:spacing w:after="0"/>
              <w:rPr>
                <w:sz w:val="20"/>
                <w:szCs w:val="20"/>
                <w:color w:val="auto"/>
              </w:rPr>
            </w:pPr>
            <w:r>
              <w:rPr>
                <w:rFonts w:ascii="Arial" w:cs="Arial" w:eastAsia="Arial" w:hAnsi="Arial"/>
                <w:sz w:val="18"/>
                <w:szCs w:val="18"/>
                <w:color w:val="auto"/>
                <w:w w:val="99"/>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1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500" w:type="dxa"/>
            <w:vAlign w:val="bottom"/>
          </w:tcPr>
          <w:p>
            <w:pPr>
              <w:ind w:left="1340"/>
              <w:spacing w:after="0"/>
              <w:rPr>
                <w:sz w:val="20"/>
                <w:szCs w:val="20"/>
                <w:color w:val="auto"/>
              </w:rPr>
            </w:pPr>
            <w:r>
              <w:rPr>
                <w:rFonts w:ascii="Arial" w:cs="Arial" w:eastAsia="Arial" w:hAnsi="Arial"/>
                <w:sz w:val="18"/>
                <w:szCs w:val="18"/>
                <w:color w:val="auto"/>
                <w:w w:val="99"/>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280" w:firstLine="518"/>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440" w:firstLine="518"/>
        <w:spacing w:after="0" w:line="26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27, 2017, the registrant had 175,462,901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102235</wp:posOffset>
            </wp:positionV>
            <wp:extent cx="7248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182880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234"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8" w:lineRule="exact"/>
        <w:rPr>
          <w:sz w:val="20"/>
          <w:szCs w:val="20"/>
          <w:color w:val="auto"/>
        </w:rPr>
      </w:pPr>
    </w:p>
    <w:p>
      <w:pPr>
        <w:ind w:firstLine="426"/>
        <w:spacing w:after="0" w:line="279"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future growth and demand of the telecommunication industry; future financing plans, business strategies, growth prospects and operating and financial performance; expectations regarding the impact and integration of Hunt Telecommunications, LLC ("Hunt") and Southern Light, LLC ("Southern Light"), including expectations regarding operational synergies with Uniti Towers and Uniti Fiber; expectations regarding settling conversion of our 3% convertible preferred stock in cash upon conversion; expectations regarding the probability of our obligation to pay contingent consideration upon Tower Cloud, Inc.'s ("Tower Cloud") or Hunt's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the amortization of intangible assets; and expectations regarding the payment of dividends.</w:t>
      </w:r>
    </w:p>
    <w:p>
      <w:pPr>
        <w:spacing w:after="0" w:line="2" w:lineRule="exact"/>
        <w:rPr>
          <w:sz w:val="20"/>
          <w:szCs w:val="20"/>
          <w:color w:val="auto"/>
        </w:rPr>
      </w:pPr>
    </w:p>
    <w:p>
      <w:pPr>
        <w:ind w:right="40" w:firstLine="351"/>
        <w:spacing w:after="0" w:line="248" w:lineRule="auto"/>
        <w:rPr>
          <w:sz w:val="20"/>
          <w:szCs w:val="20"/>
          <w:color w:val="auto"/>
        </w:rPr>
      </w:pPr>
      <w:r>
        <w:rPr>
          <w:rFonts w:ascii="Arial" w:cs="Arial" w:eastAsia="Arial" w:hAnsi="Arial"/>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9" w:lineRule="exact"/>
        <w:rPr>
          <w:sz w:val="20"/>
          <w:szCs w:val="20"/>
          <w:color w:val="auto"/>
        </w:rPr>
      </w:pPr>
    </w:p>
    <w:p>
      <w:pPr>
        <w:ind w:left="1020" w:right="340" w:hanging="508"/>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73"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2" w:lineRule="exact"/>
        <w:rPr>
          <w:rFonts w:ascii="Arial" w:cs="Arial" w:eastAsia="Arial" w:hAnsi="Arial"/>
          <w:sz w:val="18"/>
          <w:szCs w:val="18"/>
          <w:color w:val="auto"/>
        </w:rPr>
      </w:pPr>
    </w:p>
    <w:p>
      <w:pPr>
        <w:ind w:left="1020" w:right="160" w:hanging="508"/>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73" w:lineRule="exact"/>
        <w:rPr>
          <w:rFonts w:ascii="Arial" w:cs="Arial" w:eastAsia="Arial" w:hAnsi="Arial"/>
          <w:sz w:val="18"/>
          <w:szCs w:val="18"/>
          <w:color w:val="auto"/>
        </w:rPr>
      </w:pPr>
    </w:p>
    <w:p>
      <w:pPr>
        <w:ind w:left="1020" w:right="260" w:hanging="508"/>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73" w:lineRule="exact"/>
        <w:rPr>
          <w:rFonts w:ascii="Arial" w:cs="Arial" w:eastAsia="Arial" w:hAnsi="Arial"/>
          <w:sz w:val="18"/>
          <w:szCs w:val="18"/>
          <w:color w:val="auto"/>
        </w:rPr>
      </w:pPr>
    </w:p>
    <w:p>
      <w:pPr>
        <w:ind w:left="1020" w:right="380" w:hanging="508"/>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73"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or the business of our customers as a result of credit rating downgrades, and fluctuating interest rates;</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involving us or our customers;</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2" w:lineRule="exact"/>
        <w:rPr>
          <w:rFonts w:ascii="Arial" w:cs="Arial" w:eastAsia="Arial" w:hAnsi="Arial"/>
          <w:sz w:val="18"/>
          <w:szCs w:val="18"/>
          <w:color w:val="auto"/>
        </w:rPr>
      </w:pPr>
    </w:p>
    <w:p>
      <w:pPr>
        <w:ind w:left="1020" w:right="360" w:hanging="508"/>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73" w:lineRule="exact"/>
        <w:rPr>
          <w:rFonts w:ascii="Arial" w:cs="Arial" w:eastAsia="Arial" w:hAnsi="Arial"/>
          <w:sz w:val="18"/>
          <w:szCs w:val="18"/>
          <w:color w:val="auto"/>
        </w:rPr>
      </w:pPr>
    </w:p>
    <w:p>
      <w:pPr>
        <w:ind w:left="1020" w:hanging="50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2" w:lineRule="exact"/>
        <w:rPr>
          <w:rFonts w:ascii="Arial" w:cs="Arial" w:eastAsia="Arial" w:hAnsi="Arial"/>
          <w:sz w:val="18"/>
          <w:szCs w:val="18"/>
          <w:color w:val="auto"/>
        </w:rPr>
      </w:pPr>
    </w:p>
    <w:p>
      <w:pPr>
        <w:ind w:left="1020" w:right="320" w:hanging="508"/>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ind w:left="1020" w:right="20" w:hanging="508"/>
        <w:spacing w:after="0" w:line="30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2016, as well as those described from time to time in our future reports filed with the U.S. Securities and Exchange Commission (“the SEC”).</w:t>
      </w:r>
    </w:p>
    <w:p>
      <w:pPr>
        <w:spacing w:after="0" w:line="115"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0" w:type="dxa"/>
            <w:vAlign w:val="bottom"/>
            <w:gridSpan w:val="6"/>
          </w:tcPr>
          <w:p>
            <w:pPr>
              <w:jc w:val="center"/>
              <w:ind w:right="4300"/>
              <w:spacing w:after="0"/>
              <w:rPr>
                <w:sz w:val="20"/>
                <w:szCs w:val="20"/>
                <w:color w:val="auto"/>
              </w:rPr>
            </w:pPr>
            <w:r>
              <w:rPr>
                <w:rFonts w:ascii="Arial" w:cs="Arial" w:eastAsia="Arial" w:hAnsi="Arial"/>
                <w:sz w:val="18"/>
                <w:szCs w:val="18"/>
                <w:b w:val="1"/>
                <w:bCs w:val="1"/>
                <w:color w:val="auto"/>
                <w:w w:val="93"/>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0" w:type="dxa"/>
            <w:vAlign w:val="bottom"/>
            <w:gridSpan w:val="6"/>
          </w:tcPr>
          <w:p>
            <w:pPr>
              <w:jc w:val="center"/>
              <w:ind w:right="4300"/>
              <w:spacing w:after="0"/>
              <w:rPr>
                <w:sz w:val="20"/>
                <w:szCs w:val="20"/>
                <w:color w:val="auto"/>
              </w:rPr>
            </w:pPr>
            <w:r>
              <w:rPr>
                <w:rFonts w:ascii="Arial" w:cs="Arial" w:eastAsia="Arial" w:hAnsi="Arial"/>
                <w:sz w:val="18"/>
                <w:szCs w:val="18"/>
                <w:b w:val="1"/>
                <w:bCs w:val="1"/>
                <w:color w:val="auto"/>
                <w:w w:val="88"/>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940" w:type="dxa"/>
            <w:vAlign w:val="bottom"/>
            <w:gridSpan w:val="19"/>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0"/>
        </w:trPr>
        <w:tc>
          <w:tcPr>
            <w:tcW w:w="920" w:type="dxa"/>
            <w:vAlign w:val="bottom"/>
            <w:gridSpan w:val="2"/>
            <w:vMerge w:val="continue"/>
          </w:tcPr>
          <w:p>
            <w:pPr>
              <w:spacing w:after="0"/>
              <w:rPr>
                <w:sz w:val="15"/>
                <w:szCs w:val="15"/>
                <w:color w:val="auto"/>
              </w:rPr>
            </w:pPr>
          </w:p>
        </w:tc>
        <w:tc>
          <w:tcPr>
            <w:tcW w:w="9940" w:type="dxa"/>
            <w:vAlign w:val="bottom"/>
            <w:gridSpan w:val="19"/>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tcBorders>
              <w:top w:val="single" w:sz="8" w:color="0000EE"/>
            </w:tcBorders>
            <w:gridSpan w:val="9"/>
          </w:tcPr>
          <w:p>
            <w:pPr>
              <w:spacing w:after="0"/>
              <w:rPr>
                <w:sz w:val="20"/>
                <w:szCs w:val="20"/>
                <w:color w:val="auto"/>
              </w:rPr>
            </w:pPr>
            <w:r>
              <w:rPr>
                <w:rFonts w:ascii="Arial" w:cs="Arial" w:eastAsia="Arial" w:hAnsi="Arial"/>
                <w:sz w:val="18"/>
                <w:szCs w:val="18"/>
                <w:b w:val="1"/>
                <w:bCs w:val="1"/>
                <w:color w:val="auto"/>
              </w:rPr>
              <w:t>Uniti Group Inc.</w:t>
            </w:r>
          </w:p>
        </w:tc>
        <w:tc>
          <w:tcPr>
            <w:tcW w:w="7560" w:type="dxa"/>
            <w:vAlign w:val="bottom"/>
            <w:gridSpan w:val="10"/>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tcBorders>
              <w:bottom w:val="single" w:sz="8" w:color="0000EE"/>
            </w:tcBorders>
            <w:gridSpan w:val="10"/>
          </w:tcPr>
          <w:p>
            <w:pPr>
              <w:spacing w:after="0" w:line="188"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Balance Sheets</w:t>
              </w:r>
            </w:hyperlink>
          </w:p>
        </w:tc>
        <w:tc>
          <w:tcPr>
            <w:tcW w:w="7040" w:type="dxa"/>
            <w:vAlign w:val="bottom"/>
            <w:gridSpan w:val="9"/>
          </w:tcPr>
          <w:p>
            <w:pPr>
              <w:spacing w:after="0"/>
              <w:rPr>
                <w:sz w:val="16"/>
                <w:szCs w:val="16"/>
                <w:color w:val="auto"/>
              </w:rPr>
            </w:pPr>
          </w:p>
        </w:tc>
        <w:tc>
          <w:tcPr>
            <w:tcW w:w="560" w:type="dxa"/>
            <w:vAlign w:val="bottom"/>
          </w:tcPr>
          <w:p>
            <w:pPr>
              <w:jc w:val="right"/>
              <w:spacing w:after="0" w:line="188"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(Loss)</w:t>
              </w:r>
            </w:hyperlink>
          </w:p>
        </w:tc>
        <w:tc>
          <w:tcPr>
            <w:tcW w:w="4920" w:type="dxa"/>
            <w:vAlign w:val="bottom"/>
            <w:gridSpan w:val="2"/>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Shareholders’ Deficit</w:t>
              </w:r>
            </w:hyperlink>
          </w:p>
        </w:tc>
        <w:tc>
          <w:tcPr>
            <w:tcW w:w="5580" w:type="dxa"/>
            <w:vAlign w:val="bottom"/>
            <w:gridSpan w:val="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Notes to Condensed Consolidated Financial Statements</w:t>
              </w:r>
            </w:hyperlink>
          </w:p>
        </w:tc>
        <w:tc>
          <w:tcPr>
            <w:tcW w:w="6000" w:type="dxa"/>
            <w:vAlign w:val="bottom"/>
            <w:gridSpan w:val="6"/>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6"/>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Quantitative and Qualitative Disclosures About Market Risk</w:t>
              </w:r>
            </w:hyperlink>
          </w:p>
        </w:tc>
        <w:tc>
          <w:tcPr>
            <w:tcW w:w="2060" w:type="dxa"/>
            <w:vAlign w:val="bottom"/>
            <w:tcBorders>
              <w:top w:val="single" w:sz="8" w:color="0000EE"/>
            </w:tcBorders>
            <w:gridSpan w:val="3"/>
          </w:tcPr>
          <w:p>
            <w:pPr>
              <w:spacing w:after="0"/>
              <w:rPr>
                <w:sz w:val="17"/>
                <w:szCs w:val="17"/>
                <w:color w:val="auto"/>
              </w:rPr>
            </w:pPr>
          </w:p>
        </w:tc>
        <w:tc>
          <w:tcPr>
            <w:tcW w:w="35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6"/>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Controls and Procedures</w:t>
              </w:r>
            </w:hyperlink>
          </w:p>
        </w:tc>
        <w:tc>
          <w:tcPr>
            <w:tcW w:w="8180" w:type="dxa"/>
            <w:vAlign w:val="bottom"/>
            <w:gridSpan w:val="1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794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Legal Proceedings</w:t>
              </w:r>
            </w:hyperlink>
          </w:p>
        </w:tc>
        <w:tc>
          <w:tcPr>
            <w:tcW w:w="862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6"/>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Risk Factors</w:t>
              </w:r>
            </w:hyperlink>
          </w:p>
        </w:tc>
        <w:tc>
          <w:tcPr>
            <w:tcW w:w="9040" w:type="dxa"/>
            <w:vAlign w:val="bottom"/>
            <w:gridSpan w:val="17"/>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6"/>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6"/>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Defaults Upon Senior Securities</w:t>
              </w:r>
            </w:hyperlink>
          </w:p>
        </w:tc>
        <w:tc>
          <w:tcPr>
            <w:tcW w:w="1920" w:type="dxa"/>
            <w:vAlign w:val="bottom"/>
            <w:tcBorders>
              <w:top w:val="single" w:sz="8" w:color="0000EE"/>
            </w:tcBorders>
            <w:gridSpan w:val="6"/>
          </w:tcPr>
          <w:p>
            <w:pPr>
              <w:spacing w:after="0"/>
              <w:rPr>
                <w:sz w:val="17"/>
                <w:szCs w:val="17"/>
                <w:color w:val="auto"/>
              </w:rPr>
            </w:pPr>
          </w:p>
        </w:tc>
        <w:tc>
          <w:tcPr>
            <w:tcW w:w="5660" w:type="dxa"/>
            <w:vAlign w:val="bottom"/>
            <w:gridSpan w:val="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6"/>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6"/>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8200" w:type="dxa"/>
            <w:vAlign w:val="bottom"/>
            <w:gridSpan w:val="14"/>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6"/>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4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2"/>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Signatures</w:t>
              </w:r>
            </w:hyperlink>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gridSpan w:val="2"/>
          </w:tcPr>
          <w:p>
            <w:pPr>
              <w:spacing w:after="0"/>
              <w:rPr>
                <w:sz w:val="20"/>
                <w:szCs w:val="20"/>
                <w:color w:val="auto"/>
              </w:rPr>
            </w:pPr>
            <w:r>
              <w:rPr>
                <w:rFonts w:ascii="Arial" w:cs="Arial" w:eastAsia="Arial" w:hAnsi="Arial"/>
                <w:sz w:val="14"/>
                <w:szCs w:val="14"/>
                <w:color w:val="auto"/>
              </w:rPr>
              <w:t>(Thousands, except par value)</w:t>
            </w:r>
          </w:p>
        </w:tc>
        <w:tc>
          <w:tcPr>
            <w:tcW w:w="120" w:type="dxa"/>
            <w:vAlign w:val="bottom"/>
          </w:tcPr>
          <w:p>
            <w:pPr>
              <w:spacing w:after="0"/>
              <w:rPr>
                <w:sz w:val="14"/>
                <w:szCs w:val="14"/>
                <w:color w:val="auto"/>
              </w:rPr>
            </w:pPr>
          </w:p>
        </w:tc>
        <w:tc>
          <w:tcPr>
            <w:tcW w:w="142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September 30, 2017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26"/>
        </w:trPr>
        <w:tc>
          <w:tcPr>
            <w:tcW w:w="75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3,037,469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2,670,037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32,715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672,368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438,019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Straight-line revenue receivable</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4,292,210</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Shareholders'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80,725</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466,321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 liability</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Dividends payable</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109,188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85,145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ind w:left="24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56,976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Notes and other debt, net</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4,361,963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4,028,214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0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5,345,082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248525" cy="143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13)</w:t>
      </w:r>
    </w:p>
    <w:p>
      <w:pPr>
        <w:sectPr>
          <w:pgSz w:w="11900" w:h="16838" w:orient="portrait"/>
          <w:cols w:equalWidth="0" w:num="1">
            <w:col w:w="11420"/>
          </w:cols>
          <w:pgMar w:left="240" w:top="127" w:right="239" w:bottom="1440" w:gutter="0" w:footer="0" w:header="0"/>
        </w:sectPr>
      </w:pPr>
    </w:p>
    <w:p>
      <w:pPr>
        <w:spacing w:after="0" w:line="239"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b w:val="1"/>
          <w:bCs w:val="1"/>
          <w:color w:val="auto"/>
        </w:rPr>
        <w:t>Convertible preferred stock</w:t>
      </w:r>
      <w:r>
        <w:rPr>
          <w:rFonts w:ascii="Arial" w:cs="Arial" w:eastAsia="Arial" w:hAnsi="Arial"/>
          <w:sz w:val="18"/>
          <w:szCs w:val="18"/>
          <w:color w:val="auto"/>
        </w:rPr>
        <w:t>, Series A, $0.0001 par value, 88 shares authorized, issued and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$87,500 liquidation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-295275</wp:posOffset>
            </wp:positionV>
            <wp:extent cx="7248525" cy="278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4852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line="5" w:lineRule="exact"/>
        <w:rPr>
          <w:sz w:val="20"/>
          <w:szCs w:val="20"/>
          <w:color w:val="auto"/>
        </w:rPr>
      </w:pPr>
    </w:p>
    <w:p>
      <w:pPr>
        <w:ind w:left="240" w:right="240"/>
        <w:spacing w:after="0" w:line="257" w:lineRule="auto"/>
        <w:rPr>
          <w:sz w:val="20"/>
          <w:szCs w:val="20"/>
          <w:color w:val="auto"/>
        </w:rPr>
      </w:pPr>
      <w:r>
        <w:rPr>
          <w:rFonts w:ascii="Arial" w:cs="Arial" w:eastAsia="Arial" w:hAnsi="Arial"/>
          <w:sz w:val="18"/>
          <w:szCs w:val="18"/>
          <w:color w:val="auto"/>
        </w:rPr>
        <w:t>Preferred stock, $0.0001 par value, 50,000 shares authorized, no shares issued and outstanding Common stock, $0.0001 par value, 500,000 shares authorized, issued and outstanding: 174,821 shares at September 30, 2017 and 155,139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-278765</wp:posOffset>
            </wp:positionV>
            <wp:extent cx="7248525" cy="278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Accumulated other comprehensive loss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Distributions in excess of accumulated earnings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460" w:type="dxa"/>
            <w:vAlign w:val="bottom"/>
          </w:tcPr>
          <w:p>
            <w:pPr>
              <w:jc w:val="right"/>
              <w:ind w:right="611"/>
              <w:spacing w:after="0"/>
              <w:rPr>
                <w:sz w:val="20"/>
                <w:szCs w:val="20"/>
                <w:color w:val="auto"/>
              </w:rPr>
            </w:pPr>
            <w:r>
              <w:rPr>
                <w:rFonts w:ascii="Arial" w:cs="Arial" w:eastAsia="Arial" w:hAnsi="Arial"/>
                <w:sz w:val="18"/>
                <w:szCs w:val="18"/>
                <w:color w:val="auto"/>
              </w:rPr>
              <w:t>82,785</w:t>
            </w:r>
          </w:p>
        </w:tc>
        <w:tc>
          <w:tcPr>
            <w:tcW w:w="1460" w:type="dxa"/>
            <w:vAlign w:val="bottom"/>
          </w:tcPr>
          <w:p>
            <w:pPr>
              <w:jc w:val="right"/>
              <w:spacing w:after="0"/>
              <w:rPr>
                <w:sz w:val="20"/>
                <w:szCs w:val="20"/>
                <w:color w:val="auto"/>
              </w:rPr>
            </w:pPr>
            <w:r>
              <w:rPr>
                <w:rFonts w:ascii="Arial" w:cs="Arial" w:eastAsia="Arial" w:hAnsi="Arial"/>
                <w:sz w:val="18"/>
                <w:szCs w:val="18"/>
                <w:color w:val="auto"/>
              </w:rPr>
              <w:t>80,552</w:t>
            </w:r>
          </w:p>
        </w:tc>
      </w:tr>
      <w:tr>
        <w:trPr>
          <w:trHeight w:val="785"/>
        </w:trPr>
        <w:tc>
          <w:tcPr>
            <w:tcW w:w="1460" w:type="dxa"/>
            <w:vAlign w:val="bottom"/>
          </w:tcPr>
          <w:p>
            <w:pPr>
              <w:jc w:val="right"/>
              <w:ind w:right="611"/>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3"/>
        </w:trPr>
        <w:tc>
          <w:tcPr>
            <w:tcW w:w="1460" w:type="dxa"/>
            <w:vAlign w:val="bottom"/>
          </w:tcPr>
          <w:p>
            <w:pPr>
              <w:jc w:val="right"/>
              <w:ind w:right="611"/>
              <w:spacing w:after="0"/>
              <w:rPr>
                <w:sz w:val="20"/>
                <w:szCs w:val="20"/>
                <w:color w:val="auto"/>
              </w:rPr>
            </w:pPr>
            <w:r>
              <w:rPr>
                <w:rFonts w:ascii="Arial" w:cs="Arial" w:eastAsia="Arial" w:hAnsi="Arial"/>
                <w:sz w:val="18"/>
                <w:szCs w:val="18"/>
                <w:color w:val="auto"/>
              </w:rPr>
              <w:t>17</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3"/>
        </w:trPr>
        <w:tc>
          <w:tcPr>
            <w:tcW w:w="1460" w:type="dxa"/>
            <w:vAlign w:val="bottom"/>
          </w:tcPr>
          <w:p>
            <w:pPr>
              <w:jc w:val="right"/>
              <w:ind w:right="611"/>
              <w:spacing w:after="0"/>
              <w:rPr>
                <w:sz w:val="20"/>
                <w:szCs w:val="20"/>
                <w:color w:val="auto"/>
              </w:rPr>
            </w:pPr>
            <w:r>
              <w:rPr>
                <w:rFonts w:ascii="Arial" w:cs="Arial" w:eastAsia="Arial" w:hAnsi="Arial"/>
                <w:sz w:val="18"/>
                <w:szCs w:val="18"/>
                <w:color w:val="auto"/>
              </w:rPr>
              <w:t>642,981</w:t>
            </w:r>
          </w:p>
        </w:tc>
        <w:tc>
          <w:tcPr>
            <w:tcW w:w="1460" w:type="dxa"/>
            <w:vAlign w:val="bottom"/>
          </w:tcPr>
          <w:p>
            <w:pPr>
              <w:jc w:val="right"/>
              <w:spacing w:after="0"/>
              <w:rPr>
                <w:sz w:val="20"/>
                <w:szCs w:val="20"/>
                <w:color w:val="auto"/>
              </w:rPr>
            </w:pPr>
            <w:r>
              <w:rPr>
                <w:rFonts w:ascii="Arial" w:cs="Arial" w:eastAsia="Arial" w:hAnsi="Arial"/>
                <w:sz w:val="18"/>
                <w:szCs w:val="18"/>
                <w:color w:val="auto"/>
              </w:rPr>
              <w:t>141,092</w:t>
            </w:r>
          </w:p>
        </w:tc>
      </w:tr>
      <w:tr>
        <w:trPr>
          <w:trHeight w:val="226"/>
        </w:trPr>
        <w:tc>
          <w:tcPr>
            <w:tcW w:w="1460" w:type="dxa"/>
            <w:vAlign w:val="bottom"/>
          </w:tcPr>
          <w:p>
            <w:pPr>
              <w:jc w:val="right"/>
              <w:ind w:right="531"/>
              <w:spacing w:after="0"/>
              <w:rPr>
                <w:sz w:val="20"/>
                <w:szCs w:val="20"/>
                <w:color w:val="auto"/>
              </w:rPr>
            </w:pPr>
            <w:r>
              <w:rPr>
                <w:rFonts w:ascii="Arial" w:cs="Arial" w:eastAsia="Arial" w:hAnsi="Arial"/>
                <w:sz w:val="18"/>
                <w:szCs w:val="18"/>
                <w:color w:val="auto"/>
              </w:rPr>
              <w:t>(5,678)</w:t>
            </w:r>
          </w:p>
        </w:tc>
        <w:tc>
          <w:tcPr>
            <w:tcW w:w="1460" w:type="dxa"/>
            <w:vAlign w:val="bottom"/>
          </w:tcPr>
          <w:p>
            <w:pPr>
              <w:jc w:val="right"/>
              <w:spacing w:after="0"/>
              <w:rPr>
                <w:sz w:val="20"/>
                <w:szCs w:val="20"/>
                <w:color w:val="auto"/>
              </w:rPr>
            </w:pPr>
            <w:r>
              <w:rPr>
                <w:rFonts w:ascii="Arial" w:cs="Arial" w:eastAsia="Arial" w:hAnsi="Arial"/>
                <w:sz w:val="18"/>
                <w:szCs w:val="18"/>
                <w:color w:val="auto"/>
              </w:rPr>
              <w:t>(6,369)</w:t>
            </w:r>
          </w:p>
        </w:tc>
      </w:tr>
      <w:tr>
        <w:trPr>
          <w:trHeight w:val="225"/>
        </w:trPr>
        <w:tc>
          <w:tcPr>
            <w:tcW w:w="1460" w:type="dxa"/>
            <w:vAlign w:val="bottom"/>
          </w:tcPr>
          <w:p>
            <w:pPr>
              <w:jc w:val="right"/>
              <w:ind w:right="531"/>
              <w:spacing w:after="0"/>
              <w:rPr>
                <w:sz w:val="20"/>
                <w:szCs w:val="20"/>
                <w:color w:val="auto"/>
              </w:rPr>
            </w:pPr>
            <w:r>
              <w:rPr>
                <w:rFonts w:ascii="Arial" w:cs="Arial" w:eastAsia="Arial" w:hAnsi="Arial"/>
                <w:sz w:val="18"/>
                <w:szCs w:val="18"/>
                <w:color w:val="auto"/>
                <w:w w:val="89"/>
              </w:rPr>
              <w:t>(1,876,599)</w:t>
            </w:r>
          </w:p>
        </w:tc>
        <w:tc>
          <w:tcPr>
            <w:tcW w:w="1460" w:type="dxa"/>
            <w:vAlign w:val="bottom"/>
          </w:tcPr>
          <w:p>
            <w:pPr>
              <w:jc w:val="right"/>
              <w:spacing w:after="0"/>
              <w:rPr>
                <w:sz w:val="20"/>
                <w:szCs w:val="20"/>
                <w:color w:val="auto"/>
              </w:rPr>
            </w:pPr>
            <w:r>
              <w:rPr>
                <w:rFonts w:ascii="Arial" w:cs="Arial" w:eastAsia="Arial" w:hAnsi="Arial"/>
                <w:sz w:val="18"/>
                <w:szCs w:val="18"/>
                <w:color w:val="auto"/>
              </w:rPr>
              <w:t>(1,537,183)</w:t>
            </w:r>
          </w:p>
        </w:tc>
      </w:tr>
    </w:tbl>
    <w:p>
      <w:pPr>
        <w:spacing w:after="0" w:line="20" w:lineRule="exact"/>
        <w:rPr>
          <w:sz w:val="20"/>
          <w:szCs w:val="20"/>
          <w:color w:val="auto"/>
        </w:rPr>
      </w:pPr>
    </w:p>
    <w:p>
      <w:pPr>
        <w:sectPr>
          <w:pgSz w:w="11900" w:h="16838" w:orient="portrait"/>
          <w:cols w:equalWidth="0" w:num="2">
            <w:col w:w="7740" w:space="720"/>
            <w:col w:w="296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7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1"/>
        </w:trPr>
        <w:tc>
          <w:tcPr>
            <w:tcW w:w="77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Total Uniti shareholders' deficit</w:t>
            </w:r>
          </w:p>
        </w:tc>
        <w:tc>
          <w:tcPr>
            <w:tcW w:w="4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line="201" w:lineRule="exact"/>
              <w:rPr>
                <w:sz w:val="20"/>
                <w:szCs w:val="20"/>
                <w:color w:val="auto"/>
              </w:rPr>
            </w:pPr>
            <w:r>
              <w:rPr>
                <w:rFonts w:ascii="Arial" w:cs="Arial" w:eastAsia="Arial" w:hAnsi="Arial"/>
                <w:sz w:val="18"/>
                <w:szCs w:val="18"/>
                <w:color w:val="auto"/>
              </w:rPr>
              <w:t>(1,239,279)</w:t>
            </w:r>
          </w:p>
        </w:tc>
        <w:tc>
          <w:tcPr>
            <w:tcW w:w="5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1" w:lineRule="exact"/>
              <w:rPr>
                <w:sz w:val="20"/>
                <w:szCs w:val="20"/>
                <w:color w:val="auto"/>
              </w:rPr>
            </w:pPr>
            <w:r>
              <w:rPr>
                <w:rFonts w:ascii="Arial" w:cs="Arial" w:eastAsia="Arial" w:hAnsi="Arial"/>
                <w:sz w:val="18"/>
                <w:szCs w:val="18"/>
                <w:color w:val="auto"/>
              </w:rPr>
              <w:t>(1,402,445)</w:t>
            </w:r>
          </w:p>
        </w:tc>
      </w:tr>
      <w:tr>
        <w:trPr>
          <w:trHeight w:val="226"/>
        </w:trPr>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Noncontrolling interests - operating partnership units</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103,622</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0"/>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shareholders' deficit</w:t>
            </w:r>
          </w:p>
        </w:tc>
        <w:tc>
          <w:tcPr>
            <w:tcW w:w="4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(1,135,657)</w:t>
            </w:r>
          </w:p>
        </w:tc>
        <w:tc>
          <w:tcPr>
            <w:tcW w:w="5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(1,402,445)</w:t>
            </w:r>
          </w:p>
        </w:tc>
      </w:tr>
      <w:tr>
        <w:trPr>
          <w:trHeight w:val="219"/>
        </w:trPr>
        <w:tc>
          <w:tcPr>
            <w:tcW w:w="770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Stock, and Shareholders' Deficit</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4,292,210</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3,318,752</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33"/>
        </w:trPr>
        <w:tc>
          <w:tcPr>
            <w:tcW w:w="500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Leasing</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171,673</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169,366</w:t>
            </w:r>
          </w:p>
        </w:tc>
        <w:tc>
          <w:tcPr>
            <w:tcW w:w="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512,893</w:t>
            </w:r>
          </w:p>
        </w:tc>
        <w:tc>
          <w:tcPr>
            <w:tcW w:w="2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506,945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Fiber Infrastructure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Tower</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Consumer CLEC</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245,210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200,240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669,696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78,784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70,522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227,235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113,444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317,404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49,549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3"/>
              </w:rPr>
              <w:t>Operating expense (exclusive of depreciation and amortization)</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Transaction related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8,512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(3,933)</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249,047</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202,455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710,297</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558,431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4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(3,837)</w:t>
            </w: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(40,601)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(8,672)</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(8,976)</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0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(31,625)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(31,732)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Participating securities' share in earnings</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(1,156)</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Dividends declared on convertible preferred stock</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(1,968)</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Amortization of discount on convertible preferred stock</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000" w:type="dxa"/>
            <w:vAlign w:val="bottom"/>
            <w:gridSpan w:val="3"/>
            <w:vMerge w:val="continue"/>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2,939</w:t>
            </w:r>
          </w:p>
        </w:tc>
        <w:tc>
          <w:tcPr>
            <w:tcW w:w="24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(4,144)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(37,091)</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8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Earnings (loss) per common share: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gridSpan w:val="2"/>
            <w:vMerge w:val="restart"/>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980" w:type="dxa"/>
            <w:vAlign w:val="bottom"/>
            <w:gridSpan w:val="2"/>
            <w:vMerge w:val="continue"/>
          </w:tcPr>
          <w:p>
            <w:pPr>
              <w:spacing w:after="0"/>
              <w:rPr>
                <w:sz w:val="21"/>
                <w:szCs w:val="21"/>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8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w w:val="99"/>
              </w:rPr>
              <w:t>Weighted-average number of common shares outstanding</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174,818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153,878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166,624</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980" w:type="dxa"/>
            <w:vAlign w:val="bottom"/>
            <w:tcBorders>
              <w:bottom w:val="single" w:sz="8" w:color="CFF0FC"/>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175,399</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153,878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166,816</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151,716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(2,343)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(31,625)</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Unrealized gain (loss) on derivative contracts</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(4,340)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(63,331)</w:t>
            </w:r>
          </w:p>
        </w:tc>
        <w:tc>
          <w:tcPr>
            <w:tcW w:w="0" w:type="dxa"/>
            <w:vAlign w:val="bottom"/>
          </w:tcPr>
          <w:p>
            <w:pPr>
              <w:spacing w:after="0"/>
              <w:rPr>
                <w:sz w:val="1"/>
                <w:szCs w:val="1"/>
                <w:color w:val="auto"/>
              </w:rPr>
            </w:pPr>
          </w:p>
        </w:tc>
      </w:tr>
      <w:tr>
        <w:trPr>
          <w:trHeight w:val="226"/>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Changes in foreign currency translation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(63,511)</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(30,891)</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(59,353)</w:t>
            </w:r>
          </w:p>
        </w:tc>
        <w:tc>
          <w:tcPr>
            <w:tcW w:w="0" w:type="dxa"/>
            <w:vAlign w:val="bottom"/>
          </w:tcPr>
          <w:p>
            <w:pPr>
              <w:spacing w:after="0"/>
              <w:rPr>
                <w:sz w:val="1"/>
                <w:szCs w:val="1"/>
                <w:color w:val="auto"/>
              </w:rPr>
            </w:pPr>
          </w:p>
        </w:tc>
      </w:tr>
      <w:tr>
        <w:trPr>
          <w:trHeight w:val="227"/>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 common</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shareholders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6,550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(4,314)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(31,041)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(59,353)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0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2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3"/>
              </w:rPr>
              <w:t>Uniti Group Inc.</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gridSpan w:val="16"/>
          </w:tcPr>
          <w:p>
            <w:pPr>
              <w:jc w:val="center"/>
              <w:spacing w:after="0"/>
              <w:rPr>
                <w:sz w:val="20"/>
                <w:szCs w:val="20"/>
                <w:color w:val="auto"/>
              </w:rPr>
            </w:pPr>
            <w:r>
              <w:rPr>
                <w:rFonts w:ascii="Arial" w:cs="Arial" w:eastAsia="Arial" w:hAnsi="Arial"/>
                <w:sz w:val="18"/>
                <w:szCs w:val="18"/>
                <w:b w:val="1"/>
                <w:bCs w:val="1"/>
                <w:color w:val="auto"/>
                <w:w w:val="87"/>
              </w:rPr>
              <w:t>Condensed Consolidated Statements of Shareholders’ Deficit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Distributions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4"/>
          </w:tcPr>
          <w:p>
            <w:pPr>
              <w:ind w:left="220"/>
              <w:spacing w:after="0"/>
              <w:rPr>
                <w:sz w:val="20"/>
                <w:szCs w:val="20"/>
                <w:color w:val="auto"/>
              </w:rPr>
            </w:pPr>
            <w:r>
              <w:rPr>
                <w:rFonts w:ascii="Arial" w:cs="Arial" w:eastAsia="Arial" w:hAnsi="Arial"/>
                <w:sz w:val="18"/>
                <w:szCs w:val="18"/>
                <w:color w:val="auto"/>
              </w:rPr>
              <w:t>Additional</w:t>
            </w:r>
          </w:p>
        </w:tc>
        <w:tc>
          <w:tcPr>
            <w:tcW w:w="2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in Excess of</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Paid-in</w:t>
            </w:r>
          </w:p>
        </w:tc>
        <w:tc>
          <w:tcPr>
            <w:tcW w:w="1240" w:type="dxa"/>
            <w:vAlign w:val="bottom"/>
            <w:gridSpan w:val="3"/>
          </w:tcPr>
          <w:p>
            <w:pPr>
              <w:spacing w:after="0"/>
              <w:rPr>
                <w:sz w:val="20"/>
                <w:szCs w:val="20"/>
                <w:color w:val="auto"/>
              </w:rPr>
            </w:pPr>
            <w:r>
              <w:rPr>
                <w:rFonts w:ascii="Arial" w:cs="Arial" w:eastAsia="Arial" w:hAnsi="Arial"/>
                <w:sz w:val="18"/>
                <w:szCs w:val="18"/>
                <w:color w:val="auto"/>
                <w:w w:val="96"/>
              </w:rPr>
              <w:t>Comprehensive</w:t>
            </w:r>
          </w:p>
        </w:tc>
        <w:tc>
          <w:tcPr>
            <w:tcW w:w="1260" w:type="dxa"/>
            <w:vAlign w:val="bottom"/>
            <w:gridSpan w:val="4"/>
          </w:tcPr>
          <w:p>
            <w:pPr>
              <w:ind w:left="80"/>
              <w:spacing w:after="0"/>
              <w:rPr>
                <w:sz w:val="20"/>
                <w:szCs w:val="20"/>
                <w:color w:val="auto"/>
              </w:rPr>
            </w:pPr>
            <w:r>
              <w:rPr>
                <w:rFonts w:ascii="Arial" w:cs="Arial" w:eastAsia="Arial" w:hAnsi="Arial"/>
                <w:sz w:val="18"/>
                <w:szCs w:val="18"/>
                <w:color w:val="auto"/>
              </w:rPr>
              <w:t>Accumulated</w:t>
            </w:r>
          </w:p>
        </w:tc>
        <w:tc>
          <w:tcPr>
            <w:tcW w:w="130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060" w:type="dxa"/>
            <w:vAlign w:val="bottom"/>
            <w:gridSpan w:val="3"/>
          </w:tcPr>
          <w:p>
            <w:pPr>
              <w:spacing w:after="0"/>
              <w:rPr>
                <w:sz w:val="20"/>
                <w:szCs w:val="20"/>
                <w:color w:val="auto"/>
              </w:rPr>
            </w:pPr>
            <w:r>
              <w:rPr>
                <w:rFonts w:ascii="Arial" w:cs="Arial" w:eastAsia="Arial" w:hAnsi="Arial"/>
                <w:sz w:val="18"/>
                <w:szCs w:val="18"/>
                <w:color w:val="auto"/>
                <w:w w:val="94"/>
              </w:rPr>
              <w:t>Shareholders'</w:t>
            </w: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4"/>
                <w:szCs w:val="14"/>
                <w:color w:val="auto"/>
              </w:rPr>
              <w:t>(Thousands, except share data)</w:t>
            </w:r>
          </w:p>
        </w:tc>
        <w:tc>
          <w:tcPr>
            <w:tcW w:w="1220" w:type="dxa"/>
            <w:vAlign w:val="bottom"/>
            <w:gridSpan w:val="4"/>
          </w:tcPr>
          <w:p>
            <w:pPr>
              <w:ind w:left="80"/>
              <w:spacing w:after="0"/>
              <w:rPr>
                <w:sz w:val="20"/>
                <w:szCs w:val="20"/>
                <w:color w:val="auto"/>
              </w:rPr>
            </w:pPr>
            <w:r>
              <w:rPr>
                <w:rFonts w:ascii="Arial" w:cs="Arial" w:eastAsia="Arial" w:hAnsi="Arial"/>
                <w:sz w:val="18"/>
                <w:szCs w:val="18"/>
                <w:color w:val="auto"/>
                <w:w w:val="89"/>
              </w:rPr>
              <w:t>Preferred 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4"/>
          </w:tcPr>
          <w:p>
            <w:pPr>
              <w:ind w:left="80"/>
              <w:spacing w:after="0"/>
              <w:rPr>
                <w:sz w:val="20"/>
                <w:szCs w:val="20"/>
                <w:color w:val="auto"/>
              </w:rPr>
            </w:pPr>
            <w:r>
              <w:rPr>
                <w:rFonts w:ascii="Arial" w:cs="Arial" w:eastAsia="Arial" w:hAnsi="Arial"/>
                <w:sz w:val="18"/>
                <w:szCs w:val="18"/>
                <w:color w:val="auto"/>
                <w:w w:val="90"/>
              </w:rPr>
              <w:t>Common Stock</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Capital</w:t>
            </w:r>
          </w:p>
        </w:tc>
        <w:tc>
          <w:tcPr>
            <w:tcW w:w="22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Earnings</w:t>
            </w:r>
          </w:p>
        </w:tc>
        <w:tc>
          <w:tcPr>
            <w:tcW w:w="1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Interest</w:t>
            </w:r>
          </w:p>
        </w:tc>
        <w:tc>
          <w:tcPr>
            <w:tcW w:w="1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Deficit</w:t>
            </w:r>
          </w:p>
        </w:tc>
        <w:tc>
          <w:tcPr>
            <w:tcW w:w="0" w:type="dxa"/>
            <w:vAlign w:val="bottom"/>
          </w:tcPr>
          <w:p>
            <w:pPr>
              <w:spacing w:after="0"/>
              <w:rPr>
                <w:sz w:val="1"/>
                <w:szCs w:val="1"/>
                <w:color w:val="auto"/>
              </w:rPr>
            </w:pPr>
          </w:p>
        </w:tc>
      </w:tr>
      <w:tr>
        <w:trPr>
          <w:trHeight w:val="180"/>
        </w:trPr>
        <w:tc>
          <w:tcPr>
            <w:tcW w:w="1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tcBorders>
            <w:gridSpan w:val="3"/>
          </w:tcPr>
          <w:p>
            <w:pPr>
              <w:spacing w:after="0" w:line="180" w:lineRule="exact"/>
              <w:rPr>
                <w:sz w:val="20"/>
                <w:szCs w:val="20"/>
                <w:color w:val="auto"/>
              </w:rPr>
            </w:pPr>
            <w:r>
              <w:rPr>
                <w:rFonts w:ascii="Arial" w:cs="Arial" w:eastAsia="Arial" w:hAnsi="Arial"/>
                <w:sz w:val="18"/>
                <w:szCs w:val="18"/>
                <w:color w:val="auto"/>
              </w:rPr>
              <w:t>Shares</w:t>
            </w:r>
          </w:p>
        </w:tc>
        <w:tc>
          <w:tcPr>
            <w:tcW w:w="580" w:type="dxa"/>
            <w:vAlign w:val="bottom"/>
            <w:tcBorders>
              <w:top w:val="single" w:sz="8" w:color="auto"/>
            </w:tcBorders>
            <w:gridSpan w:val="2"/>
          </w:tcPr>
          <w:p>
            <w:pPr>
              <w:spacing w:after="0" w:line="180" w:lineRule="exact"/>
              <w:rPr>
                <w:sz w:val="20"/>
                <w:szCs w:val="20"/>
                <w:color w:val="auto"/>
              </w:rPr>
            </w:pPr>
            <w:r>
              <w:rPr>
                <w:rFonts w:ascii="Arial" w:cs="Arial" w:eastAsia="Arial" w:hAnsi="Arial"/>
                <w:sz w:val="18"/>
                <w:szCs w:val="18"/>
                <w:color w:val="auto"/>
                <w:w w:val="86"/>
              </w:rPr>
              <w:t>Amount</w:t>
            </w: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spacing w:after="0" w:line="180" w:lineRule="exact"/>
              <w:rPr>
                <w:sz w:val="20"/>
                <w:szCs w:val="20"/>
                <w:color w:val="auto"/>
              </w:rPr>
            </w:pPr>
            <w:r>
              <w:rPr>
                <w:rFonts w:ascii="Arial" w:cs="Arial" w:eastAsia="Arial" w:hAnsi="Arial"/>
                <w:sz w:val="18"/>
                <w:szCs w:val="18"/>
                <w:color w:val="auto"/>
              </w:rPr>
              <w:t>Shares</w:t>
            </w:r>
          </w:p>
        </w:tc>
        <w:tc>
          <w:tcPr>
            <w:tcW w:w="580" w:type="dxa"/>
            <w:vAlign w:val="bottom"/>
            <w:tcBorders>
              <w:top w:val="single" w:sz="8" w:color="auto"/>
            </w:tcBorders>
            <w:gridSpan w:val="2"/>
          </w:tcPr>
          <w:p>
            <w:pPr>
              <w:spacing w:after="0" w:line="180" w:lineRule="exact"/>
              <w:rPr>
                <w:sz w:val="20"/>
                <w:szCs w:val="20"/>
                <w:color w:val="auto"/>
              </w:rPr>
            </w:pPr>
            <w:r>
              <w:rPr>
                <w:rFonts w:ascii="Arial" w:cs="Arial" w:eastAsia="Arial" w:hAnsi="Arial"/>
                <w:sz w:val="18"/>
                <w:szCs w:val="18"/>
                <w:color w:val="auto"/>
                <w:w w:val="86"/>
              </w:rPr>
              <w:t>Amount</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149,862,459</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left w:val="single" w:sz="8" w:color="CFF0FC"/>
            </w:tcBorders>
            <w:gridSpan w:val="2"/>
            <w:vMerge w:val="restart"/>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(5,427)</w:t>
            </w:r>
          </w:p>
        </w:tc>
        <w:tc>
          <w:tcPr>
            <w:tcW w:w="22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w w:val="93"/>
              </w:rPr>
              <w:t>(1,162,886)</w:t>
            </w:r>
          </w:p>
        </w:tc>
        <w:tc>
          <w:tcPr>
            <w:tcW w:w="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w w:val="95"/>
              </w:rPr>
              <w:t>(1,166,906)</w:t>
            </w:r>
          </w:p>
        </w:tc>
        <w:tc>
          <w:tcPr>
            <w:tcW w:w="0" w:type="dxa"/>
            <w:vAlign w:val="bottom"/>
          </w:tcPr>
          <w:p>
            <w:pPr>
              <w:spacing w:after="0"/>
              <w:rPr>
                <w:sz w:val="1"/>
                <w:szCs w:val="1"/>
                <w:color w:val="auto"/>
              </w:rPr>
            </w:pPr>
          </w:p>
        </w:tc>
      </w:tr>
      <w:tr>
        <w:trPr>
          <w:trHeight w:val="209"/>
        </w:trPr>
        <w:tc>
          <w:tcPr>
            <w:tcW w:w="1260" w:type="dxa"/>
            <w:vAlign w:val="bottom"/>
            <w:shd w:val="clear" w:color="auto" w:fill="CFF0FC"/>
          </w:tcPr>
          <w:p>
            <w:pPr>
              <w:spacing w:after="0"/>
              <w:rPr>
                <w:sz w:val="20"/>
                <w:szCs w:val="20"/>
                <w:color w:val="auto"/>
              </w:rPr>
            </w:pPr>
            <w:r>
              <w:rPr>
                <w:rFonts w:ascii="Arial" w:cs="Arial" w:eastAsia="Arial" w:hAnsi="Arial"/>
                <w:sz w:val="16"/>
                <w:szCs w:val="16"/>
                <w:color w:val="auto"/>
              </w:rPr>
              <w:t>2015</w:t>
            </w:r>
          </w:p>
        </w:tc>
        <w:tc>
          <w:tcPr>
            <w:tcW w:w="6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20" w:type="dxa"/>
            <w:vAlign w:val="bottom"/>
            <w:tcBorders>
              <w:left w:val="single" w:sz="8" w:color="CFF0FC"/>
            </w:tcBorders>
            <w:gridSpan w:val="4"/>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340" w:type="dxa"/>
            <w:vAlign w:val="bottom"/>
            <w:tcBorders>
              <w:left w:val="single" w:sz="8" w:color="CFF0FC"/>
            </w:tcBorders>
            <w:gridSpan w:val="2"/>
            <w:vMerge w:val="continue"/>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5,077,629</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137,665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40" w:type="dxa"/>
            <w:vAlign w:val="bottom"/>
            <w:gridSpan w:val="3"/>
          </w:tcPr>
          <w:p>
            <w:pPr>
              <w:spacing w:after="0"/>
              <w:rPr>
                <w:sz w:val="20"/>
                <w:szCs w:val="20"/>
                <w:color w:val="auto"/>
              </w:rPr>
            </w:pPr>
            <w:r>
              <w:rPr>
                <w:rFonts w:ascii="Arial" w:cs="Arial" w:eastAsia="Arial" w:hAnsi="Arial"/>
                <w:sz w:val="16"/>
                <w:szCs w:val="16"/>
                <w:color w:val="auto"/>
              </w:rPr>
              <w:t>Amortization of discount of</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9"/>
        </w:trPr>
        <w:tc>
          <w:tcPr>
            <w:tcW w:w="2040" w:type="dxa"/>
            <w:vAlign w:val="bottom"/>
            <w:gridSpan w:val="3"/>
          </w:tcPr>
          <w:p>
            <w:pPr>
              <w:spacing w:after="0"/>
              <w:rPr>
                <w:sz w:val="20"/>
                <w:szCs w:val="20"/>
                <w:color w:val="auto"/>
              </w:rPr>
            </w:pPr>
            <w:r>
              <w:rPr>
                <w:rFonts w:ascii="Arial" w:cs="Arial" w:eastAsia="Arial" w:hAnsi="Arial"/>
                <w:sz w:val="16"/>
                <w:szCs w:val="16"/>
                <w:color w:val="auto"/>
              </w:rPr>
              <w:t>convertible preferred stock</w:t>
            </w:r>
          </w:p>
        </w:tc>
        <w:tc>
          <w:tcPr>
            <w:tcW w:w="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(63,511)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(63,511)</w:t>
            </w: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6"/>
                <w:szCs w:val="16"/>
                <w:color w:val="auto"/>
              </w:rPr>
              <w:t>Common stock dividends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(276,567)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(276,567)</w:t>
            </w:r>
          </w:p>
        </w:tc>
        <w:tc>
          <w:tcPr>
            <w:tcW w:w="0" w:type="dxa"/>
            <w:vAlign w:val="bottom"/>
          </w:tcPr>
          <w:p>
            <w:pPr>
              <w:spacing w:after="0"/>
              <w:rPr>
                <w:sz w:val="1"/>
                <w:szCs w:val="1"/>
                <w:color w:val="auto"/>
              </w:rPr>
            </w:pPr>
          </w:p>
        </w:tc>
      </w:tr>
      <w:tr>
        <w:trPr>
          <w:trHeight w:val="204"/>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9"/>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dividends</w:t>
            </w:r>
          </w:p>
        </w:tc>
        <w:tc>
          <w:tcPr>
            <w:tcW w:w="520" w:type="dxa"/>
            <w:vAlign w:val="bottom"/>
            <w:gridSpan w:val="2"/>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20" w:type="dxa"/>
            <w:vAlign w:val="bottom"/>
            <w:tcBorders>
              <w:left w:val="single" w:sz="8" w:color="CFF0FC"/>
            </w:tcBorders>
            <w:gridSpan w:val="4"/>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6"/>
                <w:szCs w:val="16"/>
                <w:color w:val="auto"/>
              </w:rPr>
              <w:t>Equity issuance cost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7"/>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26"/>
        </w:trPr>
        <w:tc>
          <w:tcPr>
            <w:tcW w:w="204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Stock-based compensation</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183,072</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Balance at September 30,</w:t>
            </w:r>
          </w:p>
        </w:tc>
        <w:tc>
          <w:tcPr>
            <w:tcW w:w="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155,123,160</w:t>
            </w:r>
          </w:p>
        </w:tc>
        <w:tc>
          <w:tcPr>
            <w:tcW w:w="200" w:type="dxa"/>
            <w:vAlign w:val="bottom"/>
            <w:tcBorders>
              <w:right w:val="single" w:sz="8" w:color="CFF0FC"/>
            </w:tcBorders>
            <w:shd w:val="clear" w:color="auto" w:fill="CFF0FC"/>
          </w:tcPr>
          <w:p>
            <w:pPr>
              <w:spacing w:after="0"/>
              <w:rPr>
                <w:sz w:val="17"/>
                <w:szCs w:val="17"/>
                <w:color w:val="auto"/>
              </w:rPr>
            </w:pPr>
          </w:p>
        </w:tc>
        <w:tc>
          <w:tcPr>
            <w:tcW w:w="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left w:val="single" w:sz="8" w:color="CFF0FC"/>
            </w:tcBorders>
            <w:gridSpan w:val="2"/>
            <w:vMerge w:val="restart"/>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5"/>
              </w:rPr>
              <w:t>140,466</w:t>
            </w:r>
          </w:p>
        </w:tc>
        <w:tc>
          <w:tcPr>
            <w:tcW w:w="220" w:type="dxa"/>
            <w:vAlign w:val="bottom"/>
            <w:shd w:val="clear" w:color="auto" w:fill="CFF0FC"/>
          </w:tcPr>
          <w:p>
            <w:pPr>
              <w:spacing w:after="0"/>
              <w:rPr>
                <w:sz w:val="17"/>
                <w:szCs w:val="17"/>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(68,938)</w:t>
            </w:r>
          </w:p>
        </w:tc>
        <w:tc>
          <w:tcPr>
            <w:tcW w:w="22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w w:val="93"/>
              </w:rPr>
              <w:t>(1,438,302)</w:t>
            </w:r>
          </w:p>
        </w:tc>
        <w:tc>
          <w:tcPr>
            <w:tcW w:w="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w w:val="95"/>
              </w:rPr>
              <w:t>(1,366,759)</w:t>
            </w:r>
          </w:p>
        </w:tc>
        <w:tc>
          <w:tcPr>
            <w:tcW w:w="0" w:type="dxa"/>
            <w:vAlign w:val="bottom"/>
          </w:tcPr>
          <w:p>
            <w:pPr>
              <w:spacing w:after="0"/>
              <w:rPr>
                <w:sz w:val="1"/>
                <w:szCs w:val="1"/>
                <w:color w:val="auto"/>
              </w:rPr>
            </w:pPr>
          </w:p>
        </w:tc>
      </w:tr>
      <w:tr>
        <w:trPr>
          <w:trHeight w:val="209"/>
        </w:trPr>
        <w:tc>
          <w:tcPr>
            <w:tcW w:w="126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6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20" w:type="dxa"/>
            <w:vAlign w:val="bottom"/>
            <w:tcBorders>
              <w:left w:val="single" w:sz="8" w:color="CFF0FC"/>
            </w:tcBorders>
            <w:gridSpan w:val="4"/>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340" w:type="dxa"/>
            <w:vAlign w:val="bottom"/>
            <w:tcBorders>
              <w:left w:val="single" w:sz="8" w:color="CFF0FC"/>
            </w:tcBorders>
            <w:gridSpan w:val="2"/>
            <w:vMerge w:val="continue"/>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vMerge w:val="restart"/>
            <w:shd w:val="clear" w:color="auto" w:fill="CFF0FC"/>
          </w:tcPr>
          <w:p>
            <w:pPr>
              <w:spacing w:after="0"/>
              <w:rPr>
                <w:sz w:val="17"/>
                <w:szCs w:val="17"/>
                <w:color w:val="auto"/>
              </w:rPr>
            </w:pPr>
          </w:p>
        </w:tc>
        <w:tc>
          <w:tcPr>
            <w:tcW w:w="10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w w:val="95"/>
              </w:rPr>
              <w:t>155,138,637</w:t>
            </w:r>
          </w:p>
        </w:tc>
        <w:tc>
          <w:tcPr>
            <w:tcW w:w="200" w:type="dxa"/>
            <w:vAlign w:val="bottom"/>
            <w:tcBorders>
              <w:right w:val="single" w:sz="8" w:color="CFF0FC"/>
            </w:tcBorders>
            <w:shd w:val="clear" w:color="auto" w:fill="CFF0FC"/>
          </w:tcPr>
          <w:p>
            <w:pPr>
              <w:spacing w:after="0"/>
              <w:rPr>
                <w:sz w:val="17"/>
                <w:szCs w:val="17"/>
                <w:color w:val="auto"/>
              </w:rPr>
            </w:pPr>
          </w:p>
        </w:tc>
        <w:tc>
          <w:tcPr>
            <w:tcW w:w="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left w:val="single" w:sz="8" w:color="CFF0FC"/>
            </w:tcBorders>
            <w:vMerge w:val="restart"/>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5"/>
              </w:rPr>
              <w:t>141,092</w:t>
            </w:r>
          </w:p>
        </w:tc>
        <w:tc>
          <w:tcPr>
            <w:tcW w:w="220" w:type="dxa"/>
            <w:vAlign w:val="bottom"/>
            <w:shd w:val="clear" w:color="auto" w:fill="CFF0FC"/>
          </w:tcPr>
          <w:p>
            <w:pPr>
              <w:spacing w:after="0"/>
              <w:rPr>
                <w:sz w:val="17"/>
                <w:szCs w:val="17"/>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(6,369)</w:t>
            </w:r>
          </w:p>
        </w:tc>
        <w:tc>
          <w:tcPr>
            <w:tcW w:w="22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w w:val="93"/>
              </w:rPr>
              <w:t>(1,537,183)</w:t>
            </w:r>
          </w:p>
        </w:tc>
        <w:tc>
          <w:tcPr>
            <w:tcW w:w="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w w:val="95"/>
              </w:rPr>
              <w:t>(1,402,445)</w:t>
            </w:r>
          </w:p>
        </w:tc>
        <w:tc>
          <w:tcPr>
            <w:tcW w:w="0" w:type="dxa"/>
            <w:vAlign w:val="bottom"/>
          </w:tcPr>
          <w:p>
            <w:pPr>
              <w:spacing w:after="0"/>
              <w:rPr>
                <w:sz w:val="1"/>
                <w:szCs w:val="1"/>
                <w:color w:val="auto"/>
              </w:rPr>
            </w:pPr>
          </w:p>
        </w:tc>
      </w:tr>
      <w:tr>
        <w:trPr>
          <w:trHeight w:val="209"/>
        </w:trPr>
        <w:tc>
          <w:tcPr>
            <w:tcW w:w="126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6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220" w:type="dxa"/>
            <w:vAlign w:val="bottom"/>
            <w:tcBorders>
              <w:left w:val="single" w:sz="8" w:color="CFF0FC"/>
            </w:tcBorders>
            <w:vMerge w:val="continue"/>
            <w:shd w:val="clear" w:color="auto" w:fill="CFF0FC"/>
          </w:tcPr>
          <w:p>
            <w:pPr>
              <w:spacing w:after="0"/>
              <w:rPr>
                <w:sz w:val="18"/>
                <w:szCs w:val="18"/>
                <w:color w:val="auto"/>
              </w:rPr>
            </w:pPr>
          </w:p>
        </w:tc>
        <w:tc>
          <w:tcPr>
            <w:tcW w:w="1000" w:type="dxa"/>
            <w:vAlign w:val="bottom"/>
            <w:gridSpan w:val="3"/>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20" w:type="dxa"/>
            <w:vAlign w:val="bottom"/>
            <w:tcBorders>
              <w:left w:val="single" w:sz="8" w:color="CFF0FC"/>
            </w:tcBorders>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40" w:type="dxa"/>
            <w:vAlign w:val="bottom"/>
            <w:gridSpan w:val="3"/>
          </w:tcPr>
          <w:p>
            <w:pPr>
              <w:spacing w:after="0"/>
              <w:rPr>
                <w:sz w:val="20"/>
                <w:szCs w:val="20"/>
                <w:color w:val="auto"/>
              </w:rPr>
            </w:pPr>
            <w:r>
              <w:rPr>
                <w:rFonts w:ascii="Arial" w:cs="Arial" w:eastAsia="Arial" w:hAnsi="Arial"/>
                <w:sz w:val="16"/>
                <w:szCs w:val="16"/>
                <w:color w:val="auto"/>
              </w:rPr>
              <w:t>Net loss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(31,732)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(31,625)</w:t>
            </w:r>
          </w:p>
        </w:tc>
        <w:tc>
          <w:tcPr>
            <w:tcW w:w="0" w:type="dxa"/>
            <w:vAlign w:val="bottom"/>
          </w:tcPr>
          <w:p>
            <w:pPr>
              <w:spacing w:after="0"/>
              <w:rPr>
                <w:sz w:val="1"/>
                <w:szCs w:val="1"/>
                <w:color w:val="auto"/>
              </w:rPr>
            </w:pPr>
          </w:p>
        </w:tc>
      </w:tr>
      <w:tr>
        <w:trPr>
          <w:trHeight w:val="227"/>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19,528,302</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517,499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40" w:type="dxa"/>
            <w:vAlign w:val="bottom"/>
            <w:gridSpan w:val="3"/>
          </w:tcPr>
          <w:p>
            <w:pPr>
              <w:spacing w:after="0"/>
              <w:rPr>
                <w:sz w:val="20"/>
                <w:szCs w:val="20"/>
                <w:color w:val="auto"/>
              </w:rPr>
            </w:pPr>
            <w:r>
              <w:rPr>
                <w:rFonts w:ascii="Arial" w:cs="Arial" w:eastAsia="Arial" w:hAnsi="Arial"/>
                <w:sz w:val="16"/>
                <w:szCs w:val="16"/>
                <w:color w:val="auto"/>
              </w:rPr>
              <w:t>Amortization of discount on</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(2,235)</w:t>
            </w: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9"/>
        </w:trPr>
        <w:tc>
          <w:tcPr>
            <w:tcW w:w="2040" w:type="dxa"/>
            <w:vAlign w:val="bottom"/>
            <w:gridSpan w:val="3"/>
          </w:tcPr>
          <w:p>
            <w:pPr>
              <w:spacing w:after="0"/>
              <w:rPr>
                <w:sz w:val="20"/>
                <w:szCs w:val="20"/>
                <w:color w:val="auto"/>
              </w:rPr>
            </w:pPr>
            <w:r>
              <w:rPr>
                <w:rFonts w:ascii="Arial" w:cs="Arial" w:eastAsia="Arial" w:hAnsi="Arial"/>
                <w:sz w:val="16"/>
                <w:szCs w:val="16"/>
                <w:color w:val="auto"/>
              </w:rPr>
              <w:t>convertible preferred stock</w:t>
            </w:r>
          </w:p>
        </w:tc>
        <w:tc>
          <w:tcPr>
            <w:tcW w:w="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Other comprehensive</w:t>
            </w:r>
          </w:p>
        </w:tc>
        <w:tc>
          <w:tcPr>
            <w:tcW w:w="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income</w:t>
            </w:r>
          </w:p>
        </w:tc>
        <w:tc>
          <w:tcPr>
            <w:tcW w:w="520" w:type="dxa"/>
            <w:vAlign w:val="bottom"/>
            <w:gridSpan w:val="2"/>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20" w:type="dxa"/>
            <w:vAlign w:val="bottom"/>
            <w:tcBorders>
              <w:left w:val="single" w:sz="8" w:color="CFF0FC"/>
            </w:tcBorders>
            <w:gridSpan w:val="4"/>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6"/>
                <w:szCs w:val="16"/>
                <w:color w:val="auto"/>
              </w:rPr>
              <w:t>Common stock dividends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(304,384)</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(306,881)</w:t>
            </w:r>
          </w:p>
        </w:tc>
        <w:tc>
          <w:tcPr>
            <w:tcW w:w="0" w:type="dxa"/>
            <w:vAlign w:val="bottom"/>
          </w:tcPr>
          <w:p>
            <w:pPr>
              <w:spacing w:after="0"/>
              <w:rPr>
                <w:sz w:val="1"/>
                <w:szCs w:val="1"/>
                <w:color w:val="auto"/>
              </w:rPr>
            </w:pPr>
          </w:p>
        </w:tc>
      </w:tr>
      <w:tr>
        <w:trPr>
          <w:trHeight w:val="204"/>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FF0FC"/>
            </w:tcBorders>
            <w:gridSpan w:val="4"/>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(1,969)</w:t>
            </w:r>
          </w:p>
        </w:tc>
        <w:tc>
          <w:tcPr>
            <w:tcW w:w="18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09"/>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dividends</w:t>
            </w:r>
          </w:p>
        </w:tc>
        <w:tc>
          <w:tcPr>
            <w:tcW w:w="520" w:type="dxa"/>
            <w:vAlign w:val="bottom"/>
            <w:gridSpan w:val="2"/>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20" w:type="dxa"/>
            <w:vAlign w:val="bottom"/>
            <w:tcBorders>
              <w:left w:val="single" w:sz="8" w:color="CFF0FC"/>
            </w:tcBorders>
            <w:gridSpan w:val="4"/>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6"/>
                <w:szCs w:val="16"/>
                <w:color w:val="auto"/>
              </w:rPr>
              <w:t>Equity issuance cost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(18,575)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(18,575)</w:t>
            </w:r>
          </w:p>
        </w:tc>
        <w:tc>
          <w:tcPr>
            <w:tcW w:w="0" w:type="dxa"/>
            <w:vAlign w:val="bottom"/>
          </w:tcPr>
          <w:p>
            <w:pPr>
              <w:spacing w:after="0"/>
              <w:rPr>
                <w:sz w:val="1"/>
                <w:szCs w:val="1"/>
                <w:color w:val="auto"/>
              </w:rPr>
            </w:pPr>
          </w:p>
        </w:tc>
      </w:tr>
      <w:tr>
        <w:trPr>
          <w:trHeight w:val="204"/>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Contributions from</w:t>
            </w: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noncontrolling interest</w:t>
            </w: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105,969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105,969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holders</w:t>
            </w: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6"/>
                <w:szCs w:val="16"/>
                <w:color w:val="auto"/>
              </w:rPr>
              <w:t>Net share settlement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(1,331)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27"/>
        </w:trPr>
        <w:tc>
          <w:tcPr>
            <w:tcW w:w="20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154,100</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spacing w:after="0"/>
              <w:rPr>
                <w:sz w:val="20"/>
                <w:szCs w:val="20"/>
                <w:color w:val="auto"/>
              </w:rPr>
            </w:pPr>
            <w:r>
              <w:rPr>
                <w:rFonts w:ascii="Arial" w:cs="Arial" w:eastAsia="Arial" w:hAnsi="Arial"/>
                <w:sz w:val="16"/>
                <w:szCs w:val="16"/>
                <w:color w:val="auto"/>
              </w:rPr>
              <w:t>Balance at September 30,</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174,821,039</w:t>
            </w:r>
          </w:p>
        </w:tc>
        <w:tc>
          <w:tcPr>
            <w:tcW w:w="200" w:type="dxa"/>
            <w:vAlign w:val="bottom"/>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5"/>
              </w:rPr>
              <w:t>642,981</w:t>
            </w:r>
          </w:p>
        </w:tc>
        <w:tc>
          <w:tcPr>
            <w:tcW w:w="22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(5,678)</w:t>
            </w:r>
          </w:p>
        </w:tc>
        <w:tc>
          <w:tcPr>
            <w:tcW w:w="22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3"/>
              </w:rPr>
              <w:t>(1,876,599)</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103,622</w:t>
            </w:r>
          </w:p>
        </w:tc>
        <w:tc>
          <w:tcPr>
            <w:tcW w:w="22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5"/>
              </w:rPr>
              <w:t>(1,135,657)</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6"/>
                <w:szCs w:val="16"/>
                <w:color w:val="auto"/>
              </w:rPr>
              <w:t>2017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3"/>
        </w:trPr>
        <w:tc>
          <w:tcPr>
            <w:tcW w:w="73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(31,625)</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317,404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9,127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(12,281)</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Straight-line revenues</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(10,857)</w:t>
            </w:r>
          </w:p>
        </w:tc>
        <w:tc>
          <w:tcPr>
            <w:tcW w:w="4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(13,174)</w:t>
            </w: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9,091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26"/>
        </w:trPr>
        <w:tc>
          <w:tcPr>
            <w:tcW w:w="736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(4,307)</w:t>
            </w:r>
          </w:p>
        </w:tc>
        <w:tc>
          <w:tcPr>
            <w:tcW w:w="4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46,275</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337,754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Acquisition of businesses, net of cash acquired</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(763,665)</w:t>
            </w:r>
          </w:p>
        </w:tc>
        <w:tc>
          <w:tcPr>
            <w:tcW w:w="4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(489,538)</w:t>
            </w: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Acquisition of ground lease investments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(13,869)</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NMS asset acquisitions (Note 3)</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(68,557)</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Capital expenditures - other</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(111,101)</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(957,192)</w:t>
            </w:r>
          </w:p>
        </w:tc>
        <w:tc>
          <w:tcPr>
            <w:tcW w:w="4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(508,742)</w:t>
            </w: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Principal payments on debt</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(15,810)</w:t>
            </w:r>
          </w:p>
        </w:tc>
        <w:tc>
          <w:tcPr>
            <w:tcW w:w="4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(16,744)</w:t>
            </w: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paid</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(294,272)</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(273,692)</w:t>
            </w: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Payments of contingent consideration</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(19,999)</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Proceeds from issuance of Notes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Borrowings under revolving credit facility</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Payments under revolving credit facility</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(200,000)</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(321,000)</w:t>
            </w: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Capital lease payments</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(2,348)</w:t>
            </w:r>
          </w:p>
        </w:tc>
        <w:tc>
          <w:tcPr>
            <w:tcW w:w="4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Deferred financing costs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(28,533)</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26"/>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Common stock issuance, net of costs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498,924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share settlement</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(1,752)</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9"/>
        </w:trPr>
        <w:tc>
          <w:tcPr>
            <w:tcW w:w="73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497,210</w:t>
            </w: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3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(121,831)</w:t>
            </w:r>
          </w:p>
        </w:tc>
        <w:tc>
          <w:tcPr>
            <w:tcW w:w="4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(101,736)</w:t>
            </w:r>
          </w:p>
        </w:tc>
        <w:tc>
          <w:tcPr>
            <w:tcW w:w="0" w:type="dxa"/>
            <w:vAlign w:val="bottom"/>
          </w:tcPr>
          <w:p>
            <w:pPr>
              <w:spacing w:after="0"/>
              <w:rPr>
                <w:sz w:val="1"/>
                <w:szCs w:val="1"/>
                <w:color w:val="auto"/>
              </w:rPr>
            </w:pPr>
          </w:p>
        </w:tc>
      </w:tr>
      <w:tr>
        <w:trPr>
          <w:trHeight w:val="227"/>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171,754</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49,923</w:t>
            </w:r>
          </w:p>
        </w:tc>
        <w:tc>
          <w:tcPr>
            <w:tcW w:w="26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Non-cash investing and financing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Property and equipment acquired but not yet paid</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3,602</w:t>
            </w:r>
          </w:p>
        </w:tc>
        <w:tc>
          <w:tcPr>
            <w:tcW w:w="260" w:type="dxa"/>
            <w:vAlign w:val="bottom"/>
          </w:tcPr>
          <w:p>
            <w:pPr>
              <w:spacing w:after="0"/>
              <w:rPr>
                <w:sz w:val="20"/>
                <w:szCs w:val="20"/>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Tenant capital improvements</w:t>
            </w: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166,298</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Acquisition of businesses through non-cash consideration</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122,395</w:t>
            </w:r>
          </w:p>
        </w:tc>
        <w:tc>
          <w:tcPr>
            <w:tcW w:w="260" w:type="dxa"/>
            <w:vAlign w:val="bottom"/>
          </w:tcPr>
          <w:p>
            <w:pPr>
              <w:spacing w:after="0"/>
              <w:rPr>
                <w:sz w:val="20"/>
                <w:szCs w:val="20"/>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259,996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Uniti Group Inc. (the “Company,” “Uniti,” “we,” “us,” or “our”), formerly known as Communications Sales and Leasing, Inc., was incorporated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Effective the first quarter of 2017, we commenced managing our operations in four separate lines of business: Uniti Fiber, Uniti Towers, Uniti Leasing, and the Consumer CLEC Business.</w:t>
      </w:r>
    </w:p>
    <w:p>
      <w:pPr>
        <w:spacing w:after="0" w:line="17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September 30, 2017, we are the sole general partner of the Operating Partnership and own approximately 97.7% of the partnership interests in the Operating Partnership.</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11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 xml:space="preserve">The accompanying Condensed Consolidated Financial Statements include all accounts of the Company, its wholly-owned and/or controlled subsidiaries, which consist of the Operating Partnership, which the Company has determined itself to be the primary beneficiary. Under the Accounting Standards Codification 810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Operating Partnership is considered a variable interest entity the Company and is consolidated in the Company’s Condensed Consolidated Financial Statements of Uniti Group Inc. All material intercompany balances and transactions have been eliminated.</w:t>
      </w:r>
    </w:p>
    <w:p>
      <w:pPr>
        <w:spacing w:after="0" w:line="5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by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6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2016 (“Annual Report”), filed with the SEC on February 23, 2017. Accordingly, significant accounting policies and other disclosures normally provided have been omitted from the accompanying Condensed Consolidated Financial Statements and related notes since such items are disclosed in our Annual Report.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400"/>
        <w:spacing w:after="0" w:line="256" w:lineRule="auto"/>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—We currently have recorded a $5.3 million liability for unrecognized tax benefits which was assumed in connection with the acquisition of Network Management Holdings, LTD (“NMS”). </w:t>
      </w:r>
      <w:hyperlink w:anchor="page12">
        <w:r>
          <w:rPr>
            <w:rFonts w:ascii="Arial" w:cs="Arial" w:eastAsia="Arial" w:hAnsi="Arial"/>
            <w:sz w:val="18"/>
            <w:szCs w:val="18"/>
            <w:u w:val="single" w:color="auto"/>
            <w:color w:val="0000EE"/>
          </w:rPr>
          <w:t>See 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We have filed our initial U.S. federal and state income tax returns which are subject to examination.</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u w:val="single" w:color="auto"/>
          <w:color w:val="auto"/>
        </w:rPr>
        <w:t>Customer List Intangible Assets</w:t>
      </w:r>
      <w:r>
        <w:rPr>
          <w:rFonts w:ascii="Arial" w:cs="Arial" w:eastAsia="Arial" w:hAnsi="Arial"/>
          <w:sz w:val="18"/>
          <w:szCs w:val="18"/>
          <w:color w:val="auto"/>
        </w:rPr>
        <w:t>—Customer list intangible assets are presented in the financial statements at cost less accumulated amortization and are amortized using the straight-line method over their estimated useful lives with the exception of the customer list intangible assets related to our Consumer CLEC Business, which were brought over at carry-over basis at the time of the Company’s spin-off from Windstream Holdings, Inc. in 2015, and are amortized using the sum-of-the-digits method over their estimated useful lives.</w:t>
      </w:r>
    </w:p>
    <w:p>
      <w:pPr>
        <w:spacing w:after="0" w:line="19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u w:val="single" w:color="auto"/>
          <w:color w:val="auto"/>
        </w:rPr>
        <w:t>Impairment of Long-Lived Assets and Finite-Lived Intangible Assets</w:t>
      </w:r>
      <w:r>
        <w:rPr>
          <w:rFonts w:ascii="Arial" w:cs="Arial" w:eastAsia="Arial" w:hAnsi="Arial"/>
          <w:sz w:val="17"/>
          <w:szCs w:val="17"/>
          <w:color w:val="auto"/>
        </w:rPr>
        <w:t>—We review long-lived assets and finite-lived intangible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w:t>
      </w:r>
    </w:p>
    <w:p>
      <w:pPr>
        <w:spacing w:after="0" w:line="175" w:lineRule="exact"/>
        <w:rPr>
          <w:sz w:val="20"/>
          <w:szCs w:val="20"/>
          <w:color w:val="auto"/>
        </w:rPr>
      </w:pPr>
    </w:p>
    <w:p>
      <w:pPr>
        <w:ind w:right="20"/>
        <w:spacing w:after="0" w:line="303" w:lineRule="auto"/>
        <w:rPr>
          <w:rFonts w:ascii="Arial" w:cs="Arial" w:eastAsia="Arial" w:hAnsi="Arial"/>
          <w:sz w:val="16"/>
          <w:szCs w:val="16"/>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rPr>
        <w:t xml:space="preserve">—Certain amounts have been reclassified to conform with current year presentation. Following the acquisition of NMS in the first quarter of 2017, the Company manages and reports our operations in four reportable business segments: Leasing, Fiber Infrastructure, Towers and Consumer CLEC. Prior year information, including revenues on the Consolidated Statement of Income, has been recast to conform to the current year presentation. </w:t>
      </w:r>
      <w:hyperlink w:anchor="page24">
        <w:r>
          <w:rPr>
            <w:rFonts w:ascii="Arial" w:cs="Arial" w:eastAsia="Arial" w:hAnsi="Arial"/>
            <w:sz w:val="16"/>
            <w:szCs w:val="16"/>
            <w:u w:val="single" w:color="auto"/>
            <w:color w:val="0000EE"/>
          </w:rPr>
          <w:t>See Note 12</w:t>
        </w:r>
      </w:hyperlink>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19" w:lineRule="exact"/>
        <w:rPr>
          <w:sz w:val="20"/>
          <w:szCs w:val="20"/>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in an effort to clarify the definition of a business with the objective of adding guidance to assist entities with evaluating whether transactions should be accounted for as acquisitions (or disposals) of assets or businesses. ASU 2017-01 is effective for fiscal years beginning after December 15, 2017, and interim periods within those fiscal years, with early adoption permitted. We adopted ASU 2017-01 effective January 1, 2017, with prospective application. As a result of the adoption of ASU 2017-01, the Company’s acquisition of NMS (</w:t>
      </w:r>
      <w:hyperlink w:anchor="page12">
        <w:r>
          <w:rPr>
            <w:rFonts w:ascii="Arial" w:cs="Arial" w:eastAsia="Arial" w:hAnsi="Arial"/>
            <w:sz w:val="18"/>
            <w:szCs w:val="18"/>
            <w:u w:val="single" w:color="auto"/>
            <w:color w:val="auto"/>
          </w:rPr>
          <w:t>see Note 3</w:t>
        </w:r>
      </w:hyperlink>
      <w:r>
        <w:rPr>
          <w:rFonts w:ascii="Arial" w:cs="Arial" w:eastAsia="Arial" w:hAnsi="Arial"/>
          <w:sz w:val="18"/>
          <w:szCs w:val="18"/>
          <w:color w:val="auto"/>
        </w:rPr>
        <w:t>) was determined to be an asset acquisition. Transaction costs associated with asset acquisitions, which includes our real property interest investments, are now capitalized as opposed to be recorded as an expense as was required prior to adoption of ASU 2017-01.</w:t>
      </w:r>
    </w:p>
    <w:p>
      <w:pPr>
        <w:spacing w:after="0" w:line="1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 The Company is currently evaluating the impact the adoption of this accounting standard will have on our financial statements.</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August 2017, the FASB issued Accounting Standards Update (“ASU”) No. 2017-12</w:t>
      </w:r>
      <w:r>
        <w:rPr>
          <w:rFonts w:ascii="Arial" w:cs="Arial" w:eastAsia="Arial" w:hAnsi="Arial"/>
          <w:sz w:val="18"/>
          <w:szCs w:val="18"/>
          <w:i w:val="1"/>
          <w:iCs w:val="1"/>
          <w:color w:val="auto"/>
        </w:rPr>
        <w:t>, Derivatives and Hedging (Topic 815):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(“ASU 2017-12”), which amends and simplifies existing guidance in order to allow companies to more accurately present the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effects of risk management activities in the financial statements. ASU 2017-12 is effective for annual periods beginning after December 15, 2018 and interim periods within those annual periods, and earlier adoption is permitted. The Company is currently evaluating the impacts the adoption of this accounting standard will have on our financial statements.</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Asset Derecognition Guidance and Accounting for Partial Sales of Nonfinancial Assets</w:t>
      </w:r>
      <w:r>
        <w:rPr>
          <w:rFonts w:ascii="Arial" w:cs="Arial" w:eastAsia="Arial" w:hAnsi="Arial"/>
          <w:sz w:val="17"/>
          <w:szCs w:val="17"/>
          <w:color w:val="auto"/>
        </w:rPr>
        <w:t>, which provides guidance for recognizing gains</w:t>
      </w:r>
      <w:r>
        <w:rPr>
          <w:rFonts w:ascii="Arial" w:cs="Arial" w:eastAsia="Arial" w:hAnsi="Arial"/>
          <w:sz w:val="17"/>
          <w:szCs w:val="17"/>
          <w:i w:val="1"/>
          <w:iCs w:val="1"/>
          <w:color w:val="auto"/>
        </w:rPr>
        <w:t xml:space="preserve"> </w:t>
      </w:r>
      <w:r>
        <w:rPr>
          <w:rFonts w:ascii="Arial" w:cs="Arial" w:eastAsia="Arial" w:hAnsi="Arial"/>
          <w:sz w:val="17"/>
          <w:szCs w:val="17"/>
          <w:color w:val="auto"/>
        </w:rPr>
        <w:t>and losses from the transfer of nonfinancial assets and for partial sales of nonfinancial assets, and is effective for financial statements issued for fiscal years and interim periods beginning after December 15, 2017. The Company is currently evaluating the impacts the adoption of this accounting standard will have on our financial statements, but it is not expected to have a material impact.</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Accounting for Goodwill Impairment</w:t>
      </w:r>
      <w:r>
        <w:rPr>
          <w:rFonts w:ascii="Arial" w:cs="Arial" w:eastAsia="Arial" w:hAnsi="Arial"/>
          <w:sz w:val="17"/>
          <w:szCs w:val="17"/>
          <w:color w:val="auto"/>
        </w:rPr>
        <w:t xml:space="preserve"> (“ASU 2017-04”), which removes the requirement to perform a hypothetical purchase price allocation to measure goodwill impairment. A goodwill impairment will now be the amount by which a reporting unit’s carrying value exceeds its fair value, not to exceed the carrying amount of goodwill. ASU 2017-04 is effective for annual and interim periods beginning January 1, 2020, with early adoption permitted, and applied prospectively. We adopted ASU 2017-04 effective January 1, 2017, and there was no material impact on our financial position, results of operations or cash flows.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intends to adopt the revenue recognition guidance on January 1, 2018 using the modified retrospective approach. The Company’s implementation efforts include reviewing revenue contracts and the identification of revenue within the scope of the guidance. As ASU 2014-09 does not impact lessor accounting, the Company believes our accounting for leasing revenues will not be significantly impacted. While the Company currently has not identified any material changes in the timing of revenue recognition, we do anticipate an impact to our Fiber Infrastructure costs, primarily related to the capitalization of commission expense under ASU 2014-09, and are currently in the process of quantifying such impacts.</w:t>
      </w:r>
    </w:p>
    <w:p>
      <w:pPr>
        <w:spacing w:after="0" w:line="189"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provisions of this guidance are effective for annual periods beginning after December 31, 2018, and for interim periods therein.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 of use assets, the extent of the impact of a gross-up is under evaluation. The Company does not anticipate material changes to the recognition of operating lease expense in its Consolidated Statements of Income.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Combinations and Asset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Management Holdings LTD</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On January 31, 2017, we completed the previously announced acquisition of NMS. The Company accounted for the acquisition of NMS as an asset purchase. At close, NMS owned and operated 366 wireless communications towers in Latin America with an additional 105 build to suit tower sites under development. The NMS portfolio spans three Latin American countries with 212 towers in Mexico, 54 towers in Nicaragua, and 100 towers in Colombia. The consideration for the 366 wireless towers in operation as of the transaction close date was $62.6 million, which was funded through cash on hand, and is presented in NMS asset acquisition on the Condensed Consolidated Statements of Cash Flows. NMS conducts its operations through three non-U.S. subsidiaries and the Company has determined that the functional currencies for the Mexican,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80" w:firstLine="6"/>
        <w:spacing w:after="0" w:line="256" w:lineRule="auto"/>
        <w:tabs>
          <w:tab w:leader="none" w:pos="18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Equipment and Intangibles over their respective historical tax bases. Under the terms of the purchase agreement, we will acquire the towers under development when construction is completed. The NMS towers are reflected in our Towers segment. </w:t>
      </w:r>
      <w:hyperlink w:anchor="page24">
        <w:r>
          <w:rPr>
            <w:rFonts w:ascii="Arial" w:cs="Arial" w:eastAsia="Arial" w:hAnsi="Arial"/>
            <w:sz w:val="18"/>
            <w:szCs w:val="18"/>
            <w:u w:val="single" w:color="auto"/>
            <w:color w:val="auto"/>
          </w:rPr>
          <w:t>See Note 12</w:t>
        </w:r>
      </w:hyperlink>
      <w:r>
        <w:rPr>
          <w:rFonts w:ascii="Arial" w:cs="Arial" w:eastAsia="Arial" w:hAnsi="Arial"/>
          <w:sz w:val="18"/>
          <w:szCs w:val="18"/>
          <w:color w:val="auto"/>
        </w:rPr>
        <w:t>. The following is a summary of the estimated fair values of the assets acquired and liabilities assumed: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FF0FC"/>
            </w:tcBorders>
          </w:tcPr>
          <w:p>
            <w:pPr>
              <w:spacing w:after="0"/>
              <w:rPr>
                <w:sz w:val="14"/>
                <w:szCs w:val="14"/>
                <w:color w:val="auto"/>
              </w:rPr>
            </w:pPr>
          </w:p>
        </w:tc>
      </w:tr>
      <w:tr>
        <w:trPr>
          <w:trHeight w:val="246"/>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4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36,417</w:t>
            </w:r>
          </w:p>
        </w:tc>
        <w:tc>
          <w:tcPr>
            <w:tcW w:w="120" w:type="dxa"/>
            <w:vAlign w:val="bottom"/>
            <w:shd w:val="clear" w:color="auto" w:fill="CFF0FC"/>
          </w:tcPr>
          <w:p>
            <w:pPr>
              <w:spacing w:after="0"/>
              <w:rPr>
                <w:sz w:val="21"/>
                <w:szCs w:val="21"/>
                <w:color w:val="auto"/>
              </w:rPr>
            </w:pPr>
          </w:p>
        </w:tc>
      </w:tr>
      <w:tr>
        <w:trPr>
          <w:trHeight w:val="226"/>
        </w:trPr>
        <w:tc>
          <w:tcPr>
            <w:tcW w:w="89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9"/>
                <w:szCs w:val="19"/>
                <w:color w:val="auto"/>
              </w:rPr>
            </w:pPr>
          </w:p>
        </w:tc>
      </w:tr>
      <w:tr>
        <w:trPr>
          <w:trHeight w:val="227"/>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FF0FC"/>
          </w:tcPr>
          <w:p>
            <w:pPr>
              <w:spacing w:after="0"/>
              <w:rPr>
                <w:sz w:val="19"/>
                <w:szCs w:val="19"/>
                <w:color w:val="auto"/>
              </w:rPr>
            </w:pPr>
          </w:p>
        </w:tc>
      </w:tr>
      <w:tr>
        <w:trPr>
          <w:trHeight w:val="226"/>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52,437</w:t>
            </w:r>
          </w:p>
        </w:tc>
        <w:tc>
          <w:tcPr>
            <w:tcW w:w="120" w:type="dxa"/>
            <w:vAlign w:val="bottom"/>
          </w:tcPr>
          <w:p>
            <w:pPr>
              <w:spacing w:after="0"/>
              <w:rPr>
                <w:sz w:val="19"/>
                <w:szCs w:val="19"/>
                <w:color w:val="auto"/>
              </w:rPr>
            </w:pPr>
          </w:p>
        </w:tc>
      </w:tr>
      <w:tr>
        <w:trPr>
          <w:trHeight w:val="227"/>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(8,895)</w:t>
            </w:r>
          </w:p>
        </w:tc>
      </w:tr>
      <w:tr>
        <w:trPr>
          <w:trHeight w:val="226"/>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liabilities</w:t>
            </w:r>
          </w:p>
        </w:tc>
        <w:tc>
          <w:tcPr>
            <w:tcW w:w="4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(3,440)</w:t>
            </w:r>
          </w:p>
        </w:tc>
      </w:tr>
      <w:tr>
        <w:trPr>
          <w:trHeight w:val="227"/>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(18,403)</w:t>
            </w:r>
          </w:p>
        </w:tc>
      </w:tr>
      <w:tr>
        <w:trPr>
          <w:trHeight w:val="219"/>
        </w:trPr>
        <w:tc>
          <w:tcPr>
            <w:tcW w:w="890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4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62,565</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1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w:t>
      </w:r>
      <w:hyperlink w:anchor="page19">
        <w:r>
          <w:rPr>
            <w:rFonts w:ascii="Arial" w:cs="Arial" w:eastAsia="Arial" w:hAnsi="Arial"/>
            <w:sz w:val="18"/>
            <w:szCs w:val="18"/>
            <w:u w:val="single" w:color="auto"/>
            <w:color w:val="auto"/>
          </w:rPr>
          <w:t>See Note 7</w:t>
        </w:r>
      </w:hyperlink>
      <w:r>
        <w:rPr>
          <w:rFonts w:ascii="Arial" w:cs="Arial" w:eastAsia="Arial" w:hAnsi="Arial"/>
          <w:sz w:val="18"/>
          <w:szCs w:val="18"/>
          <w:color w:val="auto"/>
        </w:rPr>
        <w:t>.</w:t>
      </w:r>
    </w:p>
    <w:p>
      <w:pPr>
        <w:spacing w:after="0" w:line="189"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As of September 30, 2017, construction was completed on 43 of the 105 towers that were under development at the time of the NMS acquisition, and we acquired the completed towers pursuant to the purchase agreement for approximately $4.1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Light, LLC</w:t>
      </w:r>
    </w:p>
    <w:p>
      <w:pPr>
        <w:spacing w:after="0" w:line="166" w:lineRule="exact"/>
        <w:rPr>
          <w:sz w:val="20"/>
          <w:szCs w:val="20"/>
          <w:color w:val="auto"/>
        </w:rPr>
      </w:pPr>
    </w:p>
    <w:p>
      <w:pPr>
        <w:ind w:right="16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On July 3, 2017, we acquired 100% of the outstanding equity of Southern Light for $638 million in cash and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4">
        <w:r>
          <w:rPr>
            <w:rFonts w:ascii="Arial" w:cs="Arial" w:eastAsia="Arial" w:hAnsi="Arial"/>
            <w:sz w:val="18"/>
            <w:szCs w:val="18"/>
            <w:u w:val="single" w:color="auto"/>
            <w:color w:val="auto"/>
          </w:rPr>
          <w:t>See Note 12</w:t>
        </w:r>
      </w:hyperlink>
      <w:r>
        <w:rPr>
          <w:rFonts w:ascii="Arial" w:cs="Arial" w:eastAsia="Arial" w:hAnsi="Arial"/>
          <w:sz w:val="18"/>
          <w:szCs w:val="18"/>
          <w:color w:val="auto"/>
        </w:rPr>
        <w:t>. The following is a summary of the estimated fair values of the assets acquired and liabilities assumed: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7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318,007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(19,546)</w:t>
            </w: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(38,134)</w:t>
            </w: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0"/>
        </w:trPr>
        <w:tc>
          <w:tcPr>
            <w:tcW w:w="8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700" w:type="dxa"/>
            <w:vAlign w:val="bottom"/>
            <w:vMerge w:val="continue"/>
            <w:shd w:val="clear" w:color="auto" w:fill="CFF0FC"/>
          </w:tcPr>
          <w:p>
            <w:pPr>
              <w:spacing w:after="0"/>
              <w:rPr>
                <w:sz w:val="19"/>
                <w:szCs w:val="19"/>
                <w:color w:val="auto"/>
              </w:rPr>
            </w:pP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above purchase price allocation is considered preliminary and is subject to revision when the valuation of assets and liabilities is finalized upon receipt of the final valuation report from a third party valuation expert, and resolution of contractual adjustments, such as working capital adjustments, set forth in the merger agreement, which is anticipated to be finalized during the first half of 2018.</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goodwill arising from the transaction is primarily attributable to the expansion of our fiber network through the complementary nature of Southern Light’s fiber network to our existing fiber network, including anticipated incremental sales and cost savings. A portion of the goodwill is expected to be deductible for tax purposes.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acquired an intangible asset that was assigned to customer relationships of $160.1 million (15 year life).</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acquired business contributed revenue of $22.4 million and an operating income of $1.9 million, which excludes transaction and transition costs, to our consolidated results from the date of acquisition through September 30, 2017. We recorded transaction related costs related to the acquisition of Southern Light for the three and nine months ended September 30, 2017 of $2.1 million and $14.5 million, respectively, within transaction related costs on the Consolidated Statement of Income.</w:t>
      </w:r>
    </w:p>
    <w:p>
      <w:pPr>
        <w:spacing w:after="0" w:line="13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acquisition of Southern Light was structured in a manner such that Southern Light ended up being owned by a subsidiary of ours with a pre-existing valuation allowance primarily related to deferred tax assets associated with net operating loss carryforwards. The acquisition of Southern Light also resulted in a change to our assessment of the need for a valuation allowance against these deferred tax assets, which resulted in a decrease to the valuation allowance of $8.0 million. The decrease in valuation allowance was recorded as an income tax benefit for the quarter ended September 30, 2017.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Hunt Telecommunications, LLC</w:t>
      </w:r>
    </w:p>
    <w:p>
      <w:pPr>
        <w:spacing w:after="0" w:line="166" w:lineRule="exact"/>
        <w:rPr>
          <w:sz w:val="20"/>
          <w:szCs w:val="20"/>
          <w:color w:val="auto"/>
        </w:rPr>
      </w:pPr>
    </w:p>
    <w:p>
      <w:pPr>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On July 3, 2017, we acquired 100% of the outstanding equity of Hunt for $130.2 million in cash and 1.6 million common units in the Operating Partnership with an acquisition date fair value of $41.6 million. Additional contingent consideration of up to $17 million, with an acquisition date fair value of $16.4 million, may be paid upon the achievement of certain financial revenue milestones by delivering shares of our common stock. </w:t>
      </w:r>
      <w:hyperlink w:anchor="page16">
        <w:r>
          <w:rPr>
            <w:rFonts w:ascii="Arial" w:cs="Arial" w:eastAsia="Arial" w:hAnsi="Arial"/>
            <w:sz w:val="17"/>
            <w:szCs w:val="17"/>
            <w:u w:val="single" w:color="auto"/>
            <w:color w:val="auto"/>
          </w:rPr>
          <w:t>See Note 4</w:t>
        </w:r>
      </w:hyperlink>
      <w:r>
        <w:rPr>
          <w:rFonts w:ascii="Arial" w:cs="Arial" w:eastAsia="Arial" w:hAnsi="Arial"/>
          <w:sz w:val="20"/>
          <w:szCs w:val="20"/>
          <w:color w:val="auto"/>
        </w:rPr>
        <w:t>.</w:t>
      </w:r>
      <w:r>
        <w:rPr>
          <w:rFonts w:ascii="Arial" w:cs="Arial" w:eastAsia="Arial" w:hAnsi="Arial"/>
          <w:sz w:val="17"/>
          <w:szCs w:val="17"/>
          <w:color w:val="auto"/>
        </w:rPr>
        <w:t xml:space="preserve"> Hunt is a leading provider of data transport to K-12 schools and government agencies with a dense fiber network in Louisiana.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4">
        <w:r>
          <w:rPr>
            <w:rFonts w:ascii="Arial" w:cs="Arial" w:eastAsia="Arial" w:hAnsi="Arial"/>
            <w:sz w:val="17"/>
            <w:szCs w:val="17"/>
            <w:u w:val="single" w:color="auto"/>
            <w:color w:val="auto"/>
          </w:rPr>
          <w:t>See Note 12</w:t>
        </w:r>
      </w:hyperlink>
      <w:r>
        <w:rPr>
          <w:rFonts w:ascii="Arial" w:cs="Arial" w:eastAsia="Arial" w:hAnsi="Arial"/>
          <w:sz w:val="17"/>
          <w:szCs w:val="17"/>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7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92,275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(40,391)</w:t>
            </w: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8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700" w:type="dxa"/>
            <w:vAlign w:val="bottom"/>
            <w:vMerge w:val="continue"/>
            <w:shd w:val="clear" w:color="auto" w:fill="CFF0FC"/>
          </w:tcPr>
          <w:p>
            <w:pPr>
              <w:spacing w:after="0"/>
              <w:rPr>
                <w:sz w:val="19"/>
                <w:szCs w:val="19"/>
                <w:color w:val="auto"/>
              </w:rPr>
            </w:pP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color w:val="auto"/>
        </w:rPr>
        <w:t>The above purchase price allocation is considered preliminary and is subject to revision when the valuation of assets and liabilities is finalized upon receipt of the final valuation report from a third party valuation expert, which is anticipated to be finalized during the first half of 2018.</w:t>
      </w:r>
    </w:p>
    <w:p>
      <w:pPr>
        <w:spacing w:after="0" w:line="103"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The goodwill arising from the transaction is primarily attributable to the expansion of our fiber network through the complementary nature of Hunt’s fiber network to our existing fiber network, including anticipated incremental sales and cost savings. The goodwill is not expected to be deductible for tax purposes.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acquired an intangible asset that was assigned to customer relationships of $73 million (18 year life).</w:t>
      </w:r>
    </w:p>
    <w:p>
      <w:pPr>
        <w:spacing w:after="0" w:line="16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acquired business contributed revenue of $7.9 million and an operating income of $1.4 million, which excludes transaction and transition costs, to our consolidated results from the date of acquisition through September 30, 2017. We recorded transaction related costs related to the acquisition of Hunt for the three and nine months ended September 30, 2017 of $2.0 million and $5.7 million, respectively, within transaction related costs on the Consolidated Statement of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following table presents the unaudited pro forma summary of our financial results as if the Southern Light and Hunt business combinations had occurred on January 1, 2016.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on January 1, 2016.</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w w:val="98"/>
              </w:rPr>
              <w:t>Three Months Ended September 30,</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33"/>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r>
      <w:tr>
        <w:trPr>
          <w:trHeight w:val="246"/>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245,860</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231,545</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733,967</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654,475</w:t>
            </w:r>
          </w:p>
        </w:tc>
      </w:tr>
      <w:tr>
        <w:trPr>
          <w:trHeight w:val="226"/>
        </w:trPr>
        <w:tc>
          <w:tcPr>
            <w:tcW w:w="4920" w:type="dxa"/>
            <w:vAlign w:val="bottom"/>
            <w:gridSpan w:val="2"/>
          </w:tcPr>
          <w:p>
            <w:pPr>
              <w:spacing w:after="0"/>
              <w:rPr>
                <w:sz w:val="20"/>
                <w:szCs w:val="20"/>
                <w:color w:val="auto"/>
              </w:rPr>
            </w:pPr>
            <w:r>
              <w:rPr>
                <w:rFonts w:ascii="Arial" w:cs="Arial" w:eastAsia="Arial" w:hAnsi="Arial"/>
                <w:sz w:val="18"/>
                <w:szCs w:val="18"/>
                <w:color w:val="auto"/>
                <w:w w:val="94"/>
              </w:rPr>
              <w:t>Pro forma net income (loss) attributable to common shareholders</w:t>
            </w:r>
          </w:p>
        </w:tc>
        <w:tc>
          <w:tcPr>
            <w:tcW w:w="2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5,534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(23,961)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(1,058)</w:t>
            </w:r>
          </w:p>
        </w:tc>
      </w:tr>
      <w:tr>
        <w:trPr>
          <w:trHeight w:val="253"/>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 forma net income (loss) per common share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Cloud, Inc.</w:t>
      </w:r>
    </w:p>
    <w:p>
      <w:pPr>
        <w:spacing w:after="0" w:line="166" w:lineRule="exact"/>
        <w:rPr>
          <w:sz w:val="20"/>
          <w:szCs w:val="20"/>
          <w:color w:val="auto"/>
        </w:rPr>
      </w:pPr>
    </w:p>
    <w:p>
      <w:pPr>
        <w:ind w:right="20"/>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On August 31, 2016, we acquired 100% of the outstanding equity of Tower Cloud, Inc. (“Tower Cloud”) for $187.5 million in cash and 1.9 million shares of our common stock with an acquisition date fair value of $58.5 million. Additional contingent consideration of up to $130 million, with an acquisition date fair value of $98.6 million, may be paid upon the achievement of certain defined operational and financial milestones. </w:t>
      </w:r>
      <w:hyperlink w:anchor="page16">
        <w:r>
          <w:rPr>
            <w:rFonts w:ascii="Arial" w:cs="Arial" w:eastAsia="Arial" w:hAnsi="Arial"/>
            <w:sz w:val="17"/>
            <w:szCs w:val="17"/>
            <w:u w:val="single" w:color="auto"/>
            <w:color w:val="0000EE"/>
          </w:rPr>
          <w:t>See Note 4</w:t>
        </w:r>
      </w:hyperlink>
      <w:r>
        <w:rPr>
          <w:rFonts w:ascii="Arial" w:cs="Arial" w:eastAsia="Arial" w:hAnsi="Arial"/>
          <w:sz w:val="17"/>
          <w:szCs w:val="17"/>
          <w:color w:val="auto"/>
        </w:rPr>
        <w:t xml:space="preserve">. At the Company’s discretion, a combination of cash and shares of our common stock may be used to satisfy the contingent consideration payments, provided that at least 50% of the aggregate amount of payments is satisfied in cash. Tower Cloud provides data transport services, with particular focus on providing infrastructure solutions to the wireless and enterprise sectors, including fiber-to-the-tower backhaul, small cell networks, and dark fiber deployments.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4">
        <w:r>
          <w:rPr>
            <w:rFonts w:ascii="Arial" w:cs="Arial" w:eastAsia="Arial" w:hAnsi="Arial"/>
            <w:sz w:val="17"/>
            <w:szCs w:val="17"/>
            <w:u w:val="single" w:color="auto"/>
            <w:color w:val="0000EE"/>
          </w:rPr>
          <w:t>See Note 12</w:t>
        </w:r>
      </w:hyperlink>
      <w:r>
        <w:rPr>
          <w:rFonts w:ascii="Arial" w:cs="Arial" w:eastAsia="Arial" w:hAnsi="Arial"/>
          <w:sz w:val="17"/>
          <w:szCs w:val="17"/>
          <w:color w:val="auto"/>
        </w:rPr>
        <w:t xml:space="preserve">. During the first quarter of 2017, certain contractual working capital adjustments resulted in a $0.2 million reduction of the purchase price and goodwill. </w:t>
      </w:r>
      <w:hyperlink w:anchor="page19">
        <w:r>
          <w:rPr>
            <w:rFonts w:ascii="Arial" w:cs="Arial" w:eastAsia="Arial" w:hAnsi="Arial"/>
            <w:sz w:val="17"/>
            <w:szCs w:val="17"/>
            <w:u w:val="single" w:color="auto"/>
            <w:color w:val="0000EE"/>
          </w:rPr>
          <w:t>See Note 7</w:t>
        </w:r>
      </w:hyperlink>
      <w:r>
        <w:rPr>
          <w:rFonts w:ascii="Arial" w:cs="Arial" w:eastAsia="Arial" w:hAnsi="Arial"/>
          <w:sz w:val="17"/>
          <w:szCs w:val="17"/>
          <w:color w:val="auto"/>
        </w:rPr>
        <w:t>. The following is a summary of the estimated fair values of the assets acquired and liabilities assumed:</w:t>
      </w:r>
    </w:p>
    <w:p>
      <w:pPr>
        <w:spacing w:after="0" w:line="279"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69"/>
        </w:trPr>
        <w:tc>
          <w:tcPr>
            <w:tcW w:w="87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117,032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(16,782)</w:t>
            </w: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2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(24,866)</w:t>
            </w:r>
          </w:p>
        </w:tc>
        <w:tc>
          <w:tcPr>
            <w:tcW w:w="0" w:type="dxa"/>
            <w:vAlign w:val="bottom"/>
          </w:tcPr>
          <w:p>
            <w:pPr>
              <w:spacing w:after="0"/>
              <w:rPr>
                <w:sz w:val="1"/>
                <w:szCs w:val="1"/>
                <w:color w:val="auto"/>
              </w:rPr>
            </w:pPr>
          </w:p>
        </w:tc>
      </w:tr>
      <w:tr>
        <w:trPr>
          <w:trHeight w:val="226"/>
        </w:trPr>
        <w:tc>
          <w:tcPr>
            <w:tcW w:w="87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0"/>
        </w:trPr>
        <w:tc>
          <w:tcPr>
            <w:tcW w:w="8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700" w:type="dxa"/>
            <w:vAlign w:val="bottom"/>
            <w:vMerge w:val="continue"/>
            <w:shd w:val="clear" w:color="auto" w:fill="CFF0FC"/>
          </w:tcPr>
          <w:p>
            <w:pPr>
              <w:spacing w:after="0"/>
              <w:rPr>
                <w:sz w:val="19"/>
                <w:szCs w:val="19"/>
                <w:color w:val="auto"/>
              </w:rPr>
            </w:pP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i w:val="1"/>
          <w:iCs w:val="1"/>
          <w:color w:val="auto"/>
        </w:rPr>
        <w:t>PEG Bandwidth, LLC</w:t>
      </w:r>
    </w:p>
    <w:p>
      <w:pPr>
        <w:spacing w:after="0" w:line="166" w:lineRule="exact"/>
        <w:rPr>
          <w:rFonts w:ascii="Arial" w:cs="Arial" w:eastAsia="Arial" w:hAnsi="Arial"/>
          <w:sz w:val="17"/>
          <w:szCs w:val="17"/>
          <w:color w:val="auto"/>
        </w:rPr>
      </w:pPr>
    </w:p>
    <w:p>
      <w:pPr>
        <w:jc w:val="both"/>
        <w:ind w:right="60"/>
        <w:spacing w:after="0" w:line="253" w:lineRule="auto"/>
        <w:rPr>
          <w:sz w:val="20"/>
          <w:szCs w:val="20"/>
          <w:color w:val="auto"/>
        </w:rPr>
      </w:pPr>
      <w:r>
        <w:rPr>
          <w:rFonts w:ascii="Arial" w:cs="Arial" w:eastAsia="Arial" w:hAnsi="Arial"/>
          <w:sz w:val="18"/>
          <w:szCs w:val="18"/>
          <w:color w:val="auto"/>
        </w:rPr>
        <w:t>On May 2, 2016, we acquired 100% of the outstanding equity of PEG Bandwidth for $322.5 million in cash, the issuance of 87,500 shares of our 3.00% Series A Convertible Preferred Stock with a fair value of $78.6 million and 1 million shares of our common stock with an acquisition date fair value of $23.2 million. PEG Bandwidth is a leading provider of infrastructure solutions, including cell site backhaul and dark fiber, to the telecommunications industry. The acquisition was recorded by allocating the costs of the assets</w:t>
      </w:r>
    </w:p>
    <w:p>
      <w:pPr>
        <w:spacing w:after="0" w:line="200" w:lineRule="exact"/>
        <w:rPr>
          <w:rFonts w:ascii="Arial" w:cs="Arial" w:eastAsia="Arial" w:hAnsi="Arial"/>
          <w:sz w:val="17"/>
          <w:szCs w:val="17"/>
          <w:color w:val="auto"/>
        </w:rPr>
      </w:pPr>
    </w:p>
    <w:p>
      <w:pPr>
        <w:spacing w:after="0" w:line="231"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1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acquired based on their estimated fair values at the acquisition date. The excess of the cost of the acquisition over the fair value of the assets acquired is recorded as goodwill within our Fiber Infrastructure segment. </w:t>
      </w:r>
      <w:hyperlink w:anchor="page24">
        <w:r>
          <w:rPr>
            <w:rFonts w:ascii="Arial" w:cs="Arial" w:eastAsia="Arial" w:hAnsi="Arial"/>
            <w:sz w:val="18"/>
            <w:szCs w:val="18"/>
            <w:u w:val="single" w:color="auto"/>
            <w:color w:val="auto"/>
          </w:rPr>
          <w:t>See Note 12</w:t>
        </w:r>
      </w:hyperlink>
      <w:r>
        <w:rPr>
          <w:rFonts w:ascii="Arial" w:cs="Arial" w:eastAsia="Arial" w:hAnsi="Arial"/>
          <w:sz w:val="18"/>
          <w:szCs w:val="18"/>
          <w:color w:val="auto"/>
        </w:rPr>
        <w:t>. The following is a summary of the estimated fair values of the assets acquired and liabilities assumed: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7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r>
      <w:tr>
        <w:trPr>
          <w:trHeight w:val="246"/>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293,030</w:t>
            </w:r>
          </w:p>
        </w:tc>
        <w:tc>
          <w:tcPr>
            <w:tcW w:w="100" w:type="dxa"/>
            <w:vAlign w:val="bottom"/>
            <w:shd w:val="clear" w:color="auto" w:fill="CFF0FC"/>
          </w:tcPr>
          <w:p>
            <w:pPr>
              <w:spacing w:after="0"/>
              <w:rPr>
                <w:sz w:val="21"/>
                <w:szCs w:val="21"/>
                <w:color w:val="auto"/>
              </w:rPr>
            </w:pPr>
          </w:p>
        </w:tc>
      </w:tr>
      <w:tr>
        <w:trPr>
          <w:trHeight w:val="226"/>
        </w:trPr>
        <w:tc>
          <w:tcPr>
            <w:tcW w:w="8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7,003</w:t>
            </w:r>
          </w:p>
        </w:tc>
        <w:tc>
          <w:tcPr>
            <w:tcW w:w="100" w:type="dxa"/>
            <w:vAlign w:val="bottom"/>
          </w:tcPr>
          <w:p>
            <w:pPr>
              <w:spacing w:after="0"/>
              <w:rPr>
                <w:sz w:val="19"/>
                <w:szCs w:val="19"/>
                <w:color w:val="auto"/>
              </w:rPr>
            </w:pPr>
          </w:p>
        </w:tc>
      </w:tr>
      <w:tr>
        <w:trPr>
          <w:trHeight w:val="227"/>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FF0FC"/>
          </w:tcPr>
          <w:p>
            <w:pPr>
              <w:spacing w:after="0"/>
              <w:rPr>
                <w:sz w:val="19"/>
                <w:szCs w:val="19"/>
                <w:color w:val="auto"/>
              </w:rPr>
            </w:pPr>
          </w:p>
        </w:tc>
      </w:tr>
      <w:tr>
        <w:trPr>
          <w:trHeight w:val="226"/>
        </w:trPr>
        <w:tc>
          <w:tcPr>
            <w:tcW w:w="89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145,054</w:t>
            </w:r>
          </w:p>
        </w:tc>
        <w:tc>
          <w:tcPr>
            <w:tcW w:w="100" w:type="dxa"/>
            <w:vAlign w:val="bottom"/>
          </w:tcPr>
          <w:p>
            <w:pPr>
              <w:spacing w:after="0"/>
              <w:rPr>
                <w:sz w:val="19"/>
                <w:szCs w:val="19"/>
                <w:color w:val="auto"/>
              </w:rPr>
            </w:pPr>
          </w:p>
        </w:tc>
      </w:tr>
      <w:tr>
        <w:trPr>
          <w:trHeight w:val="227"/>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FF0FC"/>
          </w:tcPr>
          <w:p>
            <w:pPr>
              <w:spacing w:after="0"/>
              <w:rPr>
                <w:sz w:val="19"/>
                <w:szCs w:val="19"/>
                <w:color w:val="auto"/>
              </w:rPr>
            </w:pPr>
          </w:p>
        </w:tc>
      </w:tr>
      <w:tr>
        <w:trPr>
          <w:trHeight w:val="226"/>
        </w:trPr>
        <w:tc>
          <w:tcPr>
            <w:tcW w:w="89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r>
      <w:tr>
        <w:trPr>
          <w:trHeight w:val="227"/>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(8,643)</w:t>
            </w:r>
          </w:p>
        </w:tc>
      </w:tr>
      <w:tr>
        <w:trPr>
          <w:trHeight w:val="226"/>
        </w:trPr>
        <w:tc>
          <w:tcPr>
            <w:tcW w:w="89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(12,700)</w:t>
            </w:r>
          </w:p>
        </w:tc>
      </w:tr>
      <w:tr>
        <w:trPr>
          <w:trHeight w:val="227"/>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(49,195)</w:t>
            </w:r>
          </w:p>
        </w:tc>
      </w:tr>
      <w:tr>
        <w:trPr>
          <w:trHeight w:val="219"/>
        </w:trPr>
        <w:tc>
          <w:tcPr>
            <w:tcW w:w="894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424,294</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18"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Inputs other than quoted prices included within Level 1 that are observable for the asset or liability, either directly or indirectly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for the asset or liability</w:t>
      </w:r>
    </w:p>
    <w:p>
      <w:pPr>
        <w:spacing w:after="0" w:line="219"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liability, our outstanding notes and other debt, contingent consideration and accounts, interest and dividends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September 30, 2017 and December 31, 2016: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Quoted Prices in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6"/>
        </w:trPr>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Active Markets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9"/>
        </w:trPr>
        <w:tc>
          <w:tcPr>
            <w:tcW w:w="638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19"/>
        </w:trPr>
        <w:tc>
          <w:tcPr>
            <w:tcW w:w="6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September 30, 2017</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8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1,935,245</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2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1,935,245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80" w:type="dxa"/>
            <w:vAlign w:val="bottom"/>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523,188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979,575</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979,575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80" w:type="dxa"/>
            <w:vAlign w:val="bottom"/>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505,500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159,984</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159,984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80" w:type="dxa"/>
            <w:vAlign w:val="bottom"/>
          </w:tcPr>
          <w:p>
            <w:pPr>
              <w:ind w:left="120"/>
              <w:spacing w:after="0"/>
              <w:rPr>
                <w:sz w:val="20"/>
                <w:szCs w:val="20"/>
                <w:color w:val="auto"/>
              </w:rPr>
            </w:pPr>
            <w:r>
              <w:rPr>
                <w:rFonts w:ascii="Arial" w:cs="Arial" w:eastAsia="Arial" w:hAnsi="Arial"/>
                <w:sz w:val="18"/>
                <w:szCs w:val="18"/>
                <w:color w:val="auto"/>
              </w:rPr>
              <w:t>Derivative liability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104,117</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8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4,218,051</w:t>
            </w:r>
          </w:p>
        </w:tc>
        <w:tc>
          <w:tcPr>
            <w:tcW w:w="100" w:type="dxa"/>
            <w:vAlign w:val="bottom"/>
          </w:tcPr>
          <w:p>
            <w:pPr>
              <w:spacing w:after="0"/>
              <w:rPr>
                <w:sz w:val="20"/>
                <w:szCs w:val="20"/>
                <w:color w:val="auto"/>
              </w:rPr>
            </w:pPr>
          </w:p>
        </w:tc>
        <w:tc>
          <w:tcPr>
            <w:tcW w:w="1100" w:type="dxa"/>
            <w:vAlign w:val="bottom"/>
          </w:tcPr>
          <w:p>
            <w:pPr>
              <w:jc w:val="right"/>
              <w:ind w:right="922"/>
              <w:spacing w:after="0"/>
              <w:rPr>
                <w:sz w:val="20"/>
                <w:szCs w:val="20"/>
                <w:color w:val="auto"/>
              </w:rPr>
            </w:pPr>
            <w:r>
              <w:rPr>
                <w:rFonts w:ascii="Arial" w:cs="Arial" w:eastAsia="Arial" w:hAnsi="Arial"/>
                <w:sz w:val="18"/>
                <w:szCs w:val="18"/>
                <w:color w:val="auto"/>
                <w:w w:val="79"/>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4,113,934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104,117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Prices with</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9"/>
              <w:spacing w:after="0" w:line="147"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Prices with</w:t>
            </w: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9"/>
              <w:spacing w:after="0" w:line="147"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center"/>
              <w:ind w:left="9"/>
              <w:spacing w:after="0" w:line="147" w:lineRule="exact"/>
              <w:rPr>
                <w:sz w:val="20"/>
                <w:szCs w:val="20"/>
                <w:color w:val="auto"/>
              </w:rPr>
            </w:pPr>
            <w:r>
              <w:rPr>
                <w:rFonts w:ascii="Arial" w:cs="Arial" w:eastAsia="Arial" w:hAnsi="Arial"/>
                <w:sz w:val="14"/>
                <w:szCs w:val="14"/>
                <w:b w:val="1"/>
                <w:bCs w:val="1"/>
                <w:color w:val="auto"/>
                <w:w w:val="93"/>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9"/>
              <w:spacing w:after="0" w:line="147"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4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69"/>
        </w:trPr>
        <w:tc>
          <w:tcPr>
            <w:tcW w:w="610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20" w:type="dxa"/>
            <w:vAlign w:val="bottom"/>
          </w:tcPr>
          <w:p>
            <w:pPr>
              <w:jc w:val="center"/>
              <w:ind w:left="9"/>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9"/>
        </w:trPr>
        <w:tc>
          <w:tcPr>
            <w:tcW w:w="6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2016</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0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2,139,586</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2,139,586</w:t>
            </w:r>
          </w:p>
        </w:tc>
        <w:tc>
          <w:tcPr>
            <w:tcW w:w="320" w:type="dxa"/>
            <w:vAlign w:val="bottom"/>
            <w:gridSpan w:val="2"/>
            <w:shd w:val="clear" w:color="auto" w:fill="CFF0FC"/>
          </w:tcPr>
          <w:p>
            <w:pPr>
              <w:jc w:val="right"/>
              <w:ind w:right="6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00" w:type="dxa"/>
            <w:vAlign w:val="bottom"/>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569,250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1,176,600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1,176,600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00" w:type="dxa"/>
            <w:vAlign w:val="bottom"/>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404,000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Derivative liability</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98,600</w:t>
            </w:r>
          </w:p>
        </w:tc>
        <w:tc>
          <w:tcPr>
            <w:tcW w:w="1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4,394,138</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6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4,295,538</w:t>
            </w:r>
          </w:p>
        </w:tc>
        <w:tc>
          <w:tcPr>
            <w:tcW w:w="320" w:type="dxa"/>
            <w:vAlign w:val="bottom"/>
            <w:gridSpan w:val="2"/>
            <w:shd w:val="clear" w:color="auto" w:fill="CFF0FC"/>
          </w:tcPr>
          <w:p>
            <w:pPr>
              <w:jc w:val="right"/>
              <w:ind w:right="6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80" w:lineRule="exact"/>
        <w:rPr>
          <w:sz w:val="20"/>
          <w:szCs w:val="20"/>
          <w:color w:val="auto"/>
        </w:rPr>
      </w:pPr>
    </w:p>
    <w:p>
      <w:pPr>
        <w:ind w:right="100"/>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The total principal balance of our outstanding notes and other debt was $4.5 billion at September 30, 2017, with a fair value of $4.1 billion. The estimated fair value of our outstanding notes and other debt was based on available external pricing data and current market rates for similar debt instruments, among other factors, which are classified as Level 2 inputs within the fair value hierarchy. Derivative liabilities are carried at fair value. </w:t>
      </w:r>
      <w:hyperlink w:anchor="page18">
        <w:r>
          <w:rPr>
            <w:rFonts w:ascii="Arial" w:cs="Arial" w:eastAsia="Arial" w:hAnsi="Arial"/>
            <w:sz w:val="16"/>
            <w:szCs w:val="16"/>
            <w:u w:val="single" w:color="auto"/>
            <w:color w:val="0000EE"/>
          </w:rPr>
          <w:t>See Note 6</w:t>
        </w:r>
      </w:hyperlink>
      <w:r>
        <w:rPr>
          <w:rFonts w:ascii="Arial" w:cs="Arial" w:eastAsia="Arial" w:hAnsi="Arial"/>
          <w:sz w:val="16"/>
          <w:szCs w:val="16"/>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liabilities fall within Level 2 of the fair value hierarchy; however the associated credit valuation adjustments utilized Level 3 inputs, such as estimates of credit spreads, to evaluate the likelihood of default by the Company and its counterparties. As of September 30, 2017,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liabilities valuation in Level 2 of the fair value hierarchy.</w:t>
      </w:r>
    </w:p>
    <w:p>
      <w:pPr>
        <w:spacing w:after="0" w:line="172" w:lineRule="exact"/>
        <w:rPr>
          <w:sz w:val="20"/>
          <w:szCs w:val="20"/>
          <w:color w:val="auto"/>
        </w:rPr>
      </w:pPr>
    </w:p>
    <w:p>
      <w:pPr>
        <w:ind w:right="38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As part of the acquisition of Hunt on July 3, 2017, we may be obligated to pay contingent consideration (the “Hunt Contingent Consideration”) upon the achievement of certain defined revenue milestones; therefore, we have recorded the estimated fair value of contingent consideration of approximately $9.5 million as of September 30, 2017. </w:t>
      </w:r>
      <w:hyperlink w:anchor="page12">
        <w:r>
          <w:rPr>
            <w:rFonts w:ascii="Arial" w:cs="Arial" w:eastAsia="Arial" w:hAnsi="Arial"/>
            <w:sz w:val="17"/>
            <w:szCs w:val="17"/>
            <w:u w:val="single" w:color="auto"/>
            <w:color w:val="0000EE"/>
          </w:rPr>
          <w:t>See Note 3</w:t>
        </w:r>
      </w:hyperlink>
      <w:r>
        <w:rPr>
          <w:rFonts w:ascii="Arial" w:cs="Arial" w:eastAsia="Arial" w:hAnsi="Arial"/>
          <w:sz w:val="17"/>
          <w:szCs w:val="17"/>
          <w:color w:val="auto"/>
        </w:rPr>
        <w:t>. In accordance with the Hunt merger agreement, Uniti common shares will be used to satisfy the contingent consideration payment. The fair value of the Hunt Contingent Consideration at September 30, 2017 was determined using the closing price of our common shares in the active market and probability estimates of future earnings and is classified as Level 3.</w:t>
      </w:r>
    </w:p>
    <w:p>
      <w:pPr>
        <w:spacing w:after="0" w:line="178"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$94.6 million as of September 30, 2017. The fair value of the contingent consideration as of September 30, 2017, was determined using a discounted cash flow model and probability adjusted estimates of the future earnings and is classified as Level 3. During the three and nine months ended September 30, 2017, we paid $1.2 million and $20.0 million, respectively, for the achievement of certain milestones in accordance with the Tower Cloud merger agreement.</w:t>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Changes in the fair value of contingent consideration arrangements are recorded in our Condensed Consolidated Statement of Income in the period in which the change occurs. For the three months ended September 30, 2017, there was a $3.9 million decrease in the fair value of the contingent consideration that was recorded in Other (income) expense on the Condensed Consolidated Statements of Income. For the nine months ended September 30, 2017, there was a $9.1 million increase in the fair value of the contingent consideration that was recorded in Other (income) expense on the Condensed Consolidated Statements of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Pr>
          <w:p>
            <w:pPr>
              <w:spacing w:after="0"/>
              <w:rPr>
                <w:sz w:val="14"/>
                <w:szCs w:val="14"/>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Transfers into Level 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80"/>
              <w:spacing w:after="0"/>
              <w:rPr>
                <w:sz w:val="20"/>
                <w:szCs w:val="20"/>
                <w:color w:val="auto"/>
              </w:rPr>
            </w:pPr>
            <w:r>
              <w:rPr>
                <w:rFonts w:ascii="Arial" w:cs="Arial" w:eastAsia="Arial" w:hAnsi="Arial"/>
                <w:sz w:val="14"/>
                <w:szCs w:val="14"/>
                <w:b w:val="1"/>
                <w:bCs w:val="1"/>
                <w:color w:val="auto"/>
              </w:rPr>
              <w:t>(Gain)/Loss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Settlements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included in earnings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98,600</w:t>
            </w:r>
          </w:p>
        </w:tc>
        <w:tc>
          <w:tcPr>
            <w:tcW w:w="76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16,425</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9,091</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(19,999)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property, plant and equipment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4"/>
                <w:szCs w:val="14"/>
                <w:b w:val="1"/>
                <w:bCs w:val="1"/>
                <w:color w:val="auto"/>
              </w:rPr>
              <w:t>Depreciable Lives</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Indefinite</w:t>
            </w:r>
          </w:p>
        </w:tc>
        <w:tc>
          <w:tcPr>
            <w:tcW w:w="46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26,898</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w w:val="89"/>
              </w:rPr>
              <w:t>- 40 years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324,692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318,967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9"/>
              </w:rPr>
              <w:t>- 99 years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gridSpan w:val="2"/>
          </w:tcPr>
          <w:p>
            <w:pPr>
              <w:spacing w:after="0"/>
              <w:rPr>
                <w:sz w:val="20"/>
                <w:szCs w:val="20"/>
                <w:color w:val="auto"/>
              </w:rPr>
            </w:pPr>
            <w:r>
              <w:rPr>
                <w:rFonts w:ascii="Arial" w:cs="Arial" w:eastAsia="Arial" w:hAnsi="Arial"/>
                <w:sz w:val="18"/>
                <w:szCs w:val="18"/>
                <w:color w:val="auto"/>
              </w:rPr>
              <w:t>Poles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w w:val="89"/>
              </w:rPr>
              <w:t>- 40 years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242,248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234,393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9"/>
              </w:rPr>
              <w:t>- 40 years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2,587,647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6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w w:val="84"/>
              </w:rPr>
              <w:t>5 - 7 years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200,542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130,945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9"/>
              </w:rPr>
              <w:t>- 40 years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3,626,505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w w:val="89"/>
              </w:rPr>
              <w:t>- 47 years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91,179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9"/>
              </w:rPr>
              <w:t>- 49 years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gridSpan w:val="2"/>
          </w:tcPr>
          <w:p>
            <w:pPr>
              <w:spacing w:after="0"/>
              <w:rPr>
                <w:sz w:val="20"/>
                <w:szCs w:val="20"/>
                <w:color w:val="auto"/>
              </w:rPr>
            </w:pPr>
            <w:r>
              <w:rPr>
                <w:rFonts w:ascii="Arial" w:cs="Arial" w:eastAsia="Arial" w:hAnsi="Arial"/>
                <w:sz w:val="18"/>
                <w:szCs w:val="18"/>
                <w:color w:val="auto"/>
              </w:rPr>
              <w:t>Capital lease assets</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97,283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9"/>
              </w:rPr>
              <w:t>- 20 years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6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w w:val="84"/>
              </w:rPr>
              <w:t>3 - 7 years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7,418,714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6,751,076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(4,381,245)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(4,081,039)</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property, plant and equipment</w:t>
            </w: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3,037,469</w:t>
            </w:r>
          </w:p>
        </w:tc>
        <w:tc>
          <w:tcPr>
            <w:tcW w:w="2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2,670,037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635</wp:posOffset>
            </wp:positionV>
            <wp:extent cx="275399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3995" cy="25400"/>
                    </a:xfrm>
                    <a:prstGeom prst="rect">
                      <a:avLst/>
                    </a:prstGeom>
                    <a:noFill/>
                  </pic:spPr>
                </pic:pic>
              </a:graphicData>
            </a:graphic>
          </wp:anchor>
        </w:drawing>
      </w:r>
    </w:p>
    <w:p>
      <w:pPr>
        <w:spacing w:after="0" w:line="9" w:lineRule="exact"/>
        <w:rPr>
          <w:sz w:val="20"/>
          <w:szCs w:val="20"/>
          <w:color w:val="auto"/>
        </w:rPr>
      </w:pPr>
    </w:p>
    <w:p>
      <w:pPr>
        <w:ind w:left="220" w:hanging="214"/>
        <w:spacing w:after="0"/>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color w:val="auto"/>
        </w:rPr>
        <w:t>See our Annual Report for property, plant and equipment accounting policies.</w:t>
      </w:r>
    </w:p>
    <w:p>
      <w:pPr>
        <w:spacing w:after="0" w:line="21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Depreciation expense for the three and nine months ended September 30, 2017 was $107.1 million and $305.8 million, respectively. Depreciation expense for the three and nine months ended September 30, 2016 was $95.0 million and $271.7 million, respectively.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 and Hedging Activities</w:t>
      </w:r>
    </w:p>
    <w:p>
      <w:pPr>
        <w:spacing w:after="0" w:line="118"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$2.12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88"/>
              </w:rPr>
              <w:t>Location on Condensed Consolidated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6"/>
              </w:rPr>
              <w:t>September 30, 2017</w:t>
            </w:r>
          </w:p>
        </w:tc>
        <w:tc>
          <w:tcPr>
            <w:tcW w:w="2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December 31, 2016</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Balance Sheet</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Derivative liability</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of September 30, 2017 and December 31, 2016, all of the interest rate swaps were valued in net unrealized loss positions and recognized as liability balances within the derivative liability balance. For the three and nine months ended September 30, 2017, the amount recorded in other comprehensive income related to the unrealized loss on derivative instruments was $2.9 million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$20.6 million, respectively. The amount reclassified out of other comprehensive income into interest expense on our Condensed Consolidated Statement of Income for the three and nine months ended September 30, 2017 was $4.7 million and $16.3 million, respectively. For the three and nine months ended September 30, 2016, the amount recorded in other comprehensive income related to the unrealized loss on derivative instruments was $7.8 million and $81.2 million, respectively. The amount reclassified out of other comprehensive income into interest expense on our Condensed Consolidated Statement of Income for the three and nine months ended September 30, 2016 was $6.0 million and $17.8 million, respectively. For the three and nine months ended September 30, 2017, there was no ineffective portion of the change in fair value derivatives. For the three and nine months ended September 30, 2016, there was no ineffective portion of the change in fair value derivatives.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reported in accumulated other comprehensive income (loss) related to derivatives will be reclassified to interest expense as interest payments are made on our variable-rate debt. During the next twelve months, beginning October 1, 2017, we estimate that $21.7 million will be reclassified as an increase to interest expense.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and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nine months ended September 30, 2017,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Fiber Infrastructure</w:t>
            </w:r>
          </w:p>
        </w:tc>
        <w:tc>
          <w:tcPr>
            <w:tcW w:w="38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35"/>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7"/>
                <w:szCs w:val="17"/>
                <w:color w:val="auto"/>
              </w:rPr>
            </w:pPr>
          </w:p>
        </w:tc>
      </w:tr>
      <w:tr>
        <w:trPr>
          <w:trHeight w:val="219"/>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 at December 31, 2016</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262,334</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262,334</w:t>
            </w:r>
          </w:p>
        </w:tc>
        <w:tc>
          <w:tcPr>
            <w:tcW w:w="100" w:type="dxa"/>
            <w:vAlign w:val="bottom"/>
            <w:shd w:val="clear" w:color="auto" w:fill="CFF0FC"/>
          </w:tcPr>
          <w:p>
            <w:pPr>
              <w:spacing w:after="0"/>
              <w:rPr>
                <w:sz w:val="19"/>
                <w:szCs w:val="19"/>
                <w:color w:val="auto"/>
              </w:rPr>
            </w:pPr>
          </w:p>
        </w:tc>
      </w:tr>
      <w:tr>
        <w:trPr>
          <w:trHeight w:val="226"/>
        </w:trPr>
        <w:tc>
          <w:tcPr>
            <w:tcW w:w="5860" w:type="dxa"/>
            <w:vAlign w:val="bottom"/>
            <w:gridSpan w:val="2"/>
          </w:tcPr>
          <w:p>
            <w:pPr>
              <w:spacing w:after="0"/>
              <w:rPr>
                <w:sz w:val="20"/>
                <w:szCs w:val="20"/>
                <w:color w:val="auto"/>
              </w:rPr>
            </w:pPr>
            <w:r>
              <w:rPr>
                <w:rFonts w:ascii="Arial" w:cs="Arial" w:eastAsia="Arial" w:hAnsi="Arial"/>
                <w:sz w:val="18"/>
                <w:szCs w:val="18"/>
                <w:color w:val="auto"/>
              </w:rPr>
              <w:t>Goodwill purchase accounting adjustments</w:t>
            </w:r>
          </w:p>
        </w:tc>
        <w:tc>
          <w:tcPr>
            <w:tcW w:w="360" w:type="dxa"/>
            <w:vAlign w:val="bottom"/>
          </w:tcPr>
          <w:p>
            <w:pPr>
              <w:spacing w:after="0"/>
              <w:rPr>
                <w:sz w:val="19"/>
                <w:szCs w:val="19"/>
                <w:color w:val="auto"/>
              </w:rPr>
            </w:pPr>
          </w:p>
        </w:tc>
        <w:tc>
          <w:tcPr>
            <w:tcW w:w="256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60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27"/>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 associated with 2017 acquisitions</w:t>
            </w:r>
          </w:p>
        </w:tc>
        <w:tc>
          <w:tcPr>
            <w:tcW w:w="36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410,282</w:t>
            </w:r>
          </w:p>
        </w:tc>
        <w:tc>
          <w:tcPr>
            <w:tcW w:w="3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410,282</w:t>
            </w:r>
          </w:p>
        </w:tc>
        <w:tc>
          <w:tcPr>
            <w:tcW w:w="100" w:type="dxa"/>
            <w:vAlign w:val="bottom"/>
            <w:shd w:val="clear" w:color="auto" w:fill="CFF0FC"/>
          </w:tcPr>
          <w:p>
            <w:pPr>
              <w:spacing w:after="0"/>
              <w:rPr>
                <w:sz w:val="19"/>
                <w:szCs w:val="19"/>
                <w:color w:val="auto"/>
              </w:rPr>
            </w:pPr>
          </w:p>
        </w:tc>
      </w:tr>
      <w:tr>
        <w:trPr>
          <w:trHeight w:val="219"/>
        </w:trPr>
        <w:tc>
          <w:tcPr>
            <w:tcW w:w="5860" w:type="dxa"/>
            <w:vAlign w:val="bottom"/>
            <w:gridSpan w:val="2"/>
          </w:tcPr>
          <w:p>
            <w:pPr>
              <w:spacing w:after="0"/>
              <w:rPr>
                <w:sz w:val="20"/>
                <w:szCs w:val="20"/>
                <w:color w:val="auto"/>
              </w:rPr>
            </w:pPr>
            <w:r>
              <w:rPr>
                <w:rFonts w:ascii="Arial" w:cs="Arial" w:eastAsia="Arial" w:hAnsi="Arial"/>
                <w:sz w:val="18"/>
                <w:szCs w:val="18"/>
                <w:color w:val="auto"/>
              </w:rPr>
              <w:t>Goodwill at September 30, 2017</w:t>
            </w:r>
          </w:p>
        </w:tc>
        <w:tc>
          <w:tcPr>
            <w:tcW w:w="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672,368</w:t>
            </w:r>
          </w:p>
        </w:tc>
        <w:tc>
          <w:tcPr>
            <w:tcW w:w="3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672,368</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intangible assets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September 30, 2017</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December 31, 2016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4"/>
          </w:tcPr>
          <w:p>
            <w:pPr>
              <w:ind w:left="100"/>
              <w:spacing w:after="0"/>
              <w:rPr>
                <w:sz w:val="20"/>
                <w:szCs w:val="20"/>
                <w:color w:val="auto"/>
              </w:rPr>
            </w:pPr>
            <w:r>
              <w:rPr>
                <w:rFonts w:ascii="Arial" w:cs="Arial" w:eastAsia="Arial" w:hAnsi="Arial"/>
                <w:sz w:val="14"/>
                <w:szCs w:val="14"/>
                <w:b w:val="1"/>
                <w:bCs w:val="1"/>
                <w:color w:val="auto"/>
              </w:rPr>
              <w:t>Accumulated Amortization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Cost</w:t>
            </w: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Accumulated Amortization</w:t>
            </w:r>
          </w:p>
        </w:tc>
        <w:tc>
          <w:tcPr>
            <w:tcW w:w="0" w:type="dxa"/>
            <w:vAlign w:val="bottom"/>
          </w:tcPr>
          <w:p>
            <w:pPr>
              <w:spacing w:after="0"/>
              <w:rPr>
                <w:sz w:val="1"/>
                <w:szCs w:val="1"/>
                <w:color w:val="auto"/>
              </w:rPr>
            </w:pPr>
          </w:p>
        </w:tc>
      </w:tr>
      <w:tr>
        <w:trPr>
          <w:trHeight w:val="233"/>
        </w:trPr>
        <w:tc>
          <w:tcPr>
            <w:tcW w:w="3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0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6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00" w:type="dxa"/>
            <w:vAlign w:val="bottom"/>
            <w:gridSpan w:val="2"/>
          </w:tcPr>
          <w:p>
            <w:pPr>
              <w:spacing w:after="0"/>
              <w:rPr>
                <w:sz w:val="20"/>
                <w:szCs w:val="20"/>
                <w:color w:val="auto"/>
              </w:rPr>
            </w:pPr>
            <w:r>
              <w:rPr>
                <w:rFonts w:ascii="Arial" w:cs="Arial" w:eastAsia="Arial" w:hAnsi="Arial"/>
                <w:sz w:val="18"/>
                <w:szCs w:val="18"/>
                <w:color w:val="auto"/>
              </w:rPr>
              <w:t>Finite life intangible assets: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10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421,744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(40,120)</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188,642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(30,058)</w:t>
            </w: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color w:val="auto"/>
              </w:rPr>
              <w:t>Tenant contracts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Network</w:t>
            </w:r>
            <w:r>
              <w:rPr>
                <w:rFonts w:ascii="Arial" w:cs="Arial" w:eastAsia="Arial" w:hAnsi="Arial"/>
                <w:sz w:val="15"/>
                <w:szCs w:val="15"/>
                <w:color w:val="auto"/>
              </w:rPr>
              <w:t>(1)</w:t>
            </w:r>
          </w:p>
        </w:tc>
        <w:tc>
          <w:tcPr>
            <w:tcW w:w="10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00" w:type="dxa"/>
            <w:vAlign w:val="bottom"/>
            <w:gridSpan w:val="2"/>
          </w:tcPr>
          <w:p>
            <w:pPr>
              <w:spacing w:after="0"/>
              <w:rPr>
                <w:sz w:val="20"/>
                <w:szCs w:val="20"/>
                <w:color w:val="auto"/>
              </w:rPr>
            </w:pPr>
            <w:r>
              <w:rPr>
                <w:rFonts w:ascii="Arial" w:cs="Arial" w:eastAsia="Arial" w:hAnsi="Arial"/>
                <w:sz w:val="18"/>
                <w:szCs w:val="18"/>
                <w:color w:val="auto"/>
              </w:rPr>
              <w:t>Acquired below-market leases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6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479,896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190,642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0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(41,877)</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(30,058)</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assets, net</w:t>
            </w: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900" w:type="dxa"/>
            <w:vAlign w:val="bottom"/>
            <w:gridSpan w:val="2"/>
            <w:vMerge w:val="continue"/>
          </w:tcPr>
          <w:p>
            <w:pPr>
              <w:spacing w:after="0"/>
              <w:rPr>
                <w:sz w:val="23"/>
                <w:szCs w:val="23"/>
                <w:color w:val="auto"/>
              </w:rPr>
            </w:pP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438,019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160,584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00" w:type="dxa"/>
            <w:vAlign w:val="bottom"/>
            <w:gridSpan w:val="2"/>
          </w:tcPr>
          <w:p>
            <w:pPr>
              <w:spacing w:after="0"/>
              <w:rPr>
                <w:sz w:val="20"/>
                <w:szCs w:val="20"/>
                <w:color w:val="auto"/>
              </w:rPr>
            </w:pPr>
            <w:r>
              <w:rPr>
                <w:rFonts w:ascii="Arial" w:cs="Arial" w:eastAsia="Arial" w:hAnsi="Arial"/>
                <w:sz w:val="18"/>
                <w:szCs w:val="18"/>
                <w:color w:val="auto"/>
              </w:rPr>
              <w:t>Finite life intangible liabilities: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above-market leases</w:t>
            </w:r>
          </w:p>
        </w:tc>
        <w:tc>
          <w:tcPr>
            <w:tcW w:w="1020" w:type="dxa"/>
            <w:vAlign w:val="bottom"/>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Finite life intangible liabilities:</w:t>
            </w:r>
          </w:p>
        </w:tc>
        <w:tc>
          <w:tcPr>
            <w:tcW w:w="10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color w:val="auto"/>
              </w:rPr>
              <w:t>Acquired above-market leases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0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00" w:type="dxa"/>
            <w:vAlign w:val="bottom"/>
            <w:gridSpan w:val="2"/>
          </w:tcPr>
          <w:p>
            <w:pPr>
              <w:spacing w:after="0"/>
              <w:rPr>
                <w:sz w:val="20"/>
                <w:szCs w:val="20"/>
                <w:color w:val="auto"/>
              </w:rPr>
            </w:pPr>
            <w:r>
              <w:rPr>
                <w:rFonts w:ascii="Arial" w:cs="Arial" w:eastAsia="Arial" w:hAnsi="Arial"/>
                <w:sz w:val="18"/>
                <w:szCs w:val="18"/>
                <w:color w:val="auto"/>
              </w:rPr>
              <w:t>Total intangible liabilities, net</w:t>
            </w:r>
            <w:r>
              <w:rPr>
                <w:rFonts w:ascii="Arial" w:cs="Arial" w:eastAsia="Arial" w:hAnsi="Arial"/>
                <w:sz w:val="15"/>
                <w:szCs w:val="15"/>
                <w:color w:val="auto"/>
              </w:rPr>
              <w:t>(2)</w:t>
            </w: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right="80" w:hanging="374"/>
        <w:spacing w:after="0" w:line="266"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potential to lease additional tower capacity on the existing towers due to their geographical location and capacity that currently exists on these towers as of the valuation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4"/>
          <w:szCs w:val="14"/>
          <w:color w:val="auto"/>
        </w:rPr>
        <w:t>Recorded in accounts payable, accrued expenses and other liabilities on the Condensed Consolidated Balance Sheet.</w:t>
      </w:r>
    </w:p>
    <w:p>
      <w:pPr>
        <w:spacing w:after="0" w:line="11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Amortization expense for the three and nine months ended September 30, 2017 was $6.3 million and $11.6 million, respectively. Amortization expense for the three and nine months ended September 30, 2016 was $1.7 million and $3.7 million, respectively.</w:t>
      </w:r>
    </w:p>
    <w:p>
      <w:pPr>
        <w:spacing w:after="0" w:line="7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Amortization expense is estimated to be $18.3 million for the full year of 2017, $25.1 million in 2018, $24.5 million in 2019, $24.0 million in 2020, and $23.5 million in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and Other Debt</w:t>
      </w:r>
    </w:p>
    <w:p>
      <w:pPr>
        <w:spacing w:after="0" w:line="118"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(Thousands)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2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86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4,512,157</w:t>
            </w:r>
          </w:p>
        </w:tc>
        <w:tc>
          <w:tcPr>
            <w:tcW w:w="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4,167,967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40" w:type="dxa"/>
            <w:vAlign w:val="bottom"/>
            <w:gridSpan w:val="2"/>
          </w:tcPr>
          <w:p>
            <w:pPr>
              <w:spacing w:after="0"/>
              <w:rPr>
                <w:sz w:val="20"/>
                <w:szCs w:val="20"/>
                <w:color w:val="auto"/>
              </w:rPr>
            </w:pPr>
            <w:r>
              <w:rPr>
                <w:rFonts w:ascii="Arial" w:cs="Arial" w:eastAsia="Arial" w:hAnsi="Arial"/>
                <w:sz w:val="18"/>
                <w:szCs w:val="18"/>
                <w:color w:val="auto"/>
                <w:w w:val="99"/>
              </w:rPr>
              <w:t>Less unamortized discount, premium and debt issuance costs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(150,194)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(139,753)</w:t>
            </w:r>
          </w:p>
        </w:tc>
        <w:tc>
          <w:tcPr>
            <w:tcW w:w="0" w:type="dxa"/>
            <w:vAlign w:val="bottom"/>
          </w:tcPr>
          <w:p>
            <w:pPr>
              <w:spacing w:after="0"/>
              <w:rPr>
                <w:sz w:val="1"/>
                <w:szCs w:val="1"/>
                <w:color w:val="auto"/>
              </w:rPr>
            </w:pPr>
          </w:p>
        </w:tc>
      </w:tr>
      <w:tr>
        <w:trPr>
          <w:trHeight w:val="21"/>
        </w:trPr>
        <w:tc>
          <w:tcPr>
            <w:tcW w:w="636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w w:val="96"/>
              </w:rPr>
              <w:t>Notes and other debt less unamortized discount, premium and debt issuance costs</w:t>
            </w: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360" w:type="dxa"/>
            <w:vAlign w:val="bottom"/>
            <w:gridSpan w:val="4"/>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spacing w:after="0"/>
              <w:rPr>
                <w:sz w:val="20"/>
                <w:szCs w:val="20"/>
                <w:color w:val="auto"/>
              </w:rPr>
            </w:pPr>
          </w:p>
        </w:tc>
        <w:tc>
          <w:tcPr>
            <w:tcW w:w="1040" w:type="dxa"/>
            <w:vAlign w:val="bottom"/>
            <w:shd w:val="clear" w:color="auto" w:fill="CFF0FC"/>
          </w:tcPr>
          <w:p>
            <w:pPr>
              <w:jc w:val="right"/>
              <w:ind w:right="863"/>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4,361,963</w:t>
            </w:r>
          </w:p>
        </w:tc>
        <w:tc>
          <w:tcPr>
            <w:tcW w:w="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4,028,214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gridSpan w:val="4"/>
          </w:tcPr>
          <w:p>
            <w:pPr>
              <w:spacing w:after="0" w:line="20" w:lineRule="exact"/>
              <w:rPr>
                <w:sz w:val="1"/>
                <w:szCs w:val="1"/>
                <w:color w:val="auto"/>
              </w:rPr>
            </w:pPr>
          </w:p>
        </w:tc>
        <w:tc>
          <w:tcPr>
            <w:tcW w:w="180" w:type="dxa"/>
            <w:vAlign w:val="bottom"/>
            <w:tcBorders>
              <w:top w:val="single" w:sz="8" w:color="CFF0FC"/>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60" w:type="dxa"/>
            <w:vAlign w:val="bottom"/>
            <w:gridSpan w:val="10"/>
          </w:tcPr>
          <w:p>
            <w:pPr>
              <w:spacing w:after="0"/>
              <w:rPr>
                <w:sz w:val="20"/>
                <w:szCs w:val="20"/>
                <w:color w:val="auto"/>
              </w:rPr>
            </w:pPr>
            <w:r>
              <w:rPr>
                <w:rFonts w:ascii="Arial" w:cs="Arial" w:eastAsia="Arial" w:hAnsi="Arial"/>
                <w:sz w:val="18"/>
                <w:szCs w:val="18"/>
                <w:color w:val="auto"/>
              </w:rPr>
              <w:t>Notes and other debt at September 30, 2017 and December 31, 2016 consisted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863"/>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875"/>
              <w:spacing w:after="0"/>
              <w:rPr>
                <w:sz w:val="20"/>
                <w:szCs w:val="20"/>
                <w:color w:val="auto"/>
              </w:rPr>
            </w:pPr>
            <w:r>
              <w:rPr>
                <w:rFonts w:ascii="Arial" w:cs="Arial" w:eastAsia="Arial" w:hAnsi="Arial"/>
                <w:sz w:val="14"/>
                <w:szCs w:val="14"/>
                <w:b w:val="1"/>
                <w:bCs w:val="1"/>
                <w:color w:val="auto"/>
                <w:w w:val="99"/>
              </w:rPr>
              <w:t>December 31, 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23"/>
              <w:spacing w:after="0" w:line="131" w:lineRule="exact"/>
              <w:rPr>
                <w:sz w:val="20"/>
                <w:szCs w:val="20"/>
                <w:color w:val="auto"/>
              </w:rPr>
            </w:pPr>
            <w:r>
              <w:rPr>
                <w:rFonts w:ascii="Arial" w:cs="Arial" w:eastAsia="Arial" w:hAnsi="Arial"/>
                <w:sz w:val="14"/>
                <w:szCs w:val="14"/>
                <w:b w:val="1"/>
                <w:bCs w:val="1"/>
                <w:color w:val="auto"/>
                <w:w w:val="91"/>
              </w:rPr>
              <w:t>Unamortized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Unamortized Discount</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Discount, Premium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and Debt Issuance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0"/>
              </w:rPr>
              <w:t>and Debt Issuance</w:t>
            </w:r>
          </w:p>
        </w:tc>
        <w:tc>
          <w:tcPr>
            <w:tcW w:w="0" w:type="dxa"/>
            <w:vAlign w:val="bottom"/>
          </w:tcPr>
          <w:p>
            <w:pPr>
              <w:spacing w:after="0"/>
              <w:rPr>
                <w:sz w:val="1"/>
                <w:szCs w:val="1"/>
                <w:color w:val="auto"/>
              </w:rPr>
            </w:pPr>
          </w:p>
        </w:tc>
      </w:tr>
      <w:tr>
        <w:trPr>
          <w:trHeight w:val="169"/>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b w:val="1"/>
                <w:bCs w:val="1"/>
                <w:color w:val="auto"/>
                <w:w w:val="87"/>
              </w:rPr>
              <w:t>Costs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Senior secured term loan B - variable rate, due October 24, 2022</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5.66%)</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2,092,157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(91,302)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2,107,967</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(78,699)</w:t>
            </w:r>
          </w:p>
        </w:tc>
        <w:tc>
          <w:tcPr>
            <w:tcW w:w="0" w:type="dxa"/>
            <w:vAlign w:val="bottom"/>
          </w:tcPr>
          <w:p>
            <w:pPr>
              <w:spacing w:after="0"/>
              <w:rPr>
                <w:sz w:val="1"/>
                <w:szCs w:val="1"/>
                <w:color w:val="auto"/>
              </w:rPr>
            </w:pPr>
          </w:p>
        </w:tc>
      </w:tr>
      <w:tr>
        <w:trPr>
          <w:trHeight w:val="214"/>
        </w:trPr>
        <w:tc>
          <w:tcPr>
            <w:tcW w:w="4940" w:type="dxa"/>
            <w:vAlign w:val="bottom"/>
            <w:gridSpan w:val="2"/>
          </w:tcPr>
          <w:p>
            <w:pPr>
              <w:spacing w:after="0"/>
              <w:rPr>
                <w:sz w:val="20"/>
                <w:szCs w:val="20"/>
                <w:color w:val="auto"/>
              </w:rPr>
            </w:pPr>
            <w:r>
              <w:rPr>
                <w:rFonts w:ascii="Arial" w:cs="Arial" w:eastAsia="Arial" w:hAnsi="Arial"/>
                <w:sz w:val="18"/>
                <w:szCs w:val="18"/>
                <w:color w:val="auto"/>
              </w:rPr>
              <w:t>Senior secured notes - 6.00%, due April 15, 2023</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6.29%)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(8,961)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550,000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- 8.25%, due October 15, 2023</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9.06%)</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(42,062)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(45,599)</w:t>
            </w:r>
          </w:p>
        </w:tc>
        <w:tc>
          <w:tcPr>
            <w:tcW w:w="0" w:type="dxa"/>
            <w:vAlign w:val="bottom"/>
          </w:tcPr>
          <w:p>
            <w:pPr>
              <w:spacing w:after="0"/>
              <w:rPr>
                <w:sz w:val="1"/>
                <w:szCs w:val="1"/>
                <w:color w:val="auto"/>
              </w:rPr>
            </w:pPr>
          </w:p>
        </w:tc>
      </w:tr>
      <w:tr>
        <w:trPr>
          <w:trHeight w:val="239"/>
        </w:trPr>
        <w:tc>
          <w:tcPr>
            <w:tcW w:w="4940" w:type="dxa"/>
            <w:vAlign w:val="bottom"/>
            <w:gridSpan w:val="2"/>
          </w:tcPr>
          <w:p>
            <w:pPr>
              <w:spacing w:after="0"/>
              <w:rPr>
                <w:sz w:val="20"/>
                <w:szCs w:val="20"/>
                <w:color w:val="auto"/>
              </w:rPr>
            </w:pPr>
            <w:r>
              <w:rPr>
                <w:rFonts w:ascii="Arial" w:cs="Arial" w:eastAsia="Arial" w:hAnsi="Arial"/>
                <w:sz w:val="18"/>
                <w:szCs w:val="18"/>
                <w:color w:val="auto"/>
              </w:rPr>
              <w:t>Senior unsecured notes - 7.125% due December 15, 2024</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(7,869)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400,000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Senior secured revolving credit facility, variable rate, due April 24,</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4,512,157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(150,194)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4,167,967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(139,753)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At September 30, 2017, notes and other debt included the following: (i) $2.1 billion under the senior secured term loan B facility that matures on October 24, 2022 (“Term Loan Facility”) pursuant to the credit agreement by and among the Operating Partnership,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(iv) $600 million aggregate principal amount of 7.125% Senior Unsecured Notes due December 15, 2024 (the “2024 Notes,” and together with the Secured Notes and 2023 Notes, the “Notes”), and (v) $160 million under the senior secured revolving credit facility, variable rate, that matures April 24, 2020 pursuant to the Credit Agreement (the “Revolving Credit Facility” and, together with the Term Loan Facility, the “Facilities”).</w:t>
      </w:r>
    </w:p>
    <w:p>
      <w:pPr>
        <w:spacing w:after="0" w:line="19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On May 9, 2017, the Company completed its previously announced reorganization (the “up-REIT Reorganization”) to operate through a customary “up-REIT” structure. Under this structure, the Operating Partnership now holds substantially all of the Company’s assets and is the parent company of, among others, CSL Capital, LLC, Uniti Group Finance Inc. and Uniti Fiber Holdings Inc. In connection with the up-REIT Reorganization, the Operating Partnership replaced the Company and assumed its obligations as an obligor under the Notes and Facilities. The Company subsequently became a guarantor of the Notes and Facilities. Because the Operating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Partnership is not a corporation, a corporate co-obligor that is a subsidiary of the Operating Partnership was also added to the Notes and Credit Agreement as part of the up-REIT Reorganization. As discussed below, Uniti Group Finance Inc. is the corporate co-obligor under the Credit Agreement and co-issuer of the Secured Notes and the 2023 Notes, and Uniti Fiber Holdings Inc. is the co-issuer of the 2024 Notes. Separate financial statements of the Operating Partnership have not been included since the Operating Partnership is not a registrant.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1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Operating Partnership and its wholly-owned subsidiaries, CSL Capital, LLC, and Uniti Group Finance Inc. (collectively, 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 On April 28, 2017, we amended the Credit Agreement to increase the commitments under our Revolving Credit Facility from $500 million to $750 million. Other terms of the Revolving Credit Facility remain unchanged.</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2017, the Borrowers were in compliance with all of the covenants under the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1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Operating Partnership and its wholly-owned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Guarantors.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1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Statements of Income. For the three and nine months ended September 30, 2017, we recognized $2.9 million and $8.0 million, respectively, of non-cash interest expense related to the amortization of deferred financing costs. For the three and nine months ended September 30, 2016, we recognized $2.0 million and $5.6 million, respectively, of non-cash interest expense related to the amortization of deferred financing costs.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132" w:lineRule="exact"/>
        <w:rPr>
          <w:sz w:val="20"/>
          <w:szCs w:val="20"/>
          <w:color w:val="auto"/>
        </w:rPr>
      </w:pPr>
    </w:p>
    <w:p>
      <w:pPr>
        <w:jc w:val="both"/>
        <w:ind w:right="180"/>
        <w:spacing w:after="0" w:line="303" w:lineRule="auto"/>
        <w:rPr>
          <w:sz w:val="20"/>
          <w:szCs w:val="20"/>
          <w:color w:val="auto"/>
        </w:rPr>
      </w:pPr>
      <w:r>
        <w:rPr>
          <w:rFonts w:ascii="Arial" w:cs="Arial" w:eastAsia="Arial" w:hAnsi="Arial"/>
          <w:sz w:val="16"/>
          <w:szCs w:val="16"/>
          <w:color w:val="auto"/>
        </w:rPr>
        <w:t>On April 25, 2017, we issued 19.5 million shares of our common stock, par value $0.0001 per share. The shares were sold at a public offering price of $26.50, generating proceeds of approximately $518 million, before underwriter discounts and transaction costs. The Company used the proceeds from this offering to fund a portion of the cash consideration paid in connection with the acquisitions of Southern Light and Hunt that closed on July 3,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April 24, 2015, Uniti was separated and spun-off (the “Spin-Off”) from Windstream Holdings, Inc. (“Windstream Holdings” and together with its subsidiaries, “Windstream”). In connection with the Spin-Off, Windstream contributed certain telecommunications network assets, including fiber and copper networks and other real estate (the “Distribution Systems”) and a small consumer competitive local exchange carrier (“CLEC”) business (the “Consumer CLEC Business”) and we issued approximately 149.8 million shares of our common stock to Windstream Services as partial consideration for the contribution of the Distribution Systems and the Consumer CLEC Business. Immediately following the Spin-Off, we entered into a long-term exclusive triple-net lease (the “Master Lease”) with Windstream pursuant to which Uniti leases the Distribution Systems to Windstream. Windstream distributed approximately 80.4% of the Uniti shares it received to existing stockholders of Windstream Holdings and retained a passive ownership interest of approximately 19.6% of the common stock of Uniti. As a result of this ownership Windstream was deemed to be a related party.</w:t>
      </w:r>
    </w:p>
    <w:p>
      <w:pPr>
        <w:spacing w:after="0" w:line="7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June 15, 2016, Windstream Holdings disposed of 14.7 million shares of our common stock, representing approximately half of its retained ownership interest. On June 24, 2016, Windstream Holdings disposed of its remaining 14.7 million shares of our common stock as part of a public offering. The Company did not receive any proceeds resulting from the disposition of these shares.</w:t>
      </w:r>
    </w:p>
    <w:p>
      <w:pPr>
        <w:spacing w:after="0" w:line="83" w:lineRule="exact"/>
        <w:rPr>
          <w:sz w:val="20"/>
          <w:szCs w:val="20"/>
          <w:color w:val="auto"/>
        </w:rPr>
      </w:pPr>
    </w:p>
    <w:p>
      <w:pPr>
        <w:ind w:right="500"/>
        <w:spacing w:after="0" w:line="329" w:lineRule="auto"/>
        <w:rPr>
          <w:sz w:val="20"/>
          <w:szCs w:val="20"/>
          <w:color w:val="auto"/>
        </w:rPr>
      </w:pPr>
      <w:r>
        <w:rPr>
          <w:rFonts w:ascii="Arial" w:cs="Arial" w:eastAsia="Arial" w:hAnsi="Arial"/>
          <w:sz w:val="16"/>
          <w:szCs w:val="16"/>
          <w:color w:val="auto"/>
        </w:rPr>
        <w:t>Accordingly, effective as of June 24, 2016, Windstream is no longer deemed a related party under applicable accounting regulations. Our condensed consolidated financial statements reflect the following transactions with Windstream during the periods in which Windstream was deemed a related party.</w:t>
      </w:r>
    </w:p>
    <w:p>
      <w:pPr>
        <w:spacing w:after="0" w:line="134"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xml:space="preserve"> – The Company records leasing revenue pursuant to the Master Lease. For the three and six months ended June 30, 2016, we recognized leasing revenues of $169.0 million and $337.6 million, respectively, related to the Master Lease.</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We were party to a Transition Services Agreement (“TSA”) pursuant to which Windstream and its affiliates provided, on an interim basis, various services, including but not limited to information technology services, payment processing and collection services, financial and tax services, regulatory compliance and other support services. On April 1, 2016, the TSA terminated and we incurred $19,000 of related TSA expense for the three months ended March 31, 2016.</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u w:val="single" w:color="auto"/>
          <w:color w:val="auto"/>
        </w:rPr>
        <w:t>Operating Expenses</w:t>
      </w:r>
      <w:r>
        <w:rPr>
          <w:rFonts w:ascii="Arial" w:cs="Arial" w:eastAsia="Arial" w:hAnsi="Arial"/>
          <w:sz w:val="16"/>
          <w:szCs w:val="16"/>
          <w:color w:val="auto"/>
        </w:rPr>
        <w:t xml:space="preserve"> – We are party to a Wholesale Master Services Agreement (“Wholesale Agreement”) and a Master Services Agreement (the “Master Service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Uniti. During the three months ended June 30, 2016, we incurred expenses of $3.2 million and $0.4 million related to the Wholesale Agreement and Master Services Agreement, respectively. During the six months ended June 30, 2016, we incurred expenses of $6.6 million and $0.9 million related to the Wholesale Agreement and Master Services Agreement, respectively.</w:t>
      </w:r>
    </w:p>
    <w:p>
      <w:pPr>
        <w:spacing w:after="0" w:line="16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xml:space="preserve"> – We are party to an Employee Matters Agreement (“Employee Matters Agreement”) with Windstream that governs the respective compensation and employee benefit obligations of the Company and 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Uniti restricted stock held by the employee that were granted in connection with the Spin-Off. In that case,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must pay to Windstream an amount of cash equal to the amount required to be withheld to satisfy minimum statutory tax withholding obligations or, at the request of Windstream, remit such cash directly to the applicable taxing authorities. During the six months ended June 30, 2016, we withheld 91,412 common shares to satisfy these minimum statutory tax-withholding obligations and delivered $1.9 million to Windstream for remittance to the applicable taxing authorities.</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Lease Amendment</w:t>
      </w:r>
      <w:r>
        <w:rPr>
          <w:rFonts w:ascii="Arial" w:cs="Arial" w:eastAsia="Arial" w:hAnsi="Arial"/>
          <w:sz w:val="16"/>
          <w:szCs w:val="16"/>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 IRU in certain fiber assets that constitute leased property under the Master Lease in exchange for Uniti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Uniti related to the sale, exchange or other disposition of the fiber assets delivered to a third party or the granting of rights to the leased property that arise from fiber exchange agreements. As of June 24, 2016, no such transactions had been consummated. The Master Lease Amendment also permits us to install, own and operate certain wireless communication towers, antennas and related equipment on designated portions of the leased property.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18"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(“ASC 260”).</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8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earnings per share impact of the Company’s 3% Convertible Preferred Stock, $0.0001 par value (“Series A Shares”), issued in connection with the acquisition of PEG Bandwidth, LLC, is calculated using the net share settlement method, whereby the redemption value of the instrument is assumed to be settled in cash and only the conversion premium, if any, is assumed to be settled in shares. The Series A Shares provide Uniti the option to cash or share settle the instrument, and it is our policy to settle the instrument in cash upon conversion.</w:t>
      </w:r>
    </w:p>
    <w:p>
      <w:pPr>
        <w:spacing w:after="0" w:line="19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The Hunt merger agreement provides for the issuance of additional common shares upon the achievement of certain defined revenue milestones. </w:t>
      </w:r>
      <w:r>
        <w:rPr>
          <w:rFonts w:ascii="Arial" w:cs="Arial" w:eastAsia="Arial" w:hAnsi="Arial"/>
          <w:sz w:val="18"/>
          <w:szCs w:val="18"/>
          <w:u w:val="single" w:color="auto"/>
          <w:color w:val="auto"/>
        </w:rPr>
        <w:t>See Note 3</w:t>
      </w:r>
      <w:r>
        <w:rPr>
          <w:rFonts w:ascii="Arial" w:cs="Arial" w:eastAsia="Arial" w:hAnsi="Arial"/>
          <w:sz w:val="18"/>
          <w:szCs w:val="18"/>
          <w:color w:val="auto"/>
        </w:rPr>
        <w:t>. The earnings per share impact of the Hunt Contingent Consideration is calculated under the method described in ASC 260 for the treatment of contingently issuable shares in weighted-average shares outstanding.</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9"/>
              </w:rPr>
              <w:t>Three Months Ended September 30,</w:t>
            </w:r>
          </w:p>
        </w:tc>
        <w:tc>
          <w:tcPr>
            <w:tcW w:w="300" w:type="dxa"/>
            <w:vAlign w:val="bottom"/>
          </w:tcPr>
          <w:p>
            <w:pPr>
              <w:spacing w:after="0"/>
              <w:rPr>
                <w:sz w:val="14"/>
                <w:szCs w:val="14"/>
                <w:color w:val="auto"/>
              </w:rPr>
            </w:pPr>
          </w:p>
        </w:tc>
        <w:tc>
          <w:tcPr>
            <w:tcW w:w="2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3"/>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2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 (loss) attributable to shareholders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(2,343)</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(31,732)</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(1,156)</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(1,968)</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6"/>
        </w:trPr>
        <w:tc>
          <w:tcPr>
            <w:tcW w:w="4800" w:type="dxa"/>
            <w:vAlign w:val="bottom"/>
            <w:gridSpan w:val="2"/>
          </w:tcPr>
          <w:p>
            <w:pPr>
              <w:ind w:left="620"/>
              <w:spacing w:after="0"/>
              <w:rPr>
                <w:sz w:val="20"/>
                <w:szCs w:val="20"/>
                <w:color w:val="auto"/>
              </w:rPr>
            </w:pPr>
            <w:r>
              <w:rPr>
                <w:rFonts w:ascii="Arial" w:cs="Arial" w:eastAsia="Arial" w:hAnsi="Arial"/>
                <w:sz w:val="18"/>
                <w:szCs w:val="18"/>
                <w:color w:val="auto"/>
                <w:w w:val="95"/>
              </w:rPr>
              <w:t>Amortization of discount on convertible preferred stock</w:t>
            </w: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(2,235)</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480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(loss) attributable to common shares</w:t>
            </w: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(4,144)</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(37,091)</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153,878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166,624</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9"/>
              </w:rPr>
              <w:t>Three Months Ended September 30,</w:t>
            </w:r>
          </w:p>
        </w:tc>
        <w:tc>
          <w:tcPr>
            <w:tcW w:w="300" w:type="dxa"/>
            <w:vAlign w:val="bottom"/>
          </w:tcPr>
          <w:p>
            <w:pPr>
              <w:spacing w:after="0"/>
              <w:rPr>
                <w:sz w:val="24"/>
                <w:szCs w:val="24"/>
                <w:color w:val="auto"/>
              </w:rPr>
            </w:pPr>
          </w:p>
        </w:tc>
        <w:tc>
          <w:tcPr>
            <w:tcW w:w="2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 (loss) attributable to shareholders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(2,343)</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(31,732)</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(1,156)</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(1,968)</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6"/>
        </w:trPr>
        <w:tc>
          <w:tcPr>
            <w:tcW w:w="4800" w:type="dxa"/>
            <w:vAlign w:val="bottom"/>
            <w:gridSpan w:val="2"/>
          </w:tcPr>
          <w:p>
            <w:pPr>
              <w:ind w:left="620"/>
              <w:spacing w:after="0"/>
              <w:rPr>
                <w:sz w:val="20"/>
                <w:szCs w:val="20"/>
                <w:color w:val="auto"/>
              </w:rPr>
            </w:pPr>
            <w:r>
              <w:rPr>
                <w:rFonts w:ascii="Arial" w:cs="Arial" w:eastAsia="Arial" w:hAnsi="Arial"/>
                <w:sz w:val="18"/>
                <w:szCs w:val="18"/>
                <w:color w:val="auto"/>
                <w:w w:val="95"/>
              </w:rPr>
              <w:t>Amortization of discount on convertible preferred stock</w:t>
            </w: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(2,235)</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Mark-to-market gain on share settled contingent</w:t>
            </w:r>
          </w:p>
        </w:tc>
        <w:tc>
          <w:tcPr>
            <w:tcW w:w="28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(6,964)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(6,964)</w:t>
            </w:r>
          </w:p>
        </w:tc>
        <w:tc>
          <w:tcPr>
            <w:tcW w:w="3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00" w:type="dxa"/>
            <w:vAlign w:val="bottom"/>
            <w:gridSpan w:val="2"/>
            <w:vMerge w:val="restart"/>
            <w:shd w:val="clear" w:color="auto" w:fill="CFF0FC"/>
          </w:tcPr>
          <w:p>
            <w:pPr>
              <w:ind w:left="620"/>
              <w:spacing w:after="0"/>
              <w:rPr>
                <w:sz w:val="20"/>
                <w:szCs w:val="20"/>
                <w:color w:val="auto"/>
              </w:rPr>
            </w:pPr>
            <w:r>
              <w:rPr>
                <w:rFonts w:ascii="Arial" w:cs="Arial" w:eastAsia="Arial" w:hAnsi="Arial"/>
                <w:sz w:val="18"/>
                <w:szCs w:val="18"/>
                <w:color w:val="auto"/>
              </w:rPr>
              <w:t>consideration arrangements</w:t>
            </w:r>
          </w:p>
        </w:tc>
        <w:tc>
          <w:tcPr>
            <w:tcW w:w="28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20" w:type="dxa"/>
            <w:vAlign w:val="bottom"/>
            <w:tcBorders>
              <w:right w:val="single" w:sz="8" w:color="CFF0FC"/>
            </w:tcBorders>
            <w:gridSpan w:val="2"/>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gridSpan w:val="2"/>
            <w:vMerge w:val="continue"/>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160" w:type="dxa"/>
            <w:vAlign w:val="bottom"/>
            <w:tcBorders>
              <w:bottom w:val="single" w:sz="8" w:color="auto"/>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160" w:type="dxa"/>
            <w:vAlign w:val="bottom"/>
            <w:tcBorders>
              <w:bottom w:val="single" w:sz="8" w:color="auto"/>
            </w:tcBorders>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14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4800" w:type="dxa"/>
            <w:vAlign w:val="bottom"/>
            <w:gridSpan w:val="2"/>
          </w:tcPr>
          <w:p>
            <w:pPr>
              <w:ind w:left="240"/>
              <w:spacing w:after="0"/>
              <w:rPr>
                <w:sz w:val="20"/>
                <w:szCs w:val="20"/>
                <w:color w:val="auto"/>
              </w:rPr>
            </w:pPr>
            <w:r>
              <w:rPr>
                <w:rFonts w:ascii="Arial" w:cs="Arial" w:eastAsia="Arial" w:hAnsi="Arial"/>
                <w:sz w:val="18"/>
                <w:szCs w:val="18"/>
                <w:color w:val="auto"/>
              </w:rPr>
              <w:t>Net (loss) income attributable to common shares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c>
          <w:tcPr>
            <w:tcW w:w="42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(4,144)</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(44,055)</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ind w:left="24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153,878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166,624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Contingent consideration (See Note 4)</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6"/>
              </w:rPr>
              <w:t>Weighted-average shares for dilutive earnings per common</w:t>
            </w:r>
          </w:p>
        </w:tc>
        <w:tc>
          <w:tcPr>
            <w:tcW w:w="2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175,399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153,878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166,816</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0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share</w:t>
            </w:r>
          </w:p>
        </w:tc>
        <w:tc>
          <w:tcPr>
            <w:tcW w:w="28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gridSpan w:val="2"/>
            <w:vMerge w:val="continue"/>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160" w:type="dxa"/>
            <w:vAlign w:val="bottom"/>
            <w:tcBorders>
              <w:bottom w:val="single" w:sz="8" w:color="auto"/>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160" w:type="dxa"/>
            <w:vAlign w:val="bottom"/>
            <w:tcBorders>
              <w:bottom w:val="single" w:sz="8" w:color="auto"/>
            </w:tcBorders>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14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4800" w:type="dxa"/>
            <w:vAlign w:val="bottom"/>
            <w:gridSpan w:val="2"/>
          </w:tcPr>
          <w:p>
            <w:pPr>
              <w:spacing w:after="0"/>
              <w:rPr>
                <w:sz w:val="20"/>
                <w:szCs w:val="20"/>
                <w:color w:val="auto"/>
              </w:rPr>
            </w:pPr>
            <w:r>
              <w:rPr>
                <w:rFonts w:ascii="Arial" w:cs="Arial" w:eastAsia="Arial" w:hAnsi="Arial"/>
                <w:sz w:val="18"/>
                <w:szCs w:val="18"/>
                <w:color w:val="auto"/>
              </w:rPr>
              <w:t>Dilutive (loss) earnings per common share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(0.26)</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nine months ended September 30, 2017, 29,481 non-participating securities were excluded from the computation of diluted earnings per share, as their effect would have been anti-dilutive. For the three months ended September 30, 2016, 149,087 non-participating securities were excluded from the computation of diluted earnings per share, as their effect would have been anti-dilutive.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1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Effective in the first quarter of 2017, our management, including our chief executive officer, who is our chief operating decision maker, commenced managing our operations as four reportable segments in addition to our corporate operations and include: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360"/>
        <w:spacing w:after="0" w:line="296"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color w:val="auto"/>
        </w:rPr>
        <w:t>: Represents our REIT operations and includes the results from our leasing programs, Uniti Leasing, which is engaged in the acquisition of mission-critical communications assets and leasing them back to anchor customers on either an exclusive or shared-tenant basis.</w:t>
      </w:r>
    </w:p>
    <w:p>
      <w:pPr>
        <w:spacing w:after="0" w:line="156"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80"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and Latin America.</w:t>
      </w:r>
    </w:p>
    <w:p>
      <w:pPr>
        <w:spacing w:after="0" w:line="18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 the Consumer CLEC Business, that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Spin-Off was reported as an integrated operation within Windstream. Talk America provides local telephone, high-speed internet and long distance services to customers in the eastern and central United States.</w:t>
      </w:r>
    </w:p>
    <w:p>
      <w:pPr>
        <w:spacing w:after="0" w:line="189" w:lineRule="exact"/>
        <w:rPr>
          <w:sz w:val="20"/>
          <w:szCs w:val="20"/>
          <w:color w:val="auto"/>
        </w:rPr>
      </w:pPr>
    </w:p>
    <w:p>
      <w:pPr>
        <w:ind w:right="380"/>
        <w:spacing w:after="0" w:line="329"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our corporate and back office functions. Certain costs and expenses, primarily related to headcount, insurance, professional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charges, that are directly attributable to operations of our business segments are allocated to the respective segments.</w:t>
      </w:r>
    </w:p>
    <w:p>
      <w:pPr>
        <w:spacing w:after="0" w:line="2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related expenses, the write off of unamortized deferred financing costs, costs incurred as a result of the early repayment of debt, changes in the fair value of contingent consideration and financial instruments, and other similar items.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Company’s business segment information is presented below. Prior year information has been recast to conform to the current year presentation.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Fiber</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5"/>
              <w:spacing w:after="0" w:line="131" w:lineRule="exact"/>
              <w:rPr>
                <w:sz w:val="20"/>
                <w:szCs w:val="20"/>
                <w:color w:val="auto"/>
              </w:rPr>
            </w:pPr>
            <w:r>
              <w:rPr>
                <w:rFonts w:ascii="Arial" w:cs="Arial" w:eastAsia="Arial" w:hAnsi="Arial"/>
                <w:sz w:val="14"/>
                <w:szCs w:val="14"/>
                <w:b w:val="1"/>
                <w:bCs w:val="1"/>
                <w:color w:val="auto"/>
                <w:w w:val="90"/>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Towers</w:t>
            </w:r>
          </w:p>
        </w:tc>
        <w:tc>
          <w:tcPr>
            <w:tcW w:w="2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Consumer CLEC</w:t>
            </w:r>
          </w:p>
        </w:tc>
        <w:tc>
          <w:tcPr>
            <w:tcW w:w="2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Corporate</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Infrastructure</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6"/>
              </w:rPr>
              <w:t>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171,673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(5,552)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w w:val="93"/>
              </w:rPr>
              <w:t>Depreciation and amortization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87,320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3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180" w:hanging="193"/>
        <w:spacing w:after="0" w:line="297" w:lineRule="auto"/>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Segment capital expenditures represents capital expenditures, the NMS asset acquisition and ground lease investments as reported in the investing activities</w:t>
      </w:r>
      <w:r>
        <w:rPr>
          <w:rFonts w:ascii="Arial" w:cs="Arial" w:eastAsia="Arial" w:hAnsi="Arial"/>
          <w:sz w:val="15"/>
          <w:szCs w:val="15"/>
          <w:color w:val="auto"/>
        </w:rPr>
        <w:t xml:space="preserve"> </w:t>
      </w:r>
      <w:r>
        <w:rPr>
          <w:rFonts w:ascii="Arial" w:cs="Arial" w:eastAsia="Arial" w:hAnsi="Arial"/>
          <w:sz w:val="17"/>
          <w:szCs w:val="17"/>
          <w:color w:val="auto"/>
        </w:rPr>
        <w:t>section of the Condensed Consolidated Statements of Cash Flows.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Fiber</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5"/>
              <w:spacing w:after="0" w:line="131" w:lineRule="exact"/>
              <w:rPr>
                <w:sz w:val="20"/>
                <w:szCs w:val="20"/>
                <w:color w:val="auto"/>
              </w:rPr>
            </w:pPr>
            <w:r>
              <w:rPr>
                <w:rFonts w:ascii="Arial" w:cs="Arial" w:eastAsia="Arial" w:hAnsi="Arial"/>
                <w:sz w:val="14"/>
                <w:szCs w:val="14"/>
                <w:b w:val="1"/>
                <w:bCs w:val="1"/>
                <w:color w:val="auto"/>
                <w:w w:val="90"/>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Towers</w:t>
            </w:r>
          </w:p>
        </w:tc>
        <w:tc>
          <w:tcPr>
            <w:tcW w:w="2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Consumer CLEC</w:t>
            </w:r>
          </w:p>
        </w:tc>
        <w:tc>
          <w:tcPr>
            <w:tcW w:w="2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Corporate</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Infrastructure</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6"/>
              </w:rPr>
              <w:t>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169,366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(3,627)</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w w:val="93"/>
              </w:rPr>
              <w:t>Depreciation and amortization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300" w:hanging="193"/>
        <w:spacing w:after="0" w:line="297" w:lineRule="auto"/>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Segment capital expenditures represents capital expenditures and ground lease investments as reported in the investing activities section of the Condensed</w:t>
      </w:r>
      <w:r>
        <w:rPr>
          <w:rFonts w:ascii="Arial" w:cs="Arial" w:eastAsia="Arial" w:hAnsi="Arial"/>
          <w:sz w:val="15"/>
          <w:szCs w:val="15"/>
          <w:color w:val="auto"/>
        </w:rPr>
        <w:t xml:space="preserve"> </w:t>
      </w:r>
      <w:r>
        <w:rPr>
          <w:rFonts w:ascii="Arial" w:cs="Arial" w:eastAsia="Arial" w:hAnsi="Arial"/>
          <w:sz w:val="17"/>
          <w:szCs w:val="17"/>
          <w:color w:val="auto"/>
        </w:rPr>
        <w:t>Consolidated Statements of Cash Flows.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Fiber</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5"/>
              <w:spacing w:after="0" w:line="131" w:lineRule="exact"/>
              <w:rPr>
                <w:sz w:val="20"/>
                <w:szCs w:val="20"/>
                <w:color w:val="auto"/>
              </w:rPr>
            </w:pPr>
            <w:r>
              <w:rPr>
                <w:rFonts w:ascii="Arial" w:cs="Arial" w:eastAsia="Arial" w:hAnsi="Arial"/>
                <w:sz w:val="14"/>
                <w:szCs w:val="14"/>
                <w:b w:val="1"/>
                <w:bCs w:val="1"/>
                <w:color w:val="auto"/>
                <w:w w:val="90"/>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Leasing</w:t>
            </w: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Towers</w:t>
            </w:r>
          </w:p>
        </w:tc>
        <w:tc>
          <w:tcPr>
            <w:tcW w:w="18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Consumer CLEC</w:t>
            </w:r>
          </w:p>
        </w:tc>
        <w:tc>
          <w:tcPr>
            <w:tcW w:w="360" w:type="dxa"/>
            <w:vAlign w:val="bottom"/>
          </w:tcPr>
          <w:p>
            <w:pPr>
              <w:spacing w:after="0"/>
              <w:rPr>
                <w:sz w:val="12"/>
                <w:szCs w:val="12"/>
                <w:color w:val="auto"/>
              </w:rPr>
            </w:pPr>
          </w:p>
        </w:tc>
        <w:tc>
          <w:tcPr>
            <w:tcW w:w="12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19"/>
        </w:trPr>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512,893</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8"/>
                <w:szCs w:val="18"/>
                <w:color w:val="auto"/>
              </w:rPr>
              <w:t>6,679</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511,803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(15,265)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261,037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97"/>
              <w:spacing w:after="0"/>
              <w:rPr>
                <w:sz w:val="20"/>
                <w:szCs w:val="20"/>
                <w:color w:val="auto"/>
              </w:rPr>
            </w:pPr>
            <w:r>
              <w:rPr>
                <w:rFonts w:ascii="Arial" w:cs="Arial" w:eastAsia="Arial" w:hAnsi="Arial"/>
                <w:sz w:val="18"/>
                <w:szCs w:val="18"/>
                <w:color w:val="auto"/>
              </w:rPr>
              <w:t>3,505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4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(31,625)</w:t>
            </w: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103,497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89,984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46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180" w:hanging="193"/>
        <w:spacing w:after="0" w:line="297" w:lineRule="auto"/>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Segment capital expenditures represents capital expenditures, the NMS asset acquisition and ground lease investments as reported in the investing activities</w:t>
      </w:r>
      <w:r>
        <w:rPr>
          <w:rFonts w:ascii="Arial" w:cs="Arial" w:eastAsia="Arial" w:hAnsi="Arial"/>
          <w:sz w:val="15"/>
          <w:szCs w:val="15"/>
          <w:color w:val="auto"/>
        </w:rPr>
        <w:t xml:space="preserve"> </w:t>
      </w:r>
      <w:r>
        <w:rPr>
          <w:rFonts w:ascii="Arial" w:cs="Arial" w:eastAsia="Arial" w:hAnsi="Arial"/>
          <w:sz w:val="17"/>
          <w:szCs w:val="17"/>
          <w:color w:val="auto"/>
        </w:rPr>
        <w:t>section of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5"/>
              <w:spacing w:after="0" w:line="131" w:lineRule="exact"/>
              <w:rPr>
                <w:sz w:val="20"/>
                <w:szCs w:val="20"/>
                <w:color w:val="auto"/>
              </w:rPr>
            </w:pPr>
            <w:r>
              <w:rPr>
                <w:rFonts w:ascii="Arial" w:cs="Arial" w:eastAsia="Arial" w:hAnsi="Arial"/>
                <w:sz w:val="14"/>
                <w:szCs w:val="14"/>
                <w:b w:val="1"/>
                <w:bCs w:val="1"/>
                <w:color w:val="auto"/>
                <w:w w:val="90"/>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Leasing</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Towers</w:t>
            </w:r>
          </w:p>
        </w:tc>
        <w:tc>
          <w:tcPr>
            <w:tcW w:w="8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19"/>
        </w:trPr>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506,945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(10,678)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257,059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15,448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300" w:hanging="193"/>
        <w:spacing w:after="0" w:line="297" w:lineRule="auto"/>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Segment capital expenditures represents capital expenditures and ground lease investments as reported in the investing activities section of the Condensed</w:t>
      </w:r>
      <w:r>
        <w:rPr>
          <w:rFonts w:ascii="Arial" w:cs="Arial" w:eastAsia="Arial" w:hAnsi="Arial"/>
          <w:sz w:val="15"/>
          <w:szCs w:val="15"/>
          <w:color w:val="auto"/>
        </w:rPr>
        <w:t xml:space="preserve"> </w:t>
      </w:r>
      <w:r>
        <w:rPr>
          <w:rFonts w:ascii="Arial" w:cs="Arial" w:eastAsia="Arial" w:hAnsi="Arial"/>
          <w:sz w:val="17"/>
          <w:szCs w:val="17"/>
          <w:color w:val="auto"/>
        </w:rPr>
        <w:t>Consolidated Statements of Cash Flows.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business segment as of September 30, 2017 and December 31, 2016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3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September 30, 2017</w:t>
            </w:r>
          </w:p>
        </w:tc>
        <w:tc>
          <w:tcPr>
            <w:tcW w:w="4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FF0FC"/>
            </w:tcBorders>
          </w:tcPr>
          <w:p>
            <w:pPr>
              <w:spacing w:after="0"/>
              <w:rPr>
                <w:sz w:val="14"/>
                <w:szCs w:val="14"/>
                <w:color w:val="auto"/>
              </w:rPr>
            </w:pPr>
          </w:p>
        </w:tc>
      </w:tr>
      <w:tr>
        <w:trPr>
          <w:trHeight w:val="233"/>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Leasing</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2,140,087</w:t>
            </w:r>
          </w:p>
        </w:tc>
        <w:tc>
          <w:tcPr>
            <w:tcW w:w="4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2,238,517</w:t>
            </w:r>
          </w:p>
        </w:tc>
        <w:tc>
          <w:tcPr>
            <w:tcW w:w="100" w:type="dxa"/>
            <w:vAlign w:val="bottom"/>
            <w:shd w:val="clear" w:color="auto" w:fill="CFF0FC"/>
          </w:tcPr>
          <w:p>
            <w:pPr>
              <w:spacing w:after="0"/>
              <w:rPr>
                <w:sz w:val="20"/>
                <w:szCs w:val="20"/>
                <w:color w:val="auto"/>
              </w:rPr>
            </w:pPr>
          </w:p>
        </w:tc>
      </w:tr>
      <w:tr>
        <w:trPr>
          <w:trHeight w:val="226"/>
        </w:trPr>
        <w:tc>
          <w:tcPr>
            <w:tcW w:w="5360" w:type="dxa"/>
            <w:vAlign w:val="bottom"/>
            <w:gridSpan w:val="2"/>
          </w:tcPr>
          <w:p>
            <w:pPr>
              <w:spacing w:after="0"/>
              <w:rPr>
                <w:sz w:val="20"/>
                <w:szCs w:val="20"/>
                <w:color w:val="auto"/>
              </w:rPr>
            </w:pPr>
            <w:r>
              <w:rPr>
                <w:rFonts w:ascii="Arial" w:cs="Arial" w:eastAsia="Arial" w:hAnsi="Arial"/>
                <w:sz w:val="18"/>
                <w:szCs w:val="18"/>
                <w:color w:val="auto"/>
              </w:rPr>
              <w:t>Fiber Infrastructure</w:t>
            </w:r>
          </w:p>
        </w:tc>
        <w:tc>
          <w:tcPr>
            <w:tcW w:w="4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1,962,682</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914,082</w:t>
            </w:r>
          </w:p>
        </w:tc>
        <w:tc>
          <w:tcPr>
            <w:tcW w:w="100" w:type="dxa"/>
            <w:vAlign w:val="bottom"/>
          </w:tcPr>
          <w:p>
            <w:pPr>
              <w:spacing w:after="0"/>
              <w:rPr>
                <w:sz w:val="19"/>
                <w:szCs w:val="19"/>
                <w:color w:val="auto"/>
              </w:rPr>
            </w:pPr>
          </w:p>
        </w:tc>
      </w:tr>
      <w:tr>
        <w:trPr>
          <w:trHeight w:val="227"/>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Towers</w:t>
            </w:r>
          </w:p>
        </w:tc>
        <w:tc>
          <w:tcPr>
            <w:tcW w:w="4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140,350</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FF0FC"/>
          </w:tcPr>
          <w:p>
            <w:pPr>
              <w:spacing w:after="0"/>
              <w:rPr>
                <w:sz w:val="19"/>
                <w:szCs w:val="19"/>
                <w:color w:val="auto"/>
              </w:rPr>
            </w:pPr>
          </w:p>
        </w:tc>
      </w:tr>
      <w:tr>
        <w:trPr>
          <w:trHeight w:val="226"/>
        </w:trPr>
        <w:tc>
          <w:tcPr>
            <w:tcW w:w="5360" w:type="dxa"/>
            <w:vAlign w:val="bottom"/>
            <w:gridSpan w:val="2"/>
          </w:tcPr>
          <w:p>
            <w:pPr>
              <w:spacing w:after="0"/>
              <w:rPr>
                <w:sz w:val="20"/>
                <w:szCs w:val="20"/>
                <w:color w:val="auto"/>
              </w:rPr>
            </w:pPr>
            <w:r>
              <w:rPr>
                <w:rFonts w:ascii="Arial" w:cs="Arial" w:eastAsia="Arial" w:hAnsi="Arial"/>
                <w:sz w:val="18"/>
                <w:szCs w:val="18"/>
                <w:color w:val="auto"/>
              </w:rPr>
              <w:t>Consumer CLEC</w:t>
            </w:r>
          </w:p>
        </w:tc>
        <w:tc>
          <w:tcPr>
            <w:tcW w:w="4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14,518</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14,239</w:t>
            </w:r>
          </w:p>
        </w:tc>
        <w:tc>
          <w:tcPr>
            <w:tcW w:w="100" w:type="dxa"/>
            <w:vAlign w:val="bottom"/>
          </w:tcPr>
          <w:p>
            <w:pPr>
              <w:spacing w:after="0"/>
              <w:rPr>
                <w:sz w:val="19"/>
                <w:szCs w:val="19"/>
                <w:color w:val="auto"/>
              </w:rPr>
            </w:pPr>
          </w:p>
        </w:tc>
      </w:tr>
      <w:tr>
        <w:trPr>
          <w:trHeight w:val="227"/>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auto"/>
            </w:tcBorders>
            <w:shd w:val="clear" w:color="auto" w:fill="CFF0FC"/>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34,573</w:t>
            </w:r>
          </w:p>
        </w:tc>
        <w:tc>
          <w:tcPr>
            <w:tcW w:w="4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133,910</w:t>
            </w:r>
          </w:p>
        </w:tc>
        <w:tc>
          <w:tcPr>
            <w:tcW w:w="100" w:type="dxa"/>
            <w:vAlign w:val="bottom"/>
            <w:shd w:val="clear" w:color="auto" w:fill="CFF0FC"/>
          </w:tcPr>
          <w:p>
            <w:pPr>
              <w:spacing w:after="0"/>
              <w:rPr>
                <w:sz w:val="19"/>
                <w:szCs w:val="19"/>
                <w:color w:val="auto"/>
              </w:rPr>
            </w:pPr>
          </w:p>
        </w:tc>
      </w:tr>
      <w:tr>
        <w:trPr>
          <w:trHeight w:val="219"/>
        </w:trPr>
        <w:tc>
          <w:tcPr>
            <w:tcW w:w="5360" w:type="dxa"/>
            <w:vAlign w:val="bottom"/>
            <w:gridSpan w:val="2"/>
          </w:tcPr>
          <w:p>
            <w:pPr>
              <w:spacing w:after="0"/>
              <w:rPr>
                <w:sz w:val="20"/>
                <w:szCs w:val="20"/>
                <w:color w:val="auto"/>
              </w:rPr>
            </w:pPr>
            <w:r>
              <w:rPr>
                <w:rFonts w:ascii="Arial" w:cs="Arial" w:eastAsia="Arial" w:hAnsi="Arial"/>
                <w:sz w:val="18"/>
                <w:szCs w:val="18"/>
                <w:color w:val="auto"/>
              </w:rPr>
              <w:t>Total of reportable segments</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4,292,210</w:t>
            </w:r>
          </w:p>
        </w:tc>
        <w:tc>
          <w:tcPr>
            <w:tcW w:w="420" w:type="dxa"/>
            <w:vAlign w:val="bottom"/>
          </w:tcPr>
          <w:p>
            <w:pPr>
              <w:spacing w:after="0"/>
              <w:rPr>
                <w:sz w:val="19"/>
                <w:szCs w:val="19"/>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3,318,752</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8" w:lineRule="exact"/>
        <w:rPr>
          <w:sz w:val="20"/>
          <w:szCs w:val="20"/>
          <w:color w:val="auto"/>
        </w:rPr>
      </w:pPr>
    </w:p>
    <w:p>
      <w:pPr>
        <w:jc w:val="both"/>
        <w:ind w:right="140"/>
        <w:spacing w:after="0" w:line="296"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5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the terms of the Tax Matters Agreement entered into with Windstream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Internal Revenue Code, as applicable, to the extent such failure to qualify is attributable to certain actions, events or transactions relating to our stock,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income by component is as follows for the nine months ended September 30,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Currency Translation</w:t>
            </w:r>
          </w:p>
        </w:tc>
        <w:tc>
          <w:tcPr>
            <w:tcW w:w="1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Changes in Fair Value of</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Effective Cash Flow</w:t>
            </w:r>
          </w:p>
        </w:tc>
        <w:tc>
          <w:tcPr>
            <w:tcW w:w="360" w:type="dxa"/>
            <w:vAlign w:val="bottom"/>
          </w:tcPr>
          <w:p>
            <w:pPr>
              <w:spacing w:after="0"/>
              <w:rPr>
                <w:sz w:val="12"/>
                <w:szCs w:val="12"/>
                <w:color w:val="auto"/>
              </w:rPr>
            </w:pPr>
          </w:p>
        </w:tc>
        <w:tc>
          <w:tcPr>
            <w:tcW w:w="124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Adjustment</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Hedge</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 at December 31, 2016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(6,102)</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26"/>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5,074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(20,591)</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(15,517)</w:t>
            </w:r>
          </w:p>
        </w:tc>
        <w:tc>
          <w:tcPr>
            <w:tcW w:w="0" w:type="dxa"/>
            <w:vAlign w:val="bottom"/>
          </w:tcPr>
          <w:p>
            <w:pPr>
              <w:spacing w:after="0"/>
              <w:rPr>
                <w:sz w:val="1"/>
                <w:szCs w:val="1"/>
                <w:color w:val="auto"/>
              </w:rPr>
            </w:pPr>
          </w:p>
        </w:tc>
      </w:tr>
      <w:tr>
        <w:trPr>
          <w:trHeight w:val="227"/>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60" w:type="dxa"/>
            <w:vAlign w:val="bottom"/>
            <w:gridSpan w:val="2"/>
          </w:tcPr>
          <w:p>
            <w:pPr>
              <w:spacing w:after="0"/>
              <w:rPr>
                <w:sz w:val="20"/>
                <w:szCs w:val="20"/>
                <w:color w:val="auto"/>
              </w:rPr>
            </w:pPr>
            <w:r>
              <w:rPr>
                <w:rFonts w:ascii="Arial" w:cs="Arial" w:eastAsia="Arial" w:hAnsi="Arial"/>
                <w:sz w:val="18"/>
                <w:szCs w:val="18"/>
                <w:color w:val="auto"/>
              </w:rPr>
              <w:t>Net other comprehensive income (loss)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4,807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(10,442)</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27"/>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60" w:type="dxa"/>
            <w:vAlign w:val="bottom"/>
            <w:gridSpan w:val="2"/>
          </w:tcPr>
          <w:p>
            <w:pPr>
              <w:spacing w:after="0"/>
              <w:rPr>
                <w:sz w:val="20"/>
                <w:szCs w:val="20"/>
                <w:color w:val="auto"/>
              </w:rPr>
            </w:pPr>
            <w:r>
              <w:rPr>
                <w:rFonts w:ascii="Arial" w:cs="Arial" w:eastAsia="Arial" w:hAnsi="Arial"/>
                <w:sz w:val="18"/>
                <w:szCs w:val="18"/>
                <w:color w:val="auto"/>
              </w:rPr>
              <w:t>Ending balance at September 30, 2017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4,805</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(10,483)</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Supplemental Guarantor Information</w:t>
      </w:r>
    </w:p>
    <w:p>
      <w:pPr>
        <w:spacing w:after="0" w:line="225" w:lineRule="exact"/>
        <w:rPr>
          <w:sz w:val="20"/>
          <w:szCs w:val="20"/>
          <w:color w:val="auto"/>
        </w:rPr>
      </w:pPr>
    </w:p>
    <w:p>
      <w:pPr>
        <w:ind w:right="100"/>
        <w:spacing w:after="0" w:line="270" w:lineRule="auto"/>
        <w:rPr>
          <w:rFonts w:ascii="Arial" w:cs="Arial" w:eastAsia="Arial" w:hAnsi="Arial"/>
          <w:sz w:val="17"/>
          <w:szCs w:val="17"/>
          <w:color w:val="auto"/>
        </w:rPr>
      </w:pPr>
      <w:r>
        <w:rPr>
          <w:rFonts w:ascii="Arial" w:cs="Arial" w:eastAsia="Arial" w:hAnsi="Arial"/>
          <w:sz w:val="17"/>
          <w:szCs w:val="17"/>
          <w:color w:val="auto"/>
        </w:rPr>
        <w:t>Pursuant to SEC Regulation S-X Rule 3-10 “Financial statements of guarantors and issuers of guaranteed securities registered or being registered,” the Company historically has provided condensed consolidating financial information for CSL Capital and the Guarantors because the 2023 Notes and the guarantees thereof were previously registered with the SEC under the Securities Act of 1933, as amended. Effective as of May 9, 2017 (the effective date of the previously announced up-REIT Reorganization (</w:t>
      </w:r>
      <w:hyperlink w:anchor="page20">
        <w:r>
          <w:rPr>
            <w:rFonts w:ascii="Arial" w:cs="Arial" w:eastAsia="Arial" w:hAnsi="Arial"/>
            <w:sz w:val="17"/>
            <w:szCs w:val="17"/>
            <w:u w:val="single" w:color="auto"/>
            <w:color w:val="0000EE"/>
          </w:rPr>
          <w:t>see Note 8</w:t>
        </w:r>
      </w:hyperlink>
      <w:r>
        <w:rPr>
          <w:rFonts w:ascii="Arial" w:cs="Arial" w:eastAsia="Arial" w:hAnsi="Arial"/>
          <w:sz w:val="17"/>
          <w:szCs w:val="17"/>
          <w:color w:val="auto"/>
        </w:rPr>
        <w:t>)), the 2023 Notes ceased to be an obligation of the Company, and the Company was no longer required to provide supplemental guarantor information related to the 2023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2017. This discussion should be read in conjunction with the accompanying unaudited financial statements, and the notes thereto set forth in Part I, Item 1 of this Quarterly Report on Form 10-Q and our Annual Report on Form 10-K for the year ended December 31, 2016, filed with the Securities and Exchange Commission (the “SEC”) on February 23,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Uniti Group Inc. (the “Company”, “Uniti”, “we”, “us” or “our”), formerly known as Communications Sales &amp; Leasing, Inc.,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substantially all of our leasing revenues are currently derived.</w:t>
      </w:r>
    </w:p>
    <w:p>
      <w:pPr>
        <w:spacing w:after="0" w:line="7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(“Talk America”) as taxable REIT subsidiaries (“TRSs”). TRSs enable us to engage in activities that do not result in income that would be qualifying income for a REIT. Our TRSs are subject to U.S. federal, state and local corporate income taxes.</w:t>
      </w:r>
    </w:p>
    <w:p>
      <w:pPr>
        <w:spacing w:after="0" w:line="5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the date of this report, we are the sole general partner of the Operating Partnership and own approximately 97.7% of the partnership interests in the Operating Partnership.</w:t>
      </w:r>
    </w:p>
    <w:p>
      <w:pPr>
        <w:spacing w:after="0" w:line="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expect to grow and diversify our portfolio and tenant base by pursuing a range of transaction structures with communication service providers, including, (i) sale leaseback transactions, whereby we acquire existing infrastructure assets from communication service providers and lease them back on a long-term triple net basis; (ii) whole company acquisitions, which may include the use of one or more TRSs that are permitted under the tax laws to acquire non-REIT operating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19"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color w:val="auto"/>
        </w:rPr>
        <w:t>: Represents our REIT operations and includes the results from our leasing programs, Uniti Leasing, which is engaged in the acquisition of mission-critical communications assets and leasing them back to anchor customers on either an exclusive or shared-tenant basis.</w:t>
      </w:r>
    </w:p>
    <w:p>
      <w:pPr>
        <w:spacing w:after="0" w:line="156"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80"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and Latin America.</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through which we operate the Consumer CLEC Business, that prior to the Spin-Off was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as an integrated operation within Windstream. Talk America provides local telephone, high-speed internet and long distance services to customers in the eastern and central United States.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ind w:right="400"/>
        <w:spacing w:after="0" w:line="329"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color w:val="auto"/>
        </w:rPr>
        <w:t>: Represents our corporate and back office functions. Certain costs and expenses, primarily related to headcount, insurance, professional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charges, that are directly attributable to operations of our business segments are allocated to the respective segments.</w:t>
      </w:r>
    </w:p>
    <w:p>
      <w:pPr>
        <w:spacing w:after="0" w:line="13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1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u w:val="single" w:color="auto"/>
          <w:color w:val="auto"/>
        </w:rPr>
        <w:t>Acquisition of Southern Light, LLC.</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3, 2017, we completed the previously announced acquisition of Southern Light, LLC (“Southern Light”).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all of the outstanding membership interests of Southern Light for approximately $638 million in cash, including the payoff of existing indebtedness and unpaid transaction expenses, and the issuance of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Southern Light’s dense regional fiber network comprises nearly 540,000 fiber strand miles, 5,700 fiber route miles, and over 4,500 on-net locations.</w:t>
      </w:r>
    </w:p>
    <w:p>
      <w:pPr>
        <w:spacing w:after="0" w:line="90"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u w:val="single" w:color="auto"/>
          <w:color w:val="auto"/>
        </w:rPr>
        <w:t>Acquisition of Hunt Telecommunications, LLC.</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3, 2017, we completed the previously announced acquisition of Hunt Telecommunications, LLC</w:t>
      </w:r>
      <w:r>
        <w:rPr>
          <w:rFonts w:ascii="Arial" w:cs="Arial" w:eastAsia="Arial" w:hAnsi="Arial"/>
          <w:sz w:val="18"/>
          <w:szCs w:val="18"/>
          <w:i w:val="1"/>
          <w:iCs w:val="1"/>
          <w:color w:val="auto"/>
        </w:rPr>
        <w:t xml:space="preserve"> </w:t>
      </w:r>
      <w:r>
        <w:rPr>
          <w:rFonts w:ascii="Arial" w:cs="Arial" w:eastAsia="Arial" w:hAnsi="Arial"/>
          <w:sz w:val="18"/>
          <w:szCs w:val="18"/>
          <w:color w:val="auto"/>
        </w:rPr>
        <w:t>(“Hunt”). The Company acquired all of the outstanding equity interests of Hunt for approximately $130 million in cash, including the payoff of existing indebtedness and unpaid transaction expenses, and approximately 1.6 million units in the Operating Partnership with an acquisition date fair value of $41.6 million. Additional contingent consideration of up to $17 million, with an acquisition date fair value of $16.4 million will be paid upon the achievement of certain defined financial revenue milestones. Hunt is a leading provider of data transport to K-12 schools and government agencies with a dense fiber network in Louisiana.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2017 and 2016</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Beginning in the first quarter of 2017, the Company manages and reports our operations in four reportable segments: Leasing, Fiber Infrastructure, Towers, and Consumer CLEC. Prior period data has been reclassified to conform to the current period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6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w w:val="90"/>
              </w:rPr>
              <w:t>% of Revenues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 of Revenues</w:t>
            </w:r>
          </w:p>
        </w:tc>
        <w:tc>
          <w:tcPr>
            <w:tcW w:w="0" w:type="dxa"/>
            <w:vAlign w:val="bottom"/>
          </w:tcPr>
          <w:p>
            <w:pPr>
              <w:spacing w:after="0"/>
              <w:rPr>
                <w:sz w:val="1"/>
                <w:szCs w:val="1"/>
                <w:color w:val="auto"/>
              </w:rPr>
            </w:pPr>
          </w:p>
        </w:tc>
      </w:tr>
      <w:tr>
        <w:trPr>
          <w:trHeight w:val="219"/>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Leasing</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171,673</w:t>
            </w:r>
          </w:p>
        </w:tc>
        <w:tc>
          <w:tcPr>
            <w:tcW w:w="320" w:type="dxa"/>
            <w:vAlign w:val="bottom"/>
          </w:tcPr>
          <w:p>
            <w:pPr>
              <w:spacing w:after="0"/>
              <w:rPr>
                <w:sz w:val="19"/>
                <w:szCs w:val="19"/>
                <w:color w:val="auto"/>
              </w:rPr>
            </w:pPr>
          </w:p>
        </w:tc>
        <w:tc>
          <w:tcPr>
            <w:tcW w:w="940" w:type="dxa"/>
            <w:vAlign w:val="bottom"/>
          </w:tcPr>
          <w:p>
            <w:pPr>
              <w:jc w:val="center"/>
              <w:ind w:left="33"/>
              <w:spacing w:after="0"/>
              <w:rPr>
                <w:sz w:val="20"/>
                <w:szCs w:val="20"/>
                <w:color w:val="auto"/>
              </w:rPr>
            </w:pPr>
            <w:r>
              <w:rPr>
                <w:rFonts w:ascii="Arial" w:cs="Arial" w:eastAsia="Arial" w:hAnsi="Arial"/>
                <w:sz w:val="18"/>
                <w:szCs w:val="18"/>
                <w:color w:val="auto"/>
                <w:w w:val="90"/>
              </w:rPr>
              <w:t>70.0%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169,366</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0"/>
              </w:rPr>
              <w:t>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Fiber Infrastructure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33"/>
              <w:spacing w:after="0"/>
              <w:rPr>
                <w:sz w:val="20"/>
                <w:szCs w:val="20"/>
                <w:color w:val="auto"/>
              </w:rPr>
            </w:pPr>
            <w:r>
              <w:rPr>
                <w:rFonts w:ascii="Arial" w:cs="Arial" w:eastAsia="Arial" w:hAnsi="Arial"/>
                <w:sz w:val="18"/>
                <w:szCs w:val="18"/>
                <w:color w:val="auto"/>
                <w:w w:val="90"/>
              </w:rPr>
              <w:t>27.1%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25,219</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Tower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2,796</w:t>
            </w:r>
          </w:p>
        </w:tc>
        <w:tc>
          <w:tcPr>
            <w:tcW w:w="320" w:type="dxa"/>
            <w:vAlign w:val="bottom"/>
          </w:tcPr>
          <w:p>
            <w:pPr>
              <w:spacing w:after="0"/>
              <w:rPr>
                <w:sz w:val="19"/>
                <w:szCs w:val="19"/>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87"/>
              </w:rPr>
              <w:t>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13"/>
              <w:spacing w:after="0"/>
              <w:rPr>
                <w:sz w:val="20"/>
                <w:szCs w:val="20"/>
                <w:color w:val="auto"/>
              </w:rPr>
            </w:pPr>
            <w:r>
              <w:rPr>
                <w:rFonts w:ascii="Arial" w:cs="Arial" w:eastAsia="Arial" w:hAnsi="Arial"/>
                <w:sz w:val="18"/>
                <w:szCs w:val="18"/>
                <w:color w:val="auto"/>
                <w:w w:val="87"/>
              </w:rPr>
              <w:t>1.8%</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5,496</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92"/>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245,210</w:t>
            </w:r>
          </w:p>
        </w:tc>
        <w:tc>
          <w:tcPr>
            <w:tcW w:w="320" w:type="dxa"/>
            <w:vAlign w:val="bottom"/>
          </w:tcPr>
          <w:p>
            <w:pPr>
              <w:spacing w:after="0"/>
              <w:rPr>
                <w:sz w:val="18"/>
                <w:szCs w:val="18"/>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200,240</w:t>
            </w:r>
          </w:p>
        </w:tc>
        <w:tc>
          <w:tcPr>
            <w:tcW w:w="320" w:type="dxa"/>
            <w:vAlign w:val="bottom"/>
          </w:tcPr>
          <w:p>
            <w:pPr>
              <w:spacing w:after="0"/>
              <w:rPr>
                <w:sz w:val="18"/>
                <w:szCs w:val="18"/>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78,784</w:t>
            </w:r>
          </w:p>
        </w:tc>
        <w:tc>
          <w:tcPr>
            <w:tcW w:w="320" w:type="dxa"/>
            <w:vAlign w:val="bottom"/>
          </w:tcPr>
          <w:p>
            <w:pPr>
              <w:spacing w:after="0"/>
              <w:rPr>
                <w:sz w:val="19"/>
                <w:szCs w:val="19"/>
                <w:color w:val="auto"/>
              </w:rPr>
            </w:pPr>
          </w:p>
        </w:tc>
        <w:tc>
          <w:tcPr>
            <w:tcW w:w="940" w:type="dxa"/>
            <w:vAlign w:val="bottom"/>
          </w:tcPr>
          <w:p>
            <w:pPr>
              <w:jc w:val="center"/>
              <w:ind w:left="33"/>
              <w:spacing w:after="0"/>
              <w:rPr>
                <w:sz w:val="20"/>
                <w:szCs w:val="20"/>
                <w:color w:val="auto"/>
              </w:rPr>
            </w:pPr>
            <w:r>
              <w:rPr>
                <w:rFonts w:ascii="Arial" w:cs="Arial" w:eastAsia="Arial" w:hAnsi="Arial"/>
                <w:sz w:val="18"/>
                <w:szCs w:val="18"/>
                <w:color w:val="auto"/>
                <w:w w:val="90"/>
              </w:rPr>
              <w:t>32.1%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70,522</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0"/>
              </w:rPr>
              <w:t>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113,444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33"/>
              <w:spacing w:after="0"/>
              <w:rPr>
                <w:sz w:val="20"/>
                <w:szCs w:val="20"/>
                <w:color w:val="auto"/>
              </w:rPr>
            </w:pPr>
            <w:r>
              <w:rPr>
                <w:rFonts w:ascii="Arial" w:cs="Arial" w:eastAsia="Arial" w:hAnsi="Arial"/>
                <w:sz w:val="18"/>
                <w:szCs w:val="18"/>
                <w:color w:val="auto"/>
                <w:w w:val="90"/>
              </w:rPr>
              <w:t>46.3%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96,723</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48.3%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22,068</w:t>
            </w:r>
          </w:p>
        </w:tc>
        <w:tc>
          <w:tcPr>
            <w:tcW w:w="320" w:type="dxa"/>
            <w:vAlign w:val="bottom"/>
          </w:tcPr>
          <w:p>
            <w:pPr>
              <w:spacing w:after="0"/>
              <w:rPr>
                <w:sz w:val="19"/>
                <w:szCs w:val="19"/>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87"/>
              </w:rPr>
              <w:t>9.0%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10,191</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33"/>
              <w:spacing w:after="0"/>
              <w:rPr>
                <w:sz w:val="20"/>
                <w:szCs w:val="20"/>
                <w:color w:val="auto"/>
              </w:rPr>
            </w:pPr>
            <w:r>
              <w:rPr>
                <w:rFonts w:ascii="Arial" w:cs="Arial" w:eastAsia="Arial" w:hAnsi="Arial"/>
                <w:sz w:val="18"/>
                <w:szCs w:val="18"/>
                <w:color w:val="auto"/>
                <w:w w:val="90"/>
              </w:rPr>
              <w:t>12.3%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2"/>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8,512</w:t>
            </w:r>
          </w:p>
        </w:tc>
        <w:tc>
          <w:tcPr>
            <w:tcW w:w="320" w:type="dxa"/>
            <w:vAlign w:val="bottom"/>
          </w:tcPr>
          <w:p>
            <w:pPr>
              <w:spacing w:after="0"/>
              <w:rPr>
                <w:sz w:val="19"/>
                <w:szCs w:val="19"/>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87"/>
              </w:rPr>
              <w:t>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9,315</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(3,933)</w:t>
            </w: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(1.6%)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249,047</w:t>
            </w:r>
          </w:p>
        </w:tc>
        <w:tc>
          <w:tcPr>
            <w:tcW w:w="3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center"/>
              <w:ind w:left="13"/>
              <w:spacing w:after="0"/>
              <w:rPr>
                <w:sz w:val="20"/>
                <w:szCs w:val="20"/>
                <w:color w:val="auto"/>
              </w:rPr>
            </w:pPr>
            <w:r>
              <w:rPr>
                <w:rFonts w:ascii="Arial" w:cs="Arial" w:eastAsia="Arial" w:hAnsi="Arial"/>
                <w:sz w:val="18"/>
                <w:szCs w:val="18"/>
                <w:color w:val="auto"/>
                <w:w w:val="91"/>
              </w:rPr>
              <w:t>101.6%</w:t>
            </w:r>
          </w:p>
        </w:tc>
        <w:tc>
          <w:tcPr>
            <w:tcW w:w="3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202,455</w:t>
            </w:r>
          </w:p>
        </w:tc>
        <w:tc>
          <w:tcPr>
            <w:tcW w:w="3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12"/>
              <w:spacing w:after="0"/>
              <w:rPr>
                <w:sz w:val="20"/>
                <w:szCs w:val="20"/>
                <w:color w:val="auto"/>
              </w:rPr>
            </w:pPr>
            <w:r>
              <w:rPr>
                <w:rFonts w:ascii="Arial" w:cs="Arial" w:eastAsia="Arial" w:hAnsi="Arial"/>
                <w:sz w:val="18"/>
                <w:szCs w:val="18"/>
                <w:color w:val="auto"/>
                <w:w w:val="88"/>
              </w:rPr>
              <w:t>101.1%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(3,837)</w:t>
            </w: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(1.6%)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(2,215)</w:t>
            </w: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4"/>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(8,672)</w:t>
            </w: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0"/>
              </w:rPr>
              <w:t>(3.5%)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7"/>
              </w:rPr>
              <w:t>2.0%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(2,343)</w:t>
            </w: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4"/>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7"/>
              </w:rPr>
              <w:t>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7"/>
              </w:rPr>
              <w:t>1.9%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(2,343)</w:t>
            </w: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4"/>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0"/>
              </w:rPr>
              <w:t>(0.2%)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(407)</w:t>
            </w: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(656)</w:t>
            </w: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(649)</w:t>
            </w: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4"/>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60" w:type="dxa"/>
            <w:vAlign w:val="bottom"/>
          </w:tcPr>
          <w:p>
            <w:pPr>
              <w:ind w:left="240"/>
              <w:spacing w:after="0"/>
              <w:rPr>
                <w:sz w:val="20"/>
                <w:szCs w:val="20"/>
                <w:color w:val="auto"/>
              </w:rPr>
            </w:pPr>
            <w:r>
              <w:rPr>
                <w:rFonts w:ascii="Arial" w:cs="Arial" w:eastAsia="Arial" w:hAnsi="Arial"/>
                <w:sz w:val="18"/>
                <w:szCs w:val="18"/>
                <w:color w:val="auto"/>
              </w:rPr>
              <w:t>Amortization of discount on convertible preferred stock</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0"/>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4"/>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60" w:type="dxa"/>
            <w:vAlign w:val="bottom"/>
            <w:vMerge w:val="continue"/>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2,939</w:t>
            </w:r>
          </w:p>
        </w:tc>
        <w:tc>
          <w:tcPr>
            <w:tcW w:w="320" w:type="dxa"/>
            <w:vAlign w:val="bottom"/>
          </w:tcPr>
          <w:p>
            <w:pPr>
              <w:spacing w:after="0"/>
              <w:rPr>
                <w:sz w:val="19"/>
                <w:szCs w:val="19"/>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87"/>
              </w:rPr>
              <w:t>1.2%</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(4,144)</w:t>
            </w: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4"/>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attributable to rental revenue from leasing our Distribution Systems to Windstream Holdings pursuant to the Master Lease.</w:t>
      </w:r>
    </w:p>
    <w:p>
      <w:pPr>
        <w:spacing w:after="0" w:line="1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thus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5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For the three months ended September 30, 2017, we recognized $171.7 million of revenue from rents under the Master Lease, which included $4.3 million of straight-line revenues and $4.0 million of TCI revenue. For the three months ended September 30, 2016, we recognized $169.4 million of revenues from the Master Lease, which included $4.3 million of straight-line rent revenue, and $1.7 million of TCI revenue. The increase in TCI revenue is attributable to increased investment by Windstream in TCIs. Windstream invested $52.5 million in TCIs during the three months ended September 30, 2017, an increase from $41.6 million it invested in TCIs during the three months ended September 30, 2016. Since the inception of the Master Lease, Windstream has invested a total of $391.9 million in such improvements.</w:t>
      </w:r>
    </w:p>
    <w:p>
      <w:pPr>
        <w:spacing w:after="0" w:line="9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Because a substantial portion of our revenue is derived from lease payments by Windstream pursuant to the Master Lease, there could be a material adverse impact on our consolidated results of operations, liquidity and/or financial condition if Windstream were to default under the Master Lease or otherwise experience operating difficulties and becomes unable to generate sufficient cash to make payments to us. In recent years, Windstream has experienced annual declines in its total revenue and sales. On September 22, 2017, Windstream Services, LLC (“Windstream Services”), Windstream’s primary operating subsidiary, received a purported notice of default dated September 21, 2017 from a large purported holder of Windstream Services’ 6 3/8% Senior Notes due 2023 (the “Windstream Notes”). The notice alleged, among other things, that Windstream Services violated certain restrictive covenants of the indenture governing the Windstream Notes in connection with Windstream’s Spin-Off of Uniti Group. Windstream is challenging the alleged default in federal court and recently launched an exchange offer and consent solicitation to obtain a waiver of the alleged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default from holders representing a majority of the aggregate principal amount of the Windstream Notes. If the alleged defaults claimed by the noteholder are not waived, the noteholder or the Windstream Notes’ trustee may allege that an “event of default” has occurred under the Windstream Notes’ indenture. An actual “event of default” would permit the Windstream Notes’ trustee or holders of at least 25% in aggregate principal amount of outstanding of the Windstream Notes to declare the principal amount of all outstanding Windstream Notes to be immediately due and payable. Such an outcome would trigger cross-default provisions in Windstream’s other debt instruments, including Windstream Services existing credit facility, which, in turn, would trigger a default under the Master Lease. In addition, Windstream Services’ ability to pay dividends to Windstream Holdings under the terms of its indentures is subject to certain conditions, including the absence of a default or event of default, and any actual default or event of default could prevent Windstream Services from providing sufficient funding to Windstream Holdings to make payments on the Master Lease.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lease payments.</w:t>
      </w:r>
    </w:p>
    <w:p>
      <w:pPr>
        <w:spacing w:after="0" w:line="8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8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September 30, 2017, we recognized $66.4 million of revenue, approximately 54% of which was derived from</w:t>
      </w:r>
      <w:r>
        <w:rPr>
          <w:rFonts w:ascii="Arial" w:cs="Arial" w:eastAsia="Arial" w:hAnsi="Arial"/>
          <w:sz w:val="17"/>
          <w:szCs w:val="17"/>
          <w:i w:val="1"/>
          <w:iCs w:val="1"/>
          <w:color w:val="auto"/>
        </w:rPr>
        <w:t xml:space="preserve"> </w:t>
      </w:r>
      <w:r>
        <w:rPr>
          <w:rFonts w:ascii="Arial" w:cs="Arial" w:eastAsia="Arial" w:hAnsi="Arial"/>
          <w:sz w:val="17"/>
          <w:szCs w:val="17"/>
          <w:color w:val="auto"/>
        </w:rPr>
        <w:t>lit backhaul services, approximately 10% from construction revenue and approximately 29% from other service revenue. For the three months ended September 30, 2016, we recognized $25.2 million of revenue, approximately 75% of which was derived from lit backhaul services. The increase is primarily driven by the timing of the acquisition of Tower Cloud which took place on August 31, 2016, and the acquisitions of Southern Light and Hunt which took place on July 3, 2017. At September 30, 2017, we had approximately 16,324 customer connections, up from 5,400 customer connections at September 30, 2016. The increase is primarily attributable to the Southern Light and Hunt acquisitions.</w:t>
      </w:r>
    </w:p>
    <w:p>
      <w:pPr>
        <w:spacing w:after="0" w:line="74" w:lineRule="exact"/>
        <w:rPr>
          <w:sz w:val="20"/>
          <w:szCs w:val="20"/>
          <w:color w:val="auto"/>
        </w:rPr>
      </w:pPr>
    </w:p>
    <w:p>
      <w:pPr>
        <w:ind w:right="760"/>
        <w:spacing w:after="0" w:line="329"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September 30, 2017, we recognized $2.8 million of revenue, of which $2.3 million relates to our Latin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primarily driven by revenues associated with our January 2017 acquisition of Network Management Holdings LTD (“NMS”).</w:t>
      </w:r>
    </w:p>
    <w:p>
      <w:pPr>
        <w:spacing w:after="0" w:line="28"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September 30, 2017, we recognized $4.4 million of revenue from the Consumer CLEC Business,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$5.5 million for the three months ended September 30, 2016. The decrease is due to the effects of competition and customer attrition, as we served 31,590 customers as of September 30, 2017, an 18.11% decrease from 38,574 customers served at September 30,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Interest expense for the three months ended September 30, 2017, totaled $78.8 million, which includes non-cash interest expense of $6.1 million resulting from the amortization of our debt discounts and debt issuance costs. Interest expense for the three months ended September 30, 2016 totaled $70.5 million, which includes non-cash interest expense of $4.0 million resulting from the amortization of our debt discounts and debt issuance costs. The increase is primarily related to interest expense on the add-on Secured Notes and the 2024 Notes of $10.7 million, which were not incurred in the prior year. This increase was partially offset by approximately $5.3 million of interest savings related to the repricing of $2.1 billion of term loans outstanding under our senior secured credit agreement. Effective February 9, 2017, interest on the term loans was LIBOR plus 3.00% per annum (with a minimum LIBOR rate of 1.0%), compared to LIBOR plus 4.0% per annum (with a minimum LIBOR rate of 1.0%) for the three months ended September 30,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1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three months ended September 30, 2017 totaled $113.4 million, which included property, plant and equipment depreciation of $107.0 million, corporate asset depreciation of $0.1 million and intangible asset amortization of $6.3 million. Charges for depreciation and amortization for the three months ended September 30, 2016 totaled $96.7 million, which included property, plant and equipment depreciation of $94.8 million, corporate asset depreciation of $0.2 million and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 amortization of $1.7 million. The increase is primarily driven by the timing of the acquisitions of Tower Cloud, Southern Light and Hunt.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three months ended September 30, 2017, general and administrative costs totaled $22.1 million (9.0% of revenue), which includes $2.0 million of stock-based compensation expense. For the three months ended September 30, 2016, general and administrative costs totaled $10.2 million (5.1% of revenue), which includes $1.3 million of stock-based compensation expense. The increase is primarily driven by the timing of the acquisitions of Tower Cloud, Southern Light and Hunt. Fiber Infrastructure general and administrative expenses for the three months ended September 30, 2017 and 2016, totaled $10.0 million and $4.8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1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Operating expense for the three months ended September 30, 2017, totaled $30.2 million (12.3% of revenue), and consisted of $3.4 million (1.4% of revenue) of expense related to the operation of the Consumer CLEC Business, $25.4 million (10.4% of revenue) of expense related to Fiber Infrastructure operations and $1.4 million (0.5% of revenue) of expense related to Towers operations. For the three months ended September 30, 2016, operating expenses totaled $15.7 million (7.8% of revenue), which related to the operation of the Consumer CLEC Business ($4.3 million) and Fiber Infrastructure operations ($11.4 million).</w:t>
      </w:r>
    </w:p>
    <w:p>
      <w:pPr>
        <w:spacing w:after="0" w:line="16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increase to Fiber Infrastructure operating expense is primarily driven by the timing of the acquisitions of Tower Cloud, Southern Light and Hunt. For the three months ended September 30, 2017, Fiber Infrastructure operating expenses included $5.8 million of construction related expenses, $3.7 million of payroll related expense, $3.0 million of tower rent, $6.0 million of lit service expense and $1.7 million of dark fiber rent. For the three months ended September 30, 2016, Fiber Infrastructure operating expenses included $2.0 million of payroll related expense, $2.5 million of tower rent and $1.6 million of lit service expense.</w:t>
      </w:r>
    </w:p>
    <w:p>
      <w:pPr>
        <w:spacing w:after="0" w:line="16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Expense associated with the Consumer CLEC Business is primarily attributable to the Wholesale Agreement and the Master Services Agreement entered between us and Windstream in connection with the Spin-Off, and also included costs arising under the interconnection agreements with other telecommunication carriers. Expense associated with the Wholesale Agreement and Master Services Agreement for the three months ended September 30, 2017 totaled $2.5 million (1.0% of revenue) and $0.3 million (0.1% of revenue), respectively, and expense associated with the Wholesale Agreement and the Master Services Agreement for the three months ended September 30, 2016 totaled $3.1 million (1.5% of revenue) and $0.4 million (0.2% of revenue),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1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recognized $3.9 million of non-cash income due to an unrealized gain for mark-to-market adjustments on our contingent consideration arrangements, which was recorded in Other (income) expense for the three months ended September 30,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1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recorded an $8.7 million benefit in income tax benefit for the three months ended September 30, 2017, primarily as a result of a $8.0 million income tax benefit we recorded related to the release of a valuation allowance due to the closing of the Southern Light transaction. The Southern Light transaction resulted in a deferred tax liability, and this future reversal of taxable temporary differences supports the realization of deferred tax assets which previously had a valuation allowance.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for the three months ended September 30, 2017 and 2016, revenues and Adjusted EBITDA of our reportable segments: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6"/>
              <w:spacing w:after="0" w:line="131" w:lineRule="exact"/>
              <w:rPr>
                <w:sz w:val="20"/>
                <w:szCs w:val="20"/>
                <w:color w:val="auto"/>
              </w:rPr>
            </w:pPr>
            <w:r>
              <w:rPr>
                <w:rFonts w:ascii="Arial" w:cs="Arial" w:eastAsia="Arial" w:hAnsi="Arial"/>
                <w:sz w:val="14"/>
                <w:szCs w:val="14"/>
                <w:b w:val="1"/>
                <w:bCs w:val="1"/>
                <w:color w:val="auto"/>
                <w:w w:val="90"/>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Towers</w:t>
            </w:r>
          </w:p>
        </w:tc>
        <w:tc>
          <w:tcPr>
            <w:tcW w:w="2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Consumer CLEC</w:t>
            </w:r>
          </w:p>
        </w:tc>
        <w:tc>
          <w:tcPr>
            <w:tcW w:w="2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Corporate</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6"/>
              </w:rPr>
              <w:t>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171,673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(5,552)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w w:val="93"/>
              </w:rPr>
              <w:t>Depreciation and amortization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87,320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3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900" w:type="dxa"/>
            <w:vAlign w:val="bottom"/>
            <w:tcBorders>
              <w:top w:val="single" w:sz="8" w:color="CFF0FC"/>
              <w:bottom w:val="single" w:sz="8" w:color="CFF0FC"/>
            </w:tcBorders>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6"/>
              <w:spacing w:after="0" w:line="131" w:lineRule="exact"/>
              <w:rPr>
                <w:sz w:val="20"/>
                <w:szCs w:val="20"/>
                <w:color w:val="auto"/>
              </w:rPr>
            </w:pPr>
            <w:r>
              <w:rPr>
                <w:rFonts w:ascii="Arial" w:cs="Arial" w:eastAsia="Arial" w:hAnsi="Arial"/>
                <w:sz w:val="14"/>
                <w:szCs w:val="14"/>
                <w:b w:val="1"/>
                <w:bCs w:val="1"/>
                <w:color w:val="auto"/>
                <w:w w:val="90"/>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Towers</w:t>
            </w:r>
          </w:p>
        </w:tc>
        <w:tc>
          <w:tcPr>
            <w:tcW w:w="2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Consumer CLEC</w:t>
            </w:r>
          </w:p>
        </w:tc>
        <w:tc>
          <w:tcPr>
            <w:tcW w:w="2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Corporate</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6"/>
              </w:rPr>
              <w:t>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169,366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(3,627)</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w w:val="93"/>
              </w:rPr>
              <w:t>Depreciation and amortization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2017 and 2016</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Beginning in the first quarter of 2017, the Company manages and reports our operations in four reportable segments: Leasing, Fiber Infrastructure, Towers, and Consumer CLEC. Prior period data has been reclassified to conform to the current period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3"/>
              </w:rPr>
              <w:t>Nine Months Ended 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6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w w:val="90"/>
              </w:rPr>
              <w:t>% of Revenues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 of Revenues</w:t>
            </w:r>
          </w:p>
        </w:tc>
        <w:tc>
          <w:tcPr>
            <w:tcW w:w="0" w:type="dxa"/>
            <w:vAlign w:val="bottom"/>
          </w:tcPr>
          <w:p>
            <w:pPr>
              <w:spacing w:after="0"/>
              <w:rPr>
                <w:sz w:val="1"/>
                <w:szCs w:val="1"/>
                <w:color w:val="auto"/>
              </w:rPr>
            </w:pPr>
          </w:p>
        </w:tc>
      </w:tr>
      <w:tr>
        <w:trPr>
          <w:trHeight w:val="219"/>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Leasing</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512,893</w:t>
            </w:r>
          </w:p>
        </w:tc>
        <w:tc>
          <w:tcPr>
            <w:tcW w:w="320" w:type="dxa"/>
            <w:vAlign w:val="bottom"/>
          </w:tcPr>
          <w:p>
            <w:pPr>
              <w:spacing w:after="0"/>
              <w:rPr>
                <w:sz w:val="19"/>
                <w:szCs w:val="19"/>
                <w:color w:val="auto"/>
              </w:rPr>
            </w:pPr>
          </w:p>
        </w:tc>
        <w:tc>
          <w:tcPr>
            <w:tcW w:w="940" w:type="dxa"/>
            <w:vAlign w:val="bottom"/>
          </w:tcPr>
          <w:p>
            <w:pPr>
              <w:jc w:val="center"/>
              <w:ind w:left="33"/>
              <w:spacing w:after="0"/>
              <w:rPr>
                <w:sz w:val="20"/>
                <w:szCs w:val="20"/>
                <w:color w:val="auto"/>
              </w:rPr>
            </w:pPr>
            <w:r>
              <w:rPr>
                <w:rFonts w:ascii="Arial" w:cs="Arial" w:eastAsia="Arial" w:hAnsi="Arial"/>
                <w:sz w:val="18"/>
                <w:szCs w:val="18"/>
                <w:color w:val="auto"/>
                <w:w w:val="90"/>
              </w:rPr>
              <w:t>76.6%</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506,945</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0"/>
              </w:rPr>
              <w:t>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Fiber Infrastructure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33"/>
              <w:spacing w:after="0"/>
              <w:rPr>
                <w:sz w:val="20"/>
                <w:szCs w:val="20"/>
                <w:color w:val="auto"/>
              </w:rPr>
            </w:pPr>
            <w:r>
              <w:rPr>
                <w:rFonts w:ascii="Arial" w:cs="Arial" w:eastAsia="Arial" w:hAnsi="Arial"/>
                <w:sz w:val="18"/>
                <w:szCs w:val="18"/>
                <w:color w:val="auto"/>
                <w:w w:val="90"/>
              </w:rPr>
              <w:t>20.3%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38,995</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2"/>
              </w:rPr>
              <w:t>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Tower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6,679</w:t>
            </w:r>
          </w:p>
        </w:tc>
        <w:tc>
          <w:tcPr>
            <w:tcW w:w="320" w:type="dxa"/>
            <w:vAlign w:val="bottom"/>
          </w:tcPr>
          <w:p>
            <w:pPr>
              <w:spacing w:after="0"/>
              <w:rPr>
                <w:sz w:val="19"/>
                <w:szCs w:val="19"/>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87"/>
              </w:rPr>
              <w:t>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13"/>
              <w:spacing w:after="0"/>
              <w:rPr>
                <w:sz w:val="20"/>
                <w:szCs w:val="20"/>
                <w:color w:val="auto"/>
              </w:rPr>
            </w:pPr>
            <w:r>
              <w:rPr>
                <w:rFonts w:ascii="Arial" w:cs="Arial" w:eastAsia="Arial" w:hAnsi="Arial"/>
                <w:sz w:val="18"/>
                <w:szCs w:val="18"/>
                <w:color w:val="auto"/>
                <w:w w:val="87"/>
              </w:rPr>
              <w:t>2.1%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17,277</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92"/>
              </w:rPr>
              <w:t>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669,696</w:t>
            </w:r>
          </w:p>
        </w:tc>
        <w:tc>
          <w:tcPr>
            <w:tcW w:w="320" w:type="dxa"/>
            <w:vAlign w:val="bottom"/>
          </w:tcPr>
          <w:p>
            <w:pPr>
              <w:spacing w:after="0"/>
              <w:rPr>
                <w:sz w:val="18"/>
                <w:szCs w:val="18"/>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563,488</w:t>
            </w:r>
          </w:p>
        </w:tc>
        <w:tc>
          <w:tcPr>
            <w:tcW w:w="320" w:type="dxa"/>
            <w:vAlign w:val="bottom"/>
          </w:tcPr>
          <w:p>
            <w:pPr>
              <w:spacing w:after="0"/>
              <w:rPr>
                <w:sz w:val="18"/>
                <w:szCs w:val="18"/>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227,235</w:t>
            </w:r>
          </w:p>
        </w:tc>
        <w:tc>
          <w:tcPr>
            <w:tcW w:w="320" w:type="dxa"/>
            <w:vAlign w:val="bottom"/>
          </w:tcPr>
          <w:p>
            <w:pPr>
              <w:spacing w:after="0"/>
              <w:rPr>
                <w:sz w:val="19"/>
                <w:szCs w:val="19"/>
                <w:color w:val="auto"/>
              </w:rPr>
            </w:pPr>
          </w:p>
        </w:tc>
        <w:tc>
          <w:tcPr>
            <w:tcW w:w="940" w:type="dxa"/>
            <w:vAlign w:val="bottom"/>
          </w:tcPr>
          <w:p>
            <w:pPr>
              <w:jc w:val="center"/>
              <w:ind w:left="33"/>
              <w:spacing w:after="0"/>
              <w:rPr>
                <w:sz w:val="20"/>
                <w:szCs w:val="20"/>
                <w:color w:val="auto"/>
              </w:rPr>
            </w:pPr>
            <w:r>
              <w:rPr>
                <w:rFonts w:ascii="Arial" w:cs="Arial" w:eastAsia="Arial" w:hAnsi="Arial"/>
                <w:sz w:val="18"/>
                <w:szCs w:val="18"/>
                <w:color w:val="auto"/>
                <w:w w:val="90"/>
              </w:rPr>
              <w:t>33.9%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204,607</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0"/>
              </w:rPr>
              <w:t>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317,404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33"/>
              <w:spacing w:after="0"/>
              <w:rPr>
                <w:sz w:val="20"/>
                <w:szCs w:val="20"/>
                <w:color w:val="auto"/>
              </w:rPr>
            </w:pPr>
            <w:r>
              <w:rPr>
                <w:rFonts w:ascii="Arial" w:cs="Arial" w:eastAsia="Arial" w:hAnsi="Arial"/>
                <w:sz w:val="18"/>
                <w:szCs w:val="18"/>
                <w:color w:val="auto"/>
                <w:w w:val="90"/>
              </w:rPr>
              <w:t>47.4%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275,448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49,549</w:t>
            </w:r>
          </w:p>
        </w:tc>
        <w:tc>
          <w:tcPr>
            <w:tcW w:w="320" w:type="dxa"/>
            <w:vAlign w:val="bottom"/>
          </w:tcPr>
          <w:p>
            <w:pPr>
              <w:spacing w:after="0"/>
              <w:rPr>
                <w:sz w:val="19"/>
                <w:szCs w:val="19"/>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87"/>
              </w:rPr>
              <w:t>7.4%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23,619</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6"/>
              </w:rPr>
              <w:t>11.1%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2"/>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32,213</w:t>
            </w:r>
          </w:p>
        </w:tc>
        <w:tc>
          <w:tcPr>
            <w:tcW w:w="320" w:type="dxa"/>
            <w:vAlign w:val="bottom"/>
          </w:tcPr>
          <w:p>
            <w:pPr>
              <w:spacing w:after="0"/>
              <w:rPr>
                <w:sz w:val="19"/>
                <w:szCs w:val="19"/>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87"/>
              </w:rPr>
              <w:t>4.8%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24,435</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13"/>
              <w:spacing w:after="0"/>
              <w:rPr>
                <w:sz w:val="20"/>
                <w:szCs w:val="20"/>
                <w:color w:val="auto"/>
              </w:rPr>
            </w:pPr>
            <w:r>
              <w:rPr>
                <w:rFonts w:ascii="Arial" w:cs="Arial" w:eastAsia="Arial" w:hAnsi="Arial"/>
                <w:sz w:val="18"/>
                <w:szCs w:val="18"/>
                <w:color w:val="auto"/>
                <w:w w:val="87"/>
              </w:rPr>
              <w:t>1.4%</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710,297</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1"/>
              </w:rPr>
              <w:t>106.1%</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558,431</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99.1%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(40,601)</w:t>
            </w: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(6.1%)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5,057</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2"/>
              </w:rPr>
              <w:t>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(8,976)</w:t>
            </w: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0"/>
              </w:rPr>
              <w:t>(1.3%)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899</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(31,625)</w:t>
            </w: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(4.7%)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7"/>
              </w:rPr>
              <w:t>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(31,732)</w:t>
            </w: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(4.7%)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60" w:type="dxa"/>
            <w:vAlign w:val="bottom"/>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0"/>
              </w:rPr>
              <w:t>(0.2%)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(1,164)</w:t>
            </w: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(1,968)</w:t>
            </w:r>
          </w:p>
        </w:tc>
        <w:tc>
          <w:tcPr>
            <w:tcW w:w="94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(1,087)</w:t>
            </w:r>
          </w:p>
        </w:tc>
        <w:tc>
          <w:tcPr>
            <w:tcW w:w="96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4"/>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60" w:type="dxa"/>
            <w:vAlign w:val="bottom"/>
          </w:tcPr>
          <w:p>
            <w:pPr>
              <w:ind w:left="240"/>
              <w:spacing w:after="0"/>
              <w:rPr>
                <w:sz w:val="20"/>
                <w:szCs w:val="20"/>
                <w:color w:val="auto"/>
              </w:rPr>
            </w:pPr>
            <w:r>
              <w:rPr>
                <w:rFonts w:ascii="Arial" w:cs="Arial" w:eastAsia="Arial" w:hAnsi="Arial"/>
                <w:sz w:val="18"/>
                <w:szCs w:val="18"/>
                <w:color w:val="auto"/>
              </w:rPr>
              <w:t>Amortization of discount on convertible preferred stock</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(2,235)</w:t>
            </w: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0"/>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(1,241)</w:t>
            </w: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60" w:type="dxa"/>
            <w:vAlign w:val="bottom"/>
            <w:vMerge w:val="continue"/>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(37,091)</w:t>
            </w: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0"/>
              </w:rPr>
              <w:t>(5.5%)</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666</w:t>
            </w:r>
          </w:p>
        </w:tc>
        <w:tc>
          <w:tcPr>
            <w:tcW w:w="320" w:type="dxa"/>
            <w:vAlign w:val="bottom"/>
          </w:tcPr>
          <w:p>
            <w:pPr>
              <w:spacing w:after="0"/>
              <w:rPr>
                <w:sz w:val="19"/>
                <w:szCs w:val="19"/>
                <w:color w:val="auto"/>
              </w:rPr>
            </w:pPr>
          </w:p>
        </w:tc>
        <w:tc>
          <w:tcPr>
            <w:tcW w:w="960" w:type="dxa"/>
            <w:vAlign w:val="bottom"/>
          </w:tcPr>
          <w:p>
            <w:pPr>
              <w:jc w:val="center"/>
              <w:ind w:left="12"/>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2017, we recognized $512.9 million of revenue from rents under the Master Lease, which included $13.0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straight-line revenues and $9.8 million of TCI revenue. For the nine months ended September 30, 2016, we recognized $506.9 million of revenues from the Master Lease, which included $13.0 million of straight-line rent revenue, and $3.9 million of TCI revenue. The increase in TCI revenue is attributable to increased investment by Windstream in TCIs. Windstream invested $166.3 million in TCIs during the nine months ended September 30, 2017, an increase from $112.2 million it invested in TCIs during the nine months ended September 30, 2016. Since the inception of the Master Lease, Windstream has invested a total of $391.9 million in such improvements.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nine months ended September 30, 2017, we recognized $136.2 million of revenue, approximately 62% of which was derived from</w:t>
      </w:r>
      <w:r>
        <w:rPr>
          <w:rFonts w:ascii="Arial" w:cs="Arial" w:eastAsia="Arial" w:hAnsi="Arial"/>
          <w:sz w:val="17"/>
          <w:szCs w:val="17"/>
          <w:i w:val="1"/>
          <w:iCs w:val="1"/>
          <w:color w:val="auto"/>
        </w:rPr>
        <w:t xml:space="preserve"> </w:t>
      </w:r>
      <w:r>
        <w:rPr>
          <w:rFonts w:ascii="Arial" w:cs="Arial" w:eastAsia="Arial" w:hAnsi="Arial"/>
          <w:sz w:val="17"/>
          <w:szCs w:val="17"/>
          <w:color w:val="auto"/>
        </w:rPr>
        <w:t>lit backhaul services, approximately 13% from construction revenue and approximately 15% from other service revenue. For the nine months ended September 30, 2016 we recognized $39.0 million of revenue, approximately 78% of which was derived from lit backhaul services. The revenue increase is primarily driven by the timing of the acquisitions of PEG, Tower Cloud, Southern Light and Hunt. At September 30, 2017, we had approximately 16,324 customer connections, up from 5,400 customer connections at September 30, 2016. The increase is primarily attributable to the August 31, 2016 acquisition of Tower Cloud and the July 3, 2017 acquisitions of Southern Light and Hunt.</w:t>
      </w:r>
    </w:p>
    <w:p>
      <w:pPr>
        <w:spacing w:after="0" w:line="74" w:lineRule="exact"/>
        <w:rPr>
          <w:sz w:val="20"/>
          <w:szCs w:val="20"/>
          <w:color w:val="auto"/>
        </w:rPr>
      </w:pPr>
    </w:p>
    <w:p>
      <w:pPr>
        <w:ind w:right="820"/>
        <w:spacing w:after="0" w:line="266"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2017, we recognized $6.7 million of revenue, of which $5.4 million relates to our Latin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primarily driven by revenues associated with our January 2017 acquisition of NMS.</w:t>
      </w:r>
    </w:p>
    <w:p>
      <w:pPr>
        <w:spacing w:after="0" w:line="7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nine months ended September 30, 2017, we recognized $14.0 million of revenue from the Consumer CLEC Business,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$17.3 million for the nine months ended September 30, 2016. The decrease is due to the effects of competition and customer attrition, as we served 31,590 customers as of September 30, 2017, a 18.11% decrease from 38,574 customers served at September 30,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Interest expense for the nine months ended September 30, 2017, totaled $227.2 million, which includes non-cash interest expense of $17.1 million resulting from the amortization of our debt discounts and debt issuance costs. Interest expense for the nine months ended September 30, 2016, totaled $204.6 million, which includes non-cash interest expense of $11.6 million resulting from the amortization of our debt discounts and debt issuance costs. The increase is primarily related to interest expense on the add-on Secured Notes and the 2024 Notes of $26.7 million, which were not incurred in the prior year. This increase was partially offset by approximately $13.5 million of interest savings related to the repricing of $2.1 billion of term loans outstanding under our senior secured credit agreement. Effective February 9, 2017, interest on the term loans was LIBOR plus 3.00% per annum (with a minimum LIBOR rate of 1.0%), compared to LIBOR plus 4.0% per annum (with a minimum LIBOR rate of 1.0%) for the nine months ended September 30,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1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nine months ended September 30, 2017 totaled $317.4 million, which included property, plant and equipment depreciation of $305.5 million, corporate asset depreciation of $0.3 million and intangible asset amortization of $11.6 million. Charges for depreciation and amortization for the nine months ended September 30, 2016 totaled $275.4 million, which included property, plant and equipment depreciation of $271.3 million, corporate asset depreciation of $0.4 million and intangible asset amortization of $3.7 million. The increase is primarily driven by the timing of the acquisitions of PEG, Tower Cloud, Southern Light and Hunt.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1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nine months ended September 30, 2017, general and administrative costs totaled $49.5 million (7.4% of revenue), which includes $5.6 million of stock-based compensation expense. For the nine months ended September 30, 2016, general and administrative costs totaled $23.6 million (4.2% of revenue), which includes $3.5 million of stock-based compensation expense. The increase is primarily driven by the timing of the acquisitions of PEG and Tower Cloud, which closed on May 2, 2016 and August 31, 2016, respectively, as well as the acquisition of Southern Light and Hunt that closed on July 3, 2017. Fiber Infrastructure general and administrative expenses for the nine months ended September 30, 2017 and 2016, totaled $21.2 million and $7.7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19"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Operating expense for the nine months ended September 30, 2017, totaled $74.3 million (11.1% of revenue), and consisted of $10.5 million (1.6% of revenue) of expense related to the operation of the Consumer CLEC Business, $60.4 million (9.0% of revenue) of expense related to Fiber Infrastructure operations and $3.4 million (0.5% of revenue) of expense related to Towers operations. For the nine months ended September 30, 2016, operating expenses totaled $30.3 million (5.4% of revenue), which related to the operation of the Consumer CLEC Business ($13.4 million) and Fiber Infrastructure operations ($16.9 million).</w:t>
      </w:r>
    </w:p>
    <w:p>
      <w:pPr>
        <w:spacing w:after="0" w:line="16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increase to Fiber Infrastructure operating expense is primarily driven by the timing of the acquisitions of PEG and Tower Cloud, which closed on May 2, 2016 and August 31, 2016, respectively, as well as the acquisition of Southern Light and Hunt that closed on July 3, 2017. For the nine months ended September 30, 2017, Fiber Infrastructure operating expenses included $16.9 million of construction related expenses, $11.3 million of payroll related expense, $8.6 million of tower rent, $9.6 million of lit service expense, $7.3 million of maintenance expense and $5.3 million of dark fiber rent. For the nine months ended September 30, 2016, Fiber Infrastructure operating expenses included $3.1 million of payroll related expense, $4.1 million of tower rent and $2.4 million of lit service expense.</w:t>
      </w:r>
    </w:p>
    <w:p>
      <w:pPr>
        <w:spacing w:after="0" w:line="196" w:lineRule="exact"/>
        <w:rPr>
          <w:sz w:val="20"/>
          <w:szCs w:val="20"/>
          <w:color w:val="auto"/>
        </w:rPr>
      </w:pPr>
    </w:p>
    <w:p>
      <w:pPr>
        <w:ind w:right="100"/>
        <w:spacing w:after="0" w:line="340" w:lineRule="auto"/>
        <w:rPr>
          <w:sz w:val="20"/>
          <w:szCs w:val="20"/>
          <w:color w:val="auto"/>
        </w:rPr>
      </w:pPr>
      <w:r>
        <w:rPr>
          <w:rFonts w:ascii="Arial" w:cs="Arial" w:eastAsia="Arial" w:hAnsi="Arial"/>
          <w:sz w:val="14"/>
          <w:szCs w:val="14"/>
          <w:color w:val="auto"/>
        </w:rPr>
        <w:t>Expense associated with the Consumer CLEC Business is primarily attributable to the Wholesale Agreement and the Master Services Agreement entered between us and Windstream in connection with the Spin-Off, and also included costs arising under the interconnection agreements with other telecommunication carriers. Expense associated with the Wholesale Agreement and Master Services Agreement for the nine months ended September 30, 2017 totaled $7.8 million (1.2% of revenue) and $1.1 million (0.2% of revenue), respectively, and expense associated with the Wholesale Agreement and the Master Services Agreement for the nine months ended September 30, 2016 totaled $9.6 million (1.7% of revenue) and $1.3 million (0.2% of revenue),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19"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Other expense for the nine months ended September 30, 2017, totaled $9.6 million (1.4% of revenue), primarily as a result of a net unrealized loss of $9.1 million for mark-to-market adjustments on our contingent consideration arrangements.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recorded a $9.0 million benefit in income tax benefit for the nine months ended September 30, 2017, primarily as a result of a $8.0 million income tax benefit we recorded primarily related to the release of a valuation allowance due to the closing of the Southern Light transaction. The Southern Light transaction resulted in a deferred tax liability, and this future reversal of taxable temporary differences supports the realization of deferred tax assets which previously had a valuation allowance.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for the nine months ended September 30, 2017 and 2016, revenues and Adjusted EBITDA of our reportable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6"/>
              <w:spacing w:after="0" w:line="131" w:lineRule="exact"/>
              <w:rPr>
                <w:sz w:val="20"/>
                <w:szCs w:val="20"/>
                <w:color w:val="auto"/>
              </w:rPr>
            </w:pPr>
            <w:r>
              <w:rPr>
                <w:rFonts w:ascii="Arial" w:cs="Arial" w:eastAsia="Arial" w:hAnsi="Arial"/>
                <w:sz w:val="14"/>
                <w:szCs w:val="14"/>
                <w:b w:val="1"/>
                <w:bCs w:val="1"/>
                <w:color w:val="auto"/>
                <w:w w:val="90"/>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Towers</w:t>
            </w:r>
          </w:p>
        </w:tc>
        <w:tc>
          <w:tcPr>
            <w:tcW w:w="2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Consumer CLEC</w:t>
            </w:r>
          </w:p>
        </w:tc>
        <w:tc>
          <w:tcPr>
            <w:tcW w:w="2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6"/>
              </w:rPr>
              <w:t>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(15,265)</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261,037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4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(31,625)</w:t>
            </w: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bottom w:val="single" w:sz="8" w:color="CFF0FC"/>
            </w:tcBorders>
            <w:gridSpan w:val="5"/>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6"/>
              <w:spacing w:after="0" w:line="131" w:lineRule="exact"/>
              <w:rPr>
                <w:sz w:val="20"/>
                <w:szCs w:val="20"/>
                <w:color w:val="auto"/>
              </w:rPr>
            </w:pPr>
            <w:r>
              <w:rPr>
                <w:rFonts w:ascii="Arial" w:cs="Arial" w:eastAsia="Arial" w:hAnsi="Arial"/>
                <w:sz w:val="14"/>
                <w:szCs w:val="14"/>
                <w:b w:val="1"/>
                <w:bCs w:val="1"/>
                <w:color w:val="auto"/>
                <w:w w:val="90"/>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Leasing</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Towers</w:t>
            </w:r>
          </w:p>
        </w:tc>
        <w:tc>
          <w:tcPr>
            <w:tcW w:w="80" w:type="dxa"/>
            <w:vAlign w:val="bottom"/>
          </w:tcPr>
          <w:p>
            <w:pPr>
              <w:spacing w:after="0"/>
              <w:rPr>
                <w:sz w:val="12"/>
                <w:szCs w:val="12"/>
                <w:color w:val="auto"/>
              </w:rPr>
            </w:pPr>
          </w:p>
        </w:tc>
        <w:tc>
          <w:tcPr>
            <w:tcW w:w="14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Consumer CLEC</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19"/>
        </w:trPr>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506,945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34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(10,678)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257,059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15,448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6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define AFFO as FFO excluding (i) transaction related costs; (ii) certain noncash revenues and expenses such as stock-based compensation expense, amortization of debt and equity discounts, amortization of deferred financing costs, depreciation and amortization of non-real estate assets, straight-line revenues, and the amortization of other non-cash revenues to the extent that cash has not been received, such as revenue associated with the amortization of TCIs and (iii) the impact, which may be recurring in nature, of the write-off of unamortized deferred financing fees, additional costs incurred as a result of the early repayment of debt,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and financial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We use FFO and AFFO, and their respective per share amounts,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 reconciliation of our net income to EBITDA and Adjusted EBITDA and of our net income attributable to common shareholders to FFO and AFFO for the three and nine months ended September 30, 2017 and 2016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r>
      <w:tr>
        <w:trPr>
          <w:trHeight w:val="233"/>
        </w:trPr>
        <w:tc>
          <w:tcPr>
            <w:tcW w:w="45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0"/>
                <w:szCs w:val="20"/>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(2,343)</w:t>
            </w:r>
          </w:p>
        </w:tc>
        <w:tc>
          <w:tcPr>
            <w:tcW w:w="44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(31,625)</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113,444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317,404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275,448</w:t>
            </w:r>
          </w:p>
        </w:tc>
        <w:tc>
          <w:tcPr>
            <w:tcW w:w="100" w:type="dxa"/>
            <w:vAlign w:val="bottom"/>
          </w:tcPr>
          <w:p>
            <w:pPr>
              <w:spacing w:after="0"/>
              <w:rPr>
                <w:sz w:val="19"/>
                <w:szCs w:val="19"/>
                <w:color w:val="auto"/>
              </w:rPr>
            </w:pPr>
          </w:p>
        </w:tc>
      </w:tr>
      <w:tr>
        <w:trPr>
          <w:trHeight w:val="22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227,235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204,607</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(8,672)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(8,976)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r>
      <w:tr>
        <w:trPr>
          <w:trHeight w:val="220"/>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188,391</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165,030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504,038</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5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9"/>
                <w:szCs w:val="19"/>
                <w:color w:val="auto"/>
              </w:rPr>
            </w:pPr>
          </w:p>
        </w:tc>
      </w:tr>
      <w:tr>
        <w:trPr>
          <w:trHeight w:val="22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(3,933)</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Transaction related costs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32,213</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tcBorders>
              <w:bottom w:val="single" w:sz="8" w:color="CFF0FC"/>
            </w:tcBorders>
          </w:tcPr>
          <w:p>
            <w:pPr>
              <w:spacing w:after="0"/>
              <w:rPr>
                <w:sz w:val="19"/>
                <w:szCs w:val="19"/>
                <w:color w:val="auto"/>
              </w:rPr>
            </w:pPr>
          </w:p>
        </w:tc>
      </w:tr>
      <w:tr>
        <w:trPr>
          <w:trHeight w:val="219"/>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194,938</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175,676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551,510</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6"/>
        </w:trPr>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r>
      <w:tr>
        <w:trPr>
          <w:trHeight w:val="219"/>
        </w:trPr>
        <w:tc>
          <w:tcPr>
            <w:tcW w:w="45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5"/>
              </w:rPr>
              <w:t>Net income (loss) attributable to common shareholders</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(4,144)</w:t>
            </w:r>
          </w:p>
        </w:tc>
        <w:tc>
          <w:tcPr>
            <w:tcW w:w="44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(37,091)</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Pr>
          <w:p>
            <w:pPr>
              <w:ind w:left="120"/>
              <w:spacing w:after="0"/>
              <w:rPr>
                <w:sz w:val="20"/>
                <w:szCs w:val="20"/>
                <w:color w:val="auto"/>
              </w:rPr>
            </w:pPr>
            <w:r>
              <w:rPr>
                <w:rFonts w:ascii="Arial" w:cs="Arial" w:eastAsia="Arial" w:hAnsi="Arial"/>
                <w:sz w:val="18"/>
                <w:szCs w:val="18"/>
                <w:color w:val="auto"/>
              </w:rPr>
              <w:t>Real estate 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95,519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88,846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278,714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261,678</w:t>
            </w:r>
          </w:p>
        </w:tc>
        <w:tc>
          <w:tcPr>
            <w:tcW w:w="100" w:type="dxa"/>
            <w:vAlign w:val="bottom"/>
          </w:tcPr>
          <w:p>
            <w:pPr>
              <w:spacing w:after="0"/>
              <w:rPr>
                <w:sz w:val="19"/>
                <w:szCs w:val="19"/>
                <w:color w:val="auto"/>
              </w:rPr>
            </w:pPr>
          </w:p>
        </w:tc>
      </w:tr>
      <w:tr>
        <w:trPr>
          <w:trHeight w:val="227"/>
        </w:trPr>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Participating securities share in earnings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Pr>
          <w:p>
            <w:pPr>
              <w:ind w:left="120"/>
              <w:spacing w:after="0"/>
              <w:rPr>
                <w:sz w:val="20"/>
                <w:szCs w:val="20"/>
                <w:color w:val="auto"/>
              </w:rPr>
            </w:pPr>
            <w:r>
              <w:rPr>
                <w:rFonts w:ascii="Arial" w:cs="Arial" w:eastAsia="Arial" w:hAnsi="Arial"/>
                <w:sz w:val="18"/>
                <w:szCs w:val="18"/>
                <w:color w:val="auto"/>
              </w:rPr>
              <w:t>Participating securities share in FFO</w:t>
            </w: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(388)</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(1,156)</w:t>
            </w: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(1,164)</w:t>
            </w:r>
          </w:p>
        </w:tc>
      </w:tr>
      <w:tr>
        <w:trPr>
          <w:trHeight w:val="227"/>
        </w:trPr>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for noncontrolling interests</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(2,222)</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(2,222)</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19"/>
        </w:trPr>
        <w:tc>
          <w:tcPr>
            <w:tcW w:w="4520" w:type="dxa"/>
            <w:vAlign w:val="bottom"/>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96,236</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239,401</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262,344</w:t>
            </w:r>
          </w:p>
        </w:tc>
        <w:tc>
          <w:tcPr>
            <w:tcW w:w="100" w:type="dxa"/>
            <w:vAlign w:val="bottom"/>
          </w:tcPr>
          <w:p>
            <w:pPr>
              <w:spacing w:after="0"/>
              <w:rPr>
                <w:sz w:val="19"/>
                <w:szCs w:val="19"/>
                <w:color w:val="auto"/>
              </w:rPr>
            </w:pPr>
          </w:p>
        </w:tc>
      </w:tr>
      <w:tr>
        <w:trPr>
          <w:trHeight w:val="227"/>
        </w:trPr>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Transaction related costs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(3,933)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9,091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7"/>
        </w:trPr>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Pr>
          <w:p>
            <w:pPr>
              <w:ind w:left="120"/>
              <w:spacing w:after="0"/>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19"/>
                <w:szCs w:val="19"/>
                <w:color w:val="auto"/>
              </w:rPr>
            </w:pPr>
          </w:p>
        </w:tc>
      </w:tr>
      <w:tr>
        <w:trPr>
          <w:trHeight w:val="227"/>
        </w:trPr>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based compensation</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Pr>
          <w:p>
            <w:pPr>
              <w:ind w:left="120"/>
              <w:spacing w:after="0"/>
              <w:rPr>
                <w:sz w:val="20"/>
                <w:szCs w:val="20"/>
                <w:color w:val="auto"/>
              </w:rPr>
            </w:pPr>
            <w:r>
              <w:rPr>
                <w:rFonts w:ascii="Arial" w:cs="Arial" w:eastAsia="Arial" w:hAnsi="Arial"/>
                <w:sz w:val="18"/>
                <w:szCs w:val="18"/>
                <w:color w:val="auto"/>
              </w:rPr>
              <w:t>Non-real estate 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17,925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38,690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13,770</w:t>
            </w:r>
          </w:p>
        </w:tc>
        <w:tc>
          <w:tcPr>
            <w:tcW w:w="100" w:type="dxa"/>
            <w:vAlign w:val="bottom"/>
          </w:tcPr>
          <w:p>
            <w:pPr>
              <w:spacing w:after="0"/>
              <w:rPr>
                <w:sz w:val="19"/>
                <w:szCs w:val="19"/>
                <w:color w:val="auto"/>
              </w:rPr>
            </w:pPr>
          </w:p>
        </w:tc>
      </w:tr>
      <w:tr>
        <w:trPr>
          <w:trHeight w:val="227"/>
        </w:trPr>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Straight-line revenues</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(3,609)</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(4,547)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(10,857)</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(13,174)</w:t>
            </w:r>
          </w:p>
        </w:tc>
      </w:tr>
      <w:tr>
        <w:trPr>
          <w:trHeight w:val="226"/>
        </w:trPr>
        <w:tc>
          <w:tcPr>
            <w:tcW w:w="4520" w:type="dxa"/>
            <w:vAlign w:val="bottom"/>
          </w:tcPr>
          <w:p>
            <w:pPr>
              <w:ind w:left="12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(1,476)</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(3,454)</w:t>
            </w: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(2,095)</w:t>
            </w:r>
          </w:p>
        </w:tc>
      </w:tr>
      <w:tr>
        <w:trPr>
          <w:trHeight w:val="227"/>
        </w:trPr>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discount on convertible preferred stock</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r>
      <w:tr>
        <w:trPr>
          <w:trHeight w:val="226"/>
        </w:trPr>
        <w:tc>
          <w:tcPr>
            <w:tcW w:w="4520" w:type="dxa"/>
            <w:vAlign w:val="bottom"/>
          </w:tcPr>
          <w:p>
            <w:pPr>
              <w:ind w:left="120"/>
              <w:spacing w:after="0"/>
              <w:rPr>
                <w:sz w:val="20"/>
                <w:szCs w:val="20"/>
                <w:color w:val="auto"/>
              </w:rPr>
            </w:pPr>
            <w:r>
              <w:rPr>
                <w:rFonts w:ascii="Arial" w:cs="Arial" w:eastAsia="Arial" w:hAnsi="Arial"/>
                <w:sz w:val="18"/>
                <w:szCs w:val="18"/>
                <w:color w:val="auto"/>
              </w:rPr>
              <w:t>Adjustment to deferred tax valuation allowance</w:t>
            </w: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(7,992)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(7,992)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7"/>
        </w:trPr>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non-cash (revenue) expense, net</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(3,509)</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(9,304)</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(4,842)</w:t>
            </w:r>
          </w:p>
        </w:tc>
      </w:tr>
      <w:tr>
        <w:trPr>
          <w:trHeight w:val="226"/>
        </w:trPr>
        <w:tc>
          <w:tcPr>
            <w:tcW w:w="4520" w:type="dxa"/>
            <w:vAlign w:val="bottom"/>
          </w:tcPr>
          <w:p>
            <w:pPr>
              <w:ind w:left="120"/>
              <w:spacing w:after="0"/>
              <w:rPr>
                <w:sz w:val="20"/>
                <w:szCs w:val="20"/>
                <w:color w:val="auto"/>
              </w:rPr>
            </w:pPr>
            <w:r>
              <w:rPr>
                <w:rFonts w:ascii="Arial" w:cs="Arial" w:eastAsia="Arial" w:hAnsi="Arial"/>
                <w:sz w:val="18"/>
                <w:szCs w:val="18"/>
                <w:color w:val="auto"/>
              </w:rPr>
              <w:t>Adjustments for noncontrolling interests</w:t>
            </w: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9"/>
        </w:trPr>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3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110,667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99,685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312,425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w:t>
      </w:r>
    </w:p>
    <w:p>
      <w:pPr>
        <w:spacing w:after="0" w:line="18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9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2016, filed with SEC on February 23, 2017. As of September 30, 2017, there has been no material change to these estimates.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the Operating Partnership’s senior secured revolving credit facility that matures April 24, 2020 (the “Revolving Credit Facility”), and proceeds from the issuance of debt and equity securities. As of September 30, 2017, we had cash and cash equivalents of $49.9 million and $590 million of undrawn borrowing capacity under the Revolving Credit Facility. On July 3, 2017, we closed the previously announced acquisitions of Southern Light and Hunt, using approximately $768 million in cash, including the payoff of existing indebtedness and unpaid transaction expenses.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was $337.8 million and $300.5 million for the nine months ended September 30, 2017 and 2016, respectively.</w:t>
      </w:r>
    </w:p>
    <w:p>
      <w:pPr>
        <w:spacing w:after="0" w:line="124"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Cash used in investing activities was $957.2 million for the nine months ended September 30, 2017, which was driven by the acquisitions of Southern Light ($635.9 million), Hunt ($127.9 million), NMS assets ($68.6 million), ground lease investments ($13.9 million), partially offset by a Tower Cloud working capital adjustment ($0.2 million), and capital expenditures ($111.1 million), primarily related to our Uniti Fiber and Uniti Towers businesses. Cash used in investing activities was $508.7 million for the nine months ended September 30, 2016, which was driven by the acquisition of PEG ($316.1 million), the acquisition of Tower Cloud ($173.4 million) and capital expenditures ($19.2 million). The increase in capital expenditures is due to network deployments related to our Uniti Fiber and Uniti Towers businesses.</w:t>
      </w:r>
    </w:p>
    <w:p>
      <w:pPr>
        <w:spacing w:after="0" w:line="9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As of September 30, 2017, under the terms of the purchase agreement with NMS, we have acquired 43 of the 105 towers, which were under development at the time of the NMS acquisition, for approximately $4.1 million.</w:t>
      </w:r>
    </w:p>
    <w:p>
      <w:pPr>
        <w:spacing w:after="0" w:line="7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Cash provided by financing activities was $497.2 million for the nine months ended September 30, 2017, which primarily represents the net proceeds from the sale of common stock through a public offering ($498.9 million) and proceeds from the 2024 Notes issued in May 2017 ($201.0 million), which were used to fund the acquisitions of Southern Light and Hunt, and net borrowings under the Revolving Credit Facility ($160.0 million), partially offset by dividend payments ($294.3 million), deferred financing costs related to the term loan repricing and 2024 Notes issued in May 2017 ($28.5 million), contingent consideration payments ($19.9 million), and principal payments related to the Term Loan Facility ($15.8 million).</w:t>
      </w:r>
    </w:p>
    <w:p>
      <w:pPr>
        <w:spacing w:after="0" w:line="7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quarter ended September 30, 2017, no sales were made under the ATM Program. This program provides additional financial flexibility and an alternative mechanism to access the capital markets at an efficient cost as and when we need financing, including for acquisitions. While we have not used the program to date, we currently intend to utilize the program when we believe the price we can obtain for our common stock is attractive.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recently completed acquisitions of Hunt and Southern Light.</w:t>
      </w:r>
    </w:p>
    <w:p>
      <w:pPr>
        <w:spacing w:after="0" w:line="7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anticipate our cash on hand and borrowing availability under the Revolving Credit Facility, combined with our cash flows provided by operating activities will be sufficient to fund our business operations, debt service and distributions to our shareholders over the next twelve months. However, we may take advantage of opportunities to generate additional liquidity through capital markets transactions including, without limitation, the ATM Program.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o</w:t>
      </w:r>
      <w:r>
        <w:rPr>
          <w:rFonts w:ascii="Arial" w:cs="Arial" w:eastAsia="Arial" w:hAnsi="Arial"/>
          <w:sz w:val="18"/>
          <w:szCs w:val="18"/>
          <w:b w:val="1"/>
          <w:bCs w:val="1"/>
          <w:color w:val="auto"/>
        </w:rPr>
        <w:t>ntractual Obligations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had contractual obligations and commitments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rPr>
              <w:t>Less than 1</w:t>
            </w:r>
          </w:p>
        </w:tc>
        <w:tc>
          <w:tcPr>
            <w:tcW w:w="800" w:type="dxa"/>
            <w:vAlign w:val="bottom"/>
          </w:tcPr>
          <w:p>
            <w:pPr>
              <w:jc w:val="right"/>
              <w:ind w:right="60"/>
              <w:spacing w:after="0" w:line="131" w:lineRule="exact"/>
              <w:rPr>
                <w:sz w:val="20"/>
                <w:szCs w:val="20"/>
                <w:color w:val="auto"/>
              </w:rPr>
            </w:pPr>
            <w:r>
              <w:rPr>
                <w:rFonts w:ascii="Arial" w:cs="Arial" w:eastAsia="Arial" w:hAnsi="Arial"/>
                <w:sz w:val="14"/>
                <w:szCs w:val="14"/>
                <w:b w:val="1"/>
                <w:bCs w:val="1"/>
                <w:color w:val="auto"/>
              </w:rPr>
              <w:t>1-3</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96"/>
              <w:spacing w:after="0" w:line="131"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rPr>
              <w:t>More than</w:t>
            </w:r>
          </w:p>
        </w:tc>
        <w:tc>
          <w:tcPr>
            <w:tcW w:w="200" w:type="dxa"/>
            <w:vAlign w:val="bottom"/>
          </w:tcPr>
          <w:p>
            <w:pPr>
              <w:spacing w:after="0"/>
              <w:rPr>
                <w:sz w:val="11"/>
                <w:szCs w:val="11"/>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(millions)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Years</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(a)</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5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rPr>
                <w:sz w:val="20"/>
                <w:szCs w:val="20"/>
                <w:color w:val="auto"/>
              </w:rPr>
            </w:pPr>
            <w:r>
              <w:rPr>
                <w:rFonts w:ascii="Arial" w:cs="Arial" w:eastAsia="Arial" w:hAnsi="Arial"/>
                <w:sz w:val="18"/>
                <w:szCs w:val="18"/>
                <w:color w:val="auto"/>
              </w:rPr>
              <w:t>Interest payments on long-term debt obligations</w:t>
            </w:r>
            <w:r>
              <w:rPr>
                <w:rFonts w:ascii="Arial" w:cs="Arial" w:eastAsia="Arial" w:hAnsi="Arial"/>
                <w:sz w:val="15"/>
                <w:szCs w:val="15"/>
                <w:color w:val="auto"/>
              </w:rPr>
              <w:t>(b)</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Network deployment</w:t>
            </w:r>
            <w:r>
              <w:rPr>
                <w:rFonts w:ascii="Arial" w:cs="Arial" w:eastAsia="Arial" w:hAnsi="Arial"/>
                <w:sz w:val="15"/>
                <w:szCs w:val="15"/>
                <w:color w:val="auto"/>
              </w:rPr>
              <w:t>(c)</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projected obligations and commitments</w:t>
            </w:r>
            <w:r>
              <w:rPr>
                <w:rFonts w:ascii="Arial" w:cs="Arial" w:eastAsia="Arial" w:hAnsi="Arial"/>
                <w:sz w:val="15"/>
                <w:szCs w:val="15"/>
                <w:b w:val="1"/>
                <w:bCs w:val="1"/>
                <w:color w:val="auto"/>
              </w:rPr>
              <w:t>(d)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62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578</w:t>
            </w:r>
          </w:p>
        </w:tc>
        <w:tc>
          <w:tcPr>
            <w:tcW w:w="5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hanging="514"/>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$150.2 million of unamortized discounts on long-term debt and deferred financing costs.</w:t>
      </w:r>
    </w:p>
    <w:p>
      <w:pPr>
        <w:spacing w:after="0" w:line="17" w:lineRule="exact"/>
        <w:rPr>
          <w:rFonts w:ascii="Arial" w:cs="Arial" w:eastAsia="Arial" w:hAnsi="Arial"/>
          <w:sz w:val="18"/>
          <w:szCs w:val="18"/>
          <w:color w:val="auto"/>
        </w:rPr>
      </w:pPr>
    </w:p>
    <w:p>
      <w:pPr>
        <w:ind w:left="520" w:hanging="514"/>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rates on our Term Loan Facility are based on our swap rates.</w:t>
      </w:r>
    </w:p>
    <w:p>
      <w:pPr>
        <w:spacing w:after="0" w:line="5" w:lineRule="exact"/>
        <w:rPr>
          <w:rFonts w:ascii="Arial" w:cs="Arial" w:eastAsia="Arial" w:hAnsi="Arial"/>
          <w:sz w:val="18"/>
          <w:szCs w:val="18"/>
          <w:color w:val="auto"/>
        </w:rPr>
      </w:pPr>
    </w:p>
    <w:p>
      <w:pPr>
        <w:ind w:left="520" w:right="40" w:hanging="514"/>
        <w:spacing w:after="0" w:line="246"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Network deployment purchase commitments are for success-based projects for which we have a signed customer contract before we commit resources to expand our network.</w:t>
      </w:r>
    </w:p>
    <w:p>
      <w:pPr>
        <w:spacing w:after="0" w:line="1" w:lineRule="exact"/>
        <w:rPr>
          <w:rFonts w:ascii="Arial" w:cs="Arial" w:eastAsia="Arial" w:hAnsi="Arial"/>
          <w:sz w:val="18"/>
          <w:szCs w:val="18"/>
          <w:color w:val="auto"/>
        </w:rPr>
      </w:pPr>
    </w:p>
    <w:p>
      <w:pPr>
        <w:ind w:left="520" w:hanging="514"/>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$10.4 million of derivative liability related to interest rate swaps maturing on October 24, 2022.</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are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On October 13, 2017, we paid, to shareholders of record as of the close of business on September 29, 2017, a cash dividend on our common stock of $0.60 per share for the period July 1, 2017 through September 30, 2017.</w:t>
      </w:r>
    </w:p>
    <w:p>
      <w:pPr>
        <w:spacing w:after="0" w:line="7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On July 14, 2017, we paid, to shareholders of record as of the close of business on June 30, 2017, a cash dividend on our common stock of $0.60 per share for the period from April 1, 2017 through June 30, 2017.</w:t>
      </w:r>
    </w:p>
    <w:p>
      <w:pPr>
        <w:spacing w:after="0" w:line="7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On April 14, 2017, we paid, to shareholders of record as of the close of business on March 31, 2017, a cash dividend on our common stock of $0.60 per share for the period from January 1, 2017 through March 31, 2017.</w:t>
      </w:r>
    </w:p>
    <w:p>
      <w:pPr>
        <w:spacing w:after="0" w:line="7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On January 13, 2017, we paid, to shareholders of record as of the close of business on December 30, 2016, a cash dividend on our common stock of $0.60 per share for the period from October 1, 2016 through December 31,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1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categorize our capital expenditures as either (i) success-based, (ii) maintenance, or (iii) corporate and non-network. We define success-based capital expenditures as those which are tied to contractual obligations to customers or are discretionary in nature and are intended to add growth capacity to our existing network. Maintenance capital expenditures are those necessary to keep existing network elements fully operational. We anticipate continuing to invest in our network infrastructure across our Uniti Fiber and Uniti Towers portfolios, and expect that cash on hand, borrowings under our Revolving Credit Facility, and cash flows provided by operating activities will be sufficient to support these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1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2016, filed with the SEC on February 23, 2017.</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August 2017, the FASB issued Accounting Standards Update (“ASU”) No. 2017-12</w:t>
      </w:r>
      <w:r>
        <w:rPr>
          <w:rFonts w:ascii="Arial" w:cs="Arial" w:eastAsia="Arial" w:hAnsi="Arial"/>
          <w:sz w:val="18"/>
          <w:szCs w:val="18"/>
          <w:i w:val="1"/>
          <w:iCs w:val="1"/>
          <w:color w:val="auto"/>
        </w:rPr>
        <w:t>, Derivatives and Hedging (Topic 815):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(“ASU 2017-12”), which amends and simplifies existing guidance in order to allow companies to more accurately present the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effects of risk management activities in the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ind w:right="620"/>
        <w:spacing w:after="0" w:line="329" w:lineRule="auto"/>
        <w:rPr>
          <w:sz w:val="20"/>
          <w:szCs w:val="20"/>
          <w:color w:val="auto"/>
        </w:rPr>
      </w:pPr>
      <w:r>
        <w:rPr>
          <w:rFonts w:ascii="Arial" w:cs="Arial" w:eastAsia="Arial" w:hAnsi="Arial"/>
          <w:sz w:val="16"/>
          <w:szCs w:val="16"/>
          <w:color w:val="auto"/>
        </w:rPr>
        <w:t>ASU 2017-12 is effective for annual periods beginning after December 15, 2018 and interim periods within those annual periods, and earlier adoption is permitted. The Company is currently evaluating the impacts the adoption of this accounting standard will have on our financial statements.</w:t>
      </w:r>
    </w:p>
    <w:p>
      <w:pPr>
        <w:spacing w:after="0" w:line="13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 - 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which provides guidance for recognizing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from the transfer of nonfinancial assets and for partial sales of nonfinancial assets, and is effective for financial statements issued for fiscal years and interim periods beginning after December 15, 2017. The Company is currently evaluating the impacts the adoption of this accounting standard will have on our financial statements.</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Accounting for Goodwill Impairment</w:t>
      </w:r>
      <w:r>
        <w:rPr>
          <w:rFonts w:ascii="Arial" w:cs="Arial" w:eastAsia="Arial" w:hAnsi="Arial"/>
          <w:sz w:val="17"/>
          <w:szCs w:val="17"/>
          <w:color w:val="auto"/>
        </w:rPr>
        <w:t xml:space="preserve"> (“ASU 2017-04”), which removes the requirement to perform a hypothetical purchase price allocation to measure goodwill impairment. A goodwill impairment will now be the amount by which a reporting unit’s carrying value exceeds its fair value, not to exceed the carrying amount of goodwill. ASU 2017-04 is effective for annual and interim periods beginning January 1, 2020, with early adoption permitted, and applied prospectively. We adopted ASU 2017-04 effective January 1, 2017, and there was no material impact on our financial position, results of operations or cash flows.</w:t>
      </w:r>
    </w:p>
    <w:p>
      <w:pPr>
        <w:spacing w:after="0" w:line="178" w:lineRule="exact"/>
        <w:rPr>
          <w:sz w:val="20"/>
          <w:szCs w:val="20"/>
          <w:color w:val="auto"/>
        </w:rPr>
      </w:pP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in an effort to clarify the definition of a business with the objective of adding guidance to assist entities with evaluating whether transactions should be accounted for as acquisitions (or disposals) of assets or businesses. ASU 2017-01 is effective for fiscal years beginning after December 15, 2017, and interim periods within those fiscal years, with early adoption permitted. We adopted ASU 2017-01 effective January 1, 2017, with prospective application. As a result of the adoption of ASU 2017-01, the Company’s acquisition of NMS (</w:t>
      </w:r>
      <w:hyperlink w:anchor="page12">
        <w:r>
          <w:rPr>
            <w:rFonts w:ascii="Arial" w:cs="Arial" w:eastAsia="Arial" w:hAnsi="Arial"/>
            <w:sz w:val="18"/>
            <w:szCs w:val="18"/>
            <w:u w:val="single" w:color="auto"/>
            <w:color w:val="auto"/>
          </w:rPr>
          <w:t>see Note 3</w:t>
        </w:r>
      </w:hyperlink>
      <w:r>
        <w:rPr>
          <w:rFonts w:ascii="Arial" w:cs="Arial" w:eastAsia="Arial" w:hAnsi="Arial"/>
          <w:sz w:val="18"/>
          <w:szCs w:val="18"/>
          <w:color w:val="auto"/>
        </w:rPr>
        <w:t>) was determined to be an asset acquisition. Transaction costs associated with asset acquisitions, which includes our real property interest investments, are now capitalized as opposed to be recorded as an expense as was required prior to adoption of ASU 2017-01.</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intends to adopt the revenue recognition guidance on January 1, 2018 using the modified retrospective approach. The Company’s implementation efforts include reviewing revenue contracts and the identification of revenue within the scope of the guidance. As ASU 2014-09 does not impact lessor accounting, the Company believes our accounting for leasing revenues will not be significantly impacted. While the Company currently has not identified any material changes in the timing of revenue recognition, we do anticipate an impact to our Fiber Infrastructure costs, primarily related to the capitalization of commission expense under ASU 2014-09, and are currently in the process of quantifying such impacts.</w:t>
      </w:r>
    </w:p>
    <w:p>
      <w:pPr>
        <w:spacing w:after="0" w:line="189"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provisions of this guidance are effective for annual periods beginning after December 31, 2018, and for interim periods therein.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 of use assets, the extent of the impact of a gross-up is under evaluation. The Company does not anticipate material changes to the recognition of operating lease expense in its Consolidated Statements of Income.</w:t>
      </w:r>
    </w:p>
    <w:p>
      <w:pPr>
        <w:spacing w:after="0" w:line="17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 The Company is currently evaluating the impact the adoption of this accounting standard will have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2016, filed with the SEC on February 23,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September 30, 2017. Based on this evaluation, our principal executive officer and principal financial officer concluded that our disclosure controls and procedures were effective as of September 30,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2"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September 30,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There have been no material changes to the risk factors affecting our business that were discussed in Part I, “Item 1A. Risk Factors” in our Annual Report on Form 10-K for the year ended December 31, 2016 filed with the SEC on February 23,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Maximum Number of</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Average Price Paid per</w:t>
            </w:r>
          </w:p>
        </w:tc>
        <w:tc>
          <w:tcPr>
            <w:tcW w:w="1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Purchased as Part of</w:t>
            </w:r>
          </w:p>
        </w:tc>
        <w:tc>
          <w:tcPr>
            <w:tcW w:w="100" w:type="dxa"/>
            <w:vAlign w:val="bottom"/>
          </w:tcPr>
          <w:p>
            <w:pPr>
              <w:spacing w:after="0"/>
              <w:rPr>
                <w:sz w:val="12"/>
                <w:szCs w:val="12"/>
                <w:color w:val="auto"/>
              </w:rPr>
            </w:pPr>
          </w:p>
        </w:tc>
        <w:tc>
          <w:tcPr>
            <w:tcW w:w="1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69"/>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1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Borders>
              <w:bottom w:val="single" w:sz="8" w:color="CFF0FC"/>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July 1, 2017 to July 31, 2017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400" w:type="dxa"/>
            <w:vAlign w:val="bottom"/>
            <w:gridSpan w:val="2"/>
            <w:shd w:val="clear" w:color="auto" w:fill="CFF0FC"/>
          </w:tcPr>
          <w:p>
            <w:pPr>
              <w:jc w:val="right"/>
              <w:ind w:right="12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40" w:type="dxa"/>
            <w:vAlign w:val="bottom"/>
            <w:gridSpan w:val="2"/>
          </w:tcPr>
          <w:p>
            <w:pPr>
              <w:spacing w:after="0"/>
              <w:rPr>
                <w:sz w:val="20"/>
                <w:szCs w:val="20"/>
                <w:color w:val="auto"/>
              </w:rPr>
            </w:pPr>
            <w:r>
              <w:rPr>
                <w:rFonts w:ascii="Arial" w:cs="Arial" w:eastAsia="Arial" w:hAnsi="Arial"/>
                <w:sz w:val="18"/>
                <w:szCs w:val="18"/>
                <w:color w:val="auto"/>
              </w:rPr>
              <w:t>August 1, 2017 to August 31, 2017</w:t>
            </w: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1660" w:type="dxa"/>
            <w:vAlign w:val="bottom"/>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2017 to September 30, 2017</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40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19"/>
                <w:szCs w:val="19"/>
                <w:color w:val="auto"/>
              </w:rPr>
            </w:pP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680" w:firstLine="6"/>
        <w:spacing w:after="0" w:line="266" w:lineRule="auto"/>
        <w:tabs>
          <w:tab w:leader="none" w:pos="22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average price paid per share is the weighted-average of the fair market prices at which we calculated the number of shares withheld to cover tax withholdings for the employees.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80" w:type="dxa"/>
            <w:vAlign w:val="bottom"/>
            <w:gridSpan w:val="7"/>
          </w:tcPr>
          <w:p>
            <w:pPr>
              <w:ind w:left="3200"/>
              <w:spacing w:after="0"/>
              <w:rPr>
                <w:sz w:val="20"/>
                <w:szCs w:val="20"/>
                <w:color w:val="auto"/>
              </w:rPr>
            </w:pPr>
            <w:r>
              <w:rPr>
                <w:rFonts w:ascii="Arial" w:cs="Arial" w:eastAsia="Arial" w:hAnsi="Arial"/>
                <w:sz w:val="14"/>
                <w:szCs w:val="14"/>
                <w:b w:val="1"/>
                <w:bCs w:val="1"/>
                <w:color w:val="auto"/>
              </w:rPr>
              <w:t>Description</w:t>
            </w:r>
          </w:p>
        </w:tc>
      </w:tr>
      <w:tr>
        <w:trPr>
          <w:trHeight w:val="184"/>
        </w:trPr>
        <w:tc>
          <w:tcPr>
            <w:tcW w:w="122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97"/>
        </w:trPr>
        <w:tc>
          <w:tcPr>
            <w:tcW w:w="1220" w:type="dxa"/>
            <w:vAlign w:val="bottom"/>
          </w:tcPr>
          <w:p>
            <w:pPr>
              <w:spacing w:after="0"/>
              <w:rPr>
                <w:sz w:val="20"/>
                <w:szCs w:val="20"/>
                <w:color w:val="auto"/>
              </w:rPr>
            </w:pPr>
            <w:r>
              <w:rPr>
                <w:rFonts w:ascii="Arial" w:cs="Arial" w:eastAsia="Arial" w:hAnsi="Arial"/>
                <w:sz w:val="18"/>
                <w:szCs w:val="18"/>
                <w:color w:val="auto"/>
              </w:rPr>
              <w:t>4.1*</w:t>
            </w:r>
          </w:p>
        </w:tc>
        <w:tc>
          <w:tcPr>
            <w:tcW w:w="9860" w:type="dxa"/>
            <w:vAlign w:val="bottom"/>
            <w:gridSpan w:val="10"/>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Fifth Supplemental Indenture, dated as of August 11, 2017, among Uniti Group LP, Uniti Fiber Holdings Inc., and CSL Capital, LLC, as</w:t>
              </w:r>
            </w:hyperlink>
          </w:p>
        </w:tc>
      </w:tr>
      <w:tr>
        <w:trPr>
          <w:trHeight w:val="193"/>
        </w:trPr>
        <w:tc>
          <w:tcPr>
            <w:tcW w:w="1220" w:type="dxa"/>
            <w:vAlign w:val="bottom"/>
          </w:tcPr>
          <w:p>
            <w:pPr>
              <w:spacing w:after="0"/>
              <w:rPr>
                <w:sz w:val="16"/>
                <w:szCs w:val="16"/>
                <w:color w:val="auto"/>
              </w:rPr>
            </w:pPr>
          </w:p>
        </w:tc>
        <w:tc>
          <w:tcPr>
            <w:tcW w:w="9680" w:type="dxa"/>
            <w:vAlign w:val="bottom"/>
            <w:tcBorders>
              <w:top w:val="single" w:sz="8" w:color="0000EE"/>
            </w:tcBorders>
            <w:gridSpan w:val="9"/>
          </w:tcPr>
          <w:p>
            <w:pPr>
              <w:spacing w:after="0" w:line="193"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Issuers, the guarantors named therein, and Wells Fargo Bank, National Association, as trustee, relating to the 7.125% Senior Notes due</w:t>
              </w:r>
            </w:hyperlink>
          </w:p>
        </w:tc>
        <w:tc>
          <w:tcPr>
            <w:tcW w:w="180" w:type="dxa"/>
            <w:vAlign w:val="bottom"/>
          </w:tcPr>
          <w:p>
            <w:pPr>
              <w:spacing w:after="0"/>
              <w:rPr>
                <w:sz w:val="16"/>
                <w:szCs w:val="16"/>
                <w:color w:val="auto"/>
              </w:rPr>
            </w:pPr>
          </w:p>
        </w:tc>
      </w:tr>
      <w:tr>
        <w:trPr>
          <w:trHeight w:val="193"/>
        </w:trPr>
        <w:tc>
          <w:tcPr>
            <w:tcW w:w="12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2024.</w:t>
              </w:r>
            </w:hyperlink>
          </w:p>
        </w:tc>
        <w:tc>
          <w:tcPr>
            <w:tcW w:w="5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3540" w:type="dxa"/>
            <w:vAlign w:val="bottom"/>
            <w:tcBorders>
              <w:top w:val="single" w:sz="8" w:color="0000EE"/>
            </w:tcBorders>
          </w:tcPr>
          <w:p>
            <w:pPr>
              <w:spacing w:after="0"/>
              <w:rPr>
                <w:sz w:val="16"/>
                <w:szCs w:val="16"/>
                <w:color w:val="auto"/>
              </w:rPr>
            </w:pPr>
          </w:p>
        </w:tc>
        <w:tc>
          <w:tcPr>
            <w:tcW w:w="45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39"/>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5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Certification of Principal Executive Officer Pursuant to Rules 13a-14(a) and 15d-14(a) under the Securities Exchange Act of 1934, as</w:t>
              </w:r>
            </w:hyperlink>
          </w:p>
        </w:tc>
        <w:tc>
          <w:tcPr>
            <w:tcW w:w="360" w:type="dxa"/>
            <w:vAlign w:val="bottom"/>
            <w:gridSpan w:val="3"/>
          </w:tcPr>
          <w:p>
            <w:pPr>
              <w:spacing w:after="0"/>
              <w:rPr>
                <w:sz w:val="24"/>
                <w:szCs w:val="24"/>
                <w:color w:val="auto"/>
              </w:rPr>
            </w:pPr>
          </w:p>
        </w:tc>
      </w:tr>
      <w:tr>
        <w:trPr>
          <w:trHeight w:val="193"/>
        </w:trPr>
        <w:tc>
          <w:tcPr>
            <w:tcW w:w="1220" w:type="dxa"/>
            <w:vAlign w:val="bottom"/>
          </w:tcPr>
          <w:p>
            <w:pPr>
              <w:spacing w:after="0"/>
              <w:rPr>
                <w:sz w:val="16"/>
                <w:szCs w:val="16"/>
                <w:color w:val="auto"/>
              </w:rPr>
            </w:pPr>
          </w:p>
        </w:tc>
        <w:tc>
          <w:tcPr>
            <w:tcW w:w="4920" w:type="dxa"/>
            <w:vAlign w:val="bottom"/>
            <w:tcBorders>
              <w:bottom w:val="single" w:sz="8" w:color="0000EE"/>
            </w:tcBorders>
            <w:gridSpan w:val="4"/>
          </w:tcPr>
          <w:p>
            <w:pPr>
              <w:spacing w:after="0" w:line="193"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Adopted Pursuant to Section 302 of the Sarbanes-Oxley Act of 2002.</w:t>
              </w:r>
            </w:hyperlink>
          </w:p>
        </w:tc>
        <w:tc>
          <w:tcPr>
            <w:tcW w:w="4940" w:type="dxa"/>
            <w:vAlign w:val="bottom"/>
            <w:gridSpan w:val="6"/>
          </w:tcPr>
          <w:p>
            <w:pPr>
              <w:spacing w:after="0"/>
              <w:rPr>
                <w:sz w:val="16"/>
                <w:szCs w:val="16"/>
                <w:color w:val="auto"/>
              </w:rPr>
            </w:pPr>
          </w:p>
        </w:tc>
      </w:tr>
      <w:tr>
        <w:trPr>
          <w:trHeight w:val="313"/>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4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Certification of Principal Financial Officer Pursuant to Rules 13a-14(a) and 15d-14(a) under the Securities Exchange Act of 1934, as</w:t>
              </w:r>
            </w:hyperlink>
          </w:p>
        </w:tc>
        <w:tc>
          <w:tcPr>
            <w:tcW w:w="420" w:type="dxa"/>
            <w:vAlign w:val="bottom"/>
            <w:gridSpan w:val="5"/>
          </w:tcPr>
          <w:p>
            <w:pPr>
              <w:spacing w:after="0"/>
              <w:rPr>
                <w:sz w:val="24"/>
                <w:szCs w:val="24"/>
                <w:color w:val="auto"/>
              </w:rPr>
            </w:pPr>
          </w:p>
        </w:tc>
      </w:tr>
      <w:tr>
        <w:trPr>
          <w:trHeight w:val="193"/>
        </w:trPr>
        <w:tc>
          <w:tcPr>
            <w:tcW w:w="1220" w:type="dxa"/>
            <w:vAlign w:val="bottom"/>
          </w:tcPr>
          <w:p>
            <w:pPr>
              <w:spacing w:after="0"/>
              <w:rPr>
                <w:sz w:val="16"/>
                <w:szCs w:val="16"/>
                <w:color w:val="auto"/>
              </w:rPr>
            </w:pPr>
          </w:p>
        </w:tc>
        <w:tc>
          <w:tcPr>
            <w:tcW w:w="4920" w:type="dxa"/>
            <w:vAlign w:val="bottom"/>
            <w:tcBorders>
              <w:bottom w:val="single" w:sz="8" w:color="0000EE"/>
            </w:tcBorders>
            <w:gridSpan w:val="4"/>
          </w:tcPr>
          <w:p>
            <w:pPr>
              <w:spacing w:after="0" w:line="193"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Adopted Pursuant to Section 302 of the Sarbanes-Oxley Act of 2002.</w:t>
              </w:r>
            </w:hyperlink>
          </w:p>
        </w:tc>
        <w:tc>
          <w:tcPr>
            <w:tcW w:w="4940" w:type="dxa"/>
            <w:vAlign w:val="bottom"/>
            <w:gridSpan w:val="6"/>
          </w:tcPr>
          <w:p>
            <w:pPr>
              <w:spacing w:after="0"/>
              <w:rPr>
                <w:sz w:val="16"/>
                <w:szCs w:val="16"/>
                <w:color w:val="auto"/>
              </w:rPr>
            </w:pPr>
          </w:p>
        </w:tc>
      </w:tr>
      <w:tr>
        <w:trPr>
          <w:trHeight w:val="313"/>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4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Certification of Principal Executive Officer Pursuant to 18 U.S.C. Section 1350, as Adopted Pursuant to Section 906 of the Sarbanes-</w:t>
              </w:r>
            </w:hyperlink>
          </w:p>
        </w:tc>
        <w:tc>
          <w:tcPr>
            <w:tcW w:w="380" w:type="dxa"/>
            <w:vAlign w:val="bottom"/>
            <w:gridSpan w:val="4"/>
          </w:tcPr>
          <w:p>
            <w:pPr>
              <w:spacing w:after="0"/>
              <w:rPr>
                <w:sz w:val="24"/>
                <w:szCs w:val="24"/>
                <w:color w:val="auto"/>
              </w:rPr>
            </w:pPr>
          </w:p>
        </w:tc>
      </w:tr>
      <w:tr>
        <w:trPr>
          <w:trHeight w:val="193"/>
        </w:trPr>
        <w:tc>
          <w:tcPr>
            <w:tcW w:w="1220" w:type="dxa"/>
            <w:vAlign w:val="bottom"/>
          </w:tcPr>
          <w:p>
            <w:pPr>
              <w:spacing w:after="0"/>
              <w:rPr>
                <w:sz w:val="16"/>
                <w:szCs w:val="16"/>
                <w:color w:val="auto"/>
              </w:rPr>
            </w:pPr>
          </w:p>
        </w:tc>
        <w:tc>
          <w:tcPr>
            <w:tcW w:w="1380" w:type="dxa"/>
            <w:vAlign w:val="bottom"/>
            <w:tcBorders>
              <w:bottom w:val="single" w:sz="8" w:color="0000EE"/>
            </w:tcBorders>
            <w:gridSpan w:val="3"/>
          </w:tcPr>
          <w:p>
            <w:pPr>
              <w:spacing w:after="0" w:line="193"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Oxley Act of 2002.</w:t>
              </w:r>
            </w:hyperlink>
          </w:p>
        </w:tc>
        <w:tc>
          <w:tcPr>
            <w:tcW w:w="8480" w:type="dxa"/>
            <w:vAlign w:val="bottom"/>
            <w:gridSpan w:val="7"/>
          </w:tcPr>
          <w:p>
            <w:pPr>
              <w:spacing w:after="0"/>
              <w:rPr>
                <w:sz w:val="16"/>
                <w:szCs w:val="16"/>
                <w:color w:val="auto"/>
              </w:rPr>
            </w:pPr>
          </w:p>
        </w:tc>
      </w:tr>
      <w:tr>
        <w:trPr>
          <w:trHeight w:val="313"/>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Certification of Principal Financial Officer Pursuant to 18 U.S.C. Section 1350, as Adopted Pursuant to Section 906 of the Sarbanes-Oxley</w:t>
              </w:r>
            </w:hyperlink>
          </w:p>
        </w:tc>
      </w:tr>
      <w:tr>
        <w:trPr>
          <w:trHeight w:val="193"/>
        </w:trPr>
        <w:tc>
          <w:tcPr>
            <w:tcW w:w="122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93"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Act of 2002.</w:t>
              </w:r>
            </w:hyperlink>
          </w:p>
        </w:tc>
        <w:tc>
          <w:tcPr>
            <w:tcW w:w="8960" w:type="dxa"/>
            <w:vAlign w:val="bottom"/>
            <w:gridSpan w:val="8"/>
          </w:tcPr>
          <w:p>
            <w:pPr>
              <w:spacing w:after="0"/>
              <w:rPr>
                <w:sz w:val="16"/>
                <w:szCs w:val="16"/>
                <w:color w:val="auto"/>
              </w:rPr>
            </w:pPr>
          </w:p>
        </w:tc>
      </w:tr>
      <w:tr>
        <w:trPr>
          <w:trHeight w:val="351"/>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33"/>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3"/>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3"/>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3"/>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3"/>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9632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155" w:lineRule="exact"/>
        <w:rPr>
          <w:sz w:val="20"/>
          <w:szCs w:val="20"/>
          <w:color w:val="auto"/>
        </w:rPr>
      </w:pPr>
    </w:p>
    <w:p>
      <w:pPr>
        <w:ind w:left="520" w:hanging="514"/>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UNITI GROUP INC.</w:t>
            </w:r>
          </w:p>
        </w:tc>
      </w:tr>
      <w:tr>
        <w:trPr>
          <w:trHeight w:val="466"/>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300"/>
              <w:spacing w:after="0"/>
              <w:rPr>
                <w:sz w:val="20"/>
                <w:szCs w:val="20"/>
                <w:color w:val="auto"/>
              </w:rPr>
            </w:pPr>
            <w:r>
              <w:rPr>
                <w:rFonts w:ascii="Arial" w:cs="Arial" w:eastAsia="Arial" w:hAnsi="Arial"/>
                <w:sz w:val="18"/>
                <w:szCs w:val="18"/>
                <w:color w:val="auto"/>
              </w:rPr>
              <w:t>November 2, 2017</w:t>
            </w: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r>
      <w:tr>
        <w:trPr>
          <w:trHeight w:val="202"/>
        </w:trPr>
        <w:tc>
          <w:tcPr>
            <w:tcW w:w="6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Mark A. Wallace</w:t>
            </w:r>
          </w:p>
        </w:tc>
      </w:tr>
      <w:tr>
        <w:trPr>
          <w:trHeight w:val="213"/>
        </w:trPr>
        <w:tc>
          <w:tcPr>
            <w:tcW w:w="6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0"/>
        </w:trPr>
        <w:tc>
          <w:tcPr>
            <w:tcW w:w="6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453"/>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300"/>
              <w:spacing w:after="0"/>
              <w:rPr>
                <w:sz w:val="20"/>
                <w:szCs w:val="20"/>
                <w:color w:val="auto"/>
              </w:rPr>
            </w:pPr>
            <w:r>
              <w:rPr>
                <w:rFonts w:ascii="Arial" w:cs="Arial" w:eastAsia="Arial" w:hAnsi="Arial"/>
                <w:sz w:val="18"/>
                <w:szCs w:val="18"/>
                <w:color w:val="auto"/>
              </w:rPr>
              <w:t>November 2, 2017</w:t>
            </w: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r>
      <w:tr>
        <w:trPr>
          <w:trHeight w:val="188"/>
        </w:trPr>
        <w:tc>
          <w:tcPr>
            <w:tcW w:w="6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5820" w:type="dxa"/>
            <w:vAlign w:val="bottom"/>
          </w:tcPr>
          <w:p>
            <w:pPr>
              <w:spacing w:after="0" w:line="189" w:lineRule="exact"/>
              <w:rPr>
                <w:sz w:val="20"/>
                <w:szCs w:val="20"/>
                <w:color w:val="auto"/>
              </w:rPr>
            </w:pPr>
            <w:r>
              <w:rPr>
                <w:rFonts w:ascii="Arial" w:cs="Arial" w:eastAsia="Arial" w:hAnsi="Arial"/>
                <w:sz w:val="18"/>
                <w:szCs w:val="18"/>
                <w:b w:val="1"/>
                <w:bCs w:val="1"/>
                <w:color w:val="auto"/>
              </w:rPr>
              <w:t>Blake Schuhmacher</w:t>
            </w:r>
          </w:p>
        </w:tc>
      </w:tr>
      <w:tr>
        <w:trPr>
          <w:trHeight w:val="213"/>
        </w:trPr>
        <w:tc>
          <w:tcPr>
            <w:tcW w:w="6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Vice President – Chief Accounting Officer</w:t>
            </w:r>
          </w:p>
        </w:tc>
      </w:tr>
      <w:tr>
        <w:trPr>
          <w:trHeight w:val="230"/>
        </w:trPr>
        <w:tc>
          <w:tcPr>
            <w:tcW w:w="6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color w:val="auto"/>
        </w:rPr>
        <w:t>Exhibit 4.1</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FIFTH SUPPLEMENTAL INDENTURE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7.125% SENIOR NOTES DUE 2024</w:t>
      </w:r>
    </w:p>
    <w:p>
      <w:pPr>
        <w:spacing w:after="0" w:line="300" w:lineRule="exact"/>
        <w:rPr>
          <w:sz w:val="20"/>
          <w:szCs w:val="20"/>
          <w:color w:val="auto"/>
        </w:rPr>
      </w:pPr>
    </w:p>
    <w:p>
      <w:pPr>
        <w:ind w:right="620" w:firstLine="974"/>
        <w:spacing w:after="0" w:line="278" w:lineRule="auto"/>
        <w:rPr>
          <w:sz w:val="20"/>
          <w:szCs w:val="20"/>
          <w:color w:val="auto"/>
        </w:rPr>
      </w:pPr>
      <w:r>
        <w:rPr>
          <w:rFonts w:ascii="Arial" w:cs="Arial" w:eastAsia="Arial" w:hAnsi="Arial"/>
          <w:sz w:val="18"/>
          <w:szCs w:val="18"/>
          <w:color w:val="auto"/>
        </w:rPr>
        <w:t>Fifth 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dated as of August 11, 2017, among Uniti Group LP, a Delaware limited partnership (“</w:t>
      </w:r>
      <w:r>
        <w:rPr>
          <w:rFonts w:ascii="Arial" w:cs="Arial" w:eastAsia="Arial" w:hAnsi="Arial"/>
          <w:sz w:val="18"/>
          <w:szCs w:val="18"/>
          <w:u w:val="single" w:color="auto"/>
          <w:color w:val="auto"/>
        </w:rPr>
        <w:t>Uniti</w:t>
      </w:r>
      <w:r>
        <w:rPr>
          <w:rFonts w:ascii="Arial" w:cs="Arial" w:eastAsia="Arial" w:hAnsi="Arial"/>
          <w:sz w:val="18"/>
          <w:szCs w:val="18"/>
          <w:color w:val="auto"/>
        </w:rPr>
        <w:t>”), Uniti Fiber Holdings Inc., a Delaware corporation (“Uniti Fiber”), CSL Capital, LLC, a Delaware limited liability company (“</w:t>
      </w:r>
      <w:r>
        <w:rPr>
          <w:rFonts w:ascii="Arial" w:cs="Arial" w:eastAsia="Arial" w:hAnsi="Arial"/>
          <w:sz w:val="18"/>
          <w:szCs w:val="18"/>
          <w:u w:val="single" w:color="auto"/>
          <w:color w:val="auto"/>
        </w:rPr>
        <w:t>CSL Capital</w:t>
      </w:r>
      <w:r>
        <w:rPr>
          <w:rFonts w:ascii="Arial" w:cs="Arial" w:eastAsia="Arial" w:hAnsi="Arial"/>
          <w:sz w:val="18"/>
          <w:szCs w:val="18"/>
          <w:color w:val="auto"/>
        </w:rPr>
        <w:t>,” and together with Uniti and Uniti Fiber, the “</w:t>
      </w:r>
      <w:r>
        <w:rPr>
          <w:rFonts w:ascii="Arial" w:cs="Arial" w:eastAsia="Arial" w:hAnsi="Arial"/>
          <w:sz w:val="18"/>
          <w:szCs w:val="18"/>
          <w:u w:val="single" w:color="auto"/>
          <w:color w:val="auto"/>
        </w:rPr>
        <w:t>Issuers</w:t>
      </w:r>
      <w:r>
        <w:rPr>
          <w:rFonts w:ascii="Arial" w:cs="Arial" w:eastAsia="Arial" w:hAnsi="Arial"/>
          <w:sz w:val="18"/>
          <w:szCs w:val="18"/>
          <w:color w:val="auto"/>
        </w:rPr>
        <w:t>”), the guarantors listed on the signature pages hereto (the “</w:t>
      </w:r>
      <w:r>
        <w:rPr>
          <w:rFonts w:ascii="Arial" w:cs="Arial" w:eastAsia="Arial" w:hAnsi="Arial"/>
          <w:sz w:val="18"/>
          <w:szCs w:val="18"/>
          <w:u w:val="single" w:color="auto"/>
          <w:color w:val="auto"/>
        </w:rPr>
        <w:t>Guarantors</w:t>
      </w:r>
      <w:r>
        <w:rPr>
          <w:rFonts w:ascii="Arial" w:cs="Arial" w:eastAsia="Arial" w:hAnsi="Arial"/>
          <w:sz w:val="18"/>
          <w:szCs w:val="18"/>
          <w:color w:val="auto"/>
        </w:rPr>
        <w:t>”) and Wells Fargo Bank, National Association, a national banking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 :</w:t>
      </w:r>
    </w:p>
    <w:p>
      <w:pPr>
        <w:spacing w:after="0" w:line="209" w:lineRule="exact"/>
        <w:rPr>
          <w:sz w:val="20"/>
          <w:szCs w:val="20"/>
          <w:color w:val="auto"/>
        </w:rPr>
      </w:pPr>
    </w:p>
    <w:p>
      <w:pPr>
        <w:ind w:right="40" w:firstLine="1019"/>
        <w:spacing w:after="0" w:line="242" w:lineRule="auto"/>
        <w:rPr>
          <w:sz w:val="20"/>
          <w:szCs w:val="20"/>
          <w:color w:val="auto"/>
        </w:rPr>
      </w:pPr>
      <w:r>
        <w:rPr>
          <w:rFonts w:ascii="Arial" w:cs="Arial" w:eastAsia="Arial" w:hAnsi="Arial"/>
          <w:sz w:val="20"/>
          <w:szCs w:val="20"/>
          <w:color w:val="auto"/>
        </w:rPr>
        <w:t>WHEREAS the Issuers and the Guarantors have heretofore executed and delivered to the Trustee an indenture (as amended, supplemented or otherwise modified through the date hereof, the “</w:t>
      </w:r>
      <w:r>
        <w:rPr>
          <w:rFonts w:ascii="Arial" w:cs="Arial" w:eastAsia="Arial" w:hAnsi="Arial"/>
          <w:sz w:val="20"/>
          <w:szCs w:val="20"/>
          <w:u w:val="single" w:color="auto"/>
          <w:color w:val="auto"/>
        </w:rPr>
        <w:t>Indenture</w:t>
      </w:r>
      <w:r>
        <w:rPr>
          <w:rFonts w:ascii="Arial" w:cs="Arial" w:eastAsia="Arial" w:hAnsi="Arial"/>
          <w:sz w:val="20"/>
          <w:szCs w:val="20"/>
          <w:color w:val="auto"/>
        </w:rPr>
        <w:t>”), dated as of December 15, 2016, among the Issuers, the Guarantors and the Trustee, providing for the issuance of 7.125% Senior Notes due 2024 (the “</w:t>
      </w:r>
      <w:r>
        <w:rPr>
          <w:rFonts w:ascii="Arial" w:cs="Arial" w:eastAsia="Arial" w:hAnsi="Arial"/>
          <w:sz w:val="20"/>
          <w:szCs w:val="20"/>
          <w:u w:val="single" w:color="auto"/>
          <w:color w:val="auto"/>
        </w:rPr>
        <w:t>Notes</w:t>
      </w:r>
      <w:r>
        <w:rPr>
          <w:rFonts w:ascii="Arial" w:cs="Arial" w:eastAsia="Arial" w:hAnsi="Arial"/>
          <w:sz w:val="20"/>
          <w:szCs w:val="20"/>
          <w:color w:val="auto"/>
        </w:rPr>
        <w:t>”), initially in the aggregate principal amount of $400,000,000 (the “</w:t>
      </w:r>
      <w:r>
        <w:rPr>
          <w:rFonts w:ascii="Arial" w:cs="Arial" w:eastAsia="Arial" w:hAnsi="Arial"/>
          <w:sz w:val="20"/>
          <w:szCs w:val="20"/>
          <w:u w:val="single" w:color="auto"/>
          <w:color w:val="auto"/>
        </w:rPr>
        <w:t>Initial Notes</w:t>
      </w:r>
      <w:r>
        <w:rPr>
          <w:rFonts w:ascii="Arial" w:cs="Arial" w:eastAsia="Arial" w:hAnsi="Arial"/>
          <w:sz w:val="20"/>
          <w:szCs w:val="20"/>
          <w:color w:val="auto"/>
        </w:rPr>
        <w:t>”);</w:t>
      </w:r>
    </w:p>
    <w:p>
      <w:pPr>
        <w:spacing w:after="0" w:line="190" w:lineRule="exact"/>
        <w:rPr>
          <w:sz w:val="20"/>
          <w:szCs w:val="20"/>
          <w:color w:val="auto"/>
        </w:rPr>
      </w:pPr>
    </w:p>
    <w:p>
      <w:pPr>
        <w:ind w:right="20" w:firstLine="1019"/>
        <w:spacing w:after="0" w:line="254" w:lineRule="auto"/>
        <w:rPr>
          <w:sz w:val="20"/>
          <w:szCs w:val="20"/>
          <w:color w:val="auto"/>
        </w:rPr>
      </w:pPr>
      <w:r>
        <w:rPr>
          <w:rFonts w:ascii="Arial" w:cs="Arial" w:eastAsia="Arial" w:hAnsi="Arial"/>
          <w:sz w:val="20"/>
          <w:szCs w:val="20"/>
          <w:color w:val="auto"/>
        </w:rPr>
        <w:t>WHEREAS the issuance and delivery of an aggregate principal amount of $200,000,000 (the “</w:t>
      </w:r>
      <w:r>
        <w:rPr>
          <w:rFonts w:ascii="Arial" w:cs="Arial" w:eastAsia="Arial" w:hAnsi="Arial"/>
          <w:sz w:val="20"/>
          <w:szCs w:val="20"/>
          <w:u w:val="single" w:color="auto"/>
          <w:color w:val="auto"/>
        </w:rPr>
        <w:t>New Notes</w:t>
      </w:r>
      <w:r>
        <w:rPr>
          <w:rFonts w:ascii="Arial" w:cs="Arial" w:eastAsia="Arial" w:hAnsi="Arial"/>
          <w:sz w:val="20"/>
          <w:szCs w:val="20"/>
          <w:color w:val="auto"/>
        </w:rPr>
        <w:t>”) have been authorized by resolutions adopted by the boards of directors of the Issuers;</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WHEREAS the New Notes shall be Additional Notes;</w:t>
      </w:r>
    </w:p>
    <w:p>
      <w:pPr>
        <w:spacing w:after="0" w:line="209" w:lineRule="exact"/>
        <w:rPr>
          <w:sz w:val="20"/>
          <w:szCs w:val="20"/>
          <w:color w:val="auto"/>
        </w:rPr>
      </w:pPr>
    </w:p>
    <w:p>
      <w:pPr>
        <w:ind w:right="380" w:firstLine="1014"/>
        <w:spacing w:after="0" w:line="309" w:lineRule="auto"/>
        <w:rPr>
          <w:sz w:val="20"/>
          <w:szCs w:val="20"/>
          <w:color w:val="auto"/>
        </w:rPr>
      </w:pPr>
      <w:r>
        <w:rPr>
          <w:rFonts w:ascii="Arial" w:cs="Arial" w:eastAsia="Arial" w:hAnsi="Arial"/>
          <w:sz w:val="18"/>
          <w:szCs w:val="18"/>
          <w:color w:val="auto"/>
        </w:rPr>
        <w:t>WHEREAS the Incurrence of the Indebtedness represented by the New Notes is permitted as of the date hereof by Sections 2.01 and 4.09 of the Indenture and the New Notes will be issued in compliance with the other applicable provisions of the Indenture;</w:t>
      </w:r>
    </w:p>
    <w:p>
      <w:pPr>
        <w:spacing w:after="0" w:line="132" w:lineRule="exact"/>
        <w:rPr>
          <w:sz w:val="20"/>
          <w:szCs w:val="20"/>
          <w:color w:val="auto"/>
        </w:rPr>
      </w:pPr>
    </w:p>
    <w:p>
      <w:pPr>
        <w:ind w:right="400" w:firstLine="1014"/>
        <w:spacing w:after="0" w:line="254" w:lineRule="auto"/>
        <w:rPr>
          <w:sz w:val="20"/>
          <w:szCs w:val="20"/>
          <w:color w:val="auto"/>
        </w:rPr>
      </w:pPr>
      <w:r>
        <w:rPr>
          <w:rFonts w:ascii="Arial" w:cs="Arial" w:eastAsia="Arial" w:hAnsi="Arial"/>
          <w:sz w:val="20"/>
          <w:szCs w:val="20"/>
          <w:color w:val="auto"/>
        </w:rPr>
        <w:t>WHEREAS the Issuers and the Guarantors have complied with all applicable conditions precedent provided for in the Indenture related to the issuance of the New Notes;</w:t>
      </w:r>
    </w:p>
    <w:p>
      <w:pPr>
        <w:spacing w:after="0" w:line="178" w:lineRule="exact"/>
        <w:rPr>
          <w:sz w:val="20"/>
          <w:szCs w:val="20"/>
          <w:color w:val="auto"/>
        </w:rPr>
      </w:pPr>
    </w:p>
    <w:p>
      <w:pPr>
        <w:ind w:right="340" w:firstLine="1014"/>
        <w:spacing w:after="0" w:line="341" w:lineRule="auto"/>
        <w:rPr>
          <w:sz w:val="20"/>
          <w:szCs w:val="20"/>
          <w:color w:val="auto"/>
        </w:rPr>
      </w:pPr>
      <w:r>
        <w:rPr>
          <w:rFonts w:ascii="Arial" w:cs="Arial" w:eastAsia="Arial" w:hAnsi="Arial"/>
          <w:sz w:val="17"/>
          <w:szCs w:val="17"/>
          <w:color w:val="auto"/>
        </w:rPr>
        <w:t>WHEREAS the Initial Notes and the New Notes will be treated as a single class of Notes for all purposes under the Indenture (as supplemented by this Supplemental Indenture, including, without limitation, waivers, amendments, redemptions and offers to purchase); and</w:t>
      </w:r>
    </w:p>
    <w:p>
      <w:pPr>
        <w:spacing w:after="0" w:line="11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WHEREAS the Issuers and the Guarantors have requested that the Trustee execute and deliver this Supplemental Indenture.</w:t>
      </w:r>
    </w:p>
    <w:p>
      <w:pPr>
        <w:spacing w:after="0" w:line="232" w:lineRule="exact"/>
        <w:rPr>
          <w:sz w:val="20"/>
          <w:szCs w:val="20"/>
          <w:color w:val="auto"/>
        </w:rPr>
      </w:pPr>
    </w:p>
    <w:p>
      <w:pPr>
        <w:jc w:val="both"/>
        <w:ind w:right="100" w:firstLine="1014"/>
        <w:spacing w:after="0" w:line="245"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are hereby acknowledged, the Issuers, the Guarantors and the Trustee mutually covenant and agree for the equal and ratable benefit of the Holders of the Notes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72910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47" w:name="page48"/>
    <w:bookmarkEnd w:id="47"/>
    <w:p>
      <w:pPr>
        <w:ind w:right="20" w:firstLine="2039"/>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Supplemental Indenture, terms defined in the Indenture or in the preamble or recitals hereto are used herein as therein defined, except that the term “Holders” in this Supplemental Indenture shall refer to the term “Holders” as defined in the Indenture and the Trustee acting on behalf of and for the benefit of such holders of Notes. The words “herein,” “hereof” and “hereby” and other words of similar import used in this Supplemental Indenture refer to this Supplemental Indenture as a whole and not to any particular section hereof.</w:t>
      </w:r>
    </w:p>
    <w:p>
      <w:pPr>
        <w:spacing w:after="0" w:line="194" w:lineRule="exact"/>
        <w:rPr>
          <w:sz w:val="20"/>
          <w:szCs w:val="20"/>
          <w:color w:val="auto"/>
        </w:rPr>
      </w:pPr>
    </w:p>
    <w:p>
      <w:pPr>
        <w:ind w:left="2040"/>
        <w:spacing w:after="0"/>
        <w:tabs>
          <w:tab w:leader="none" w:pos="36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7"/>
          <w:szCs w:val="17"/>
          <w:u w:val="single" w:color="auto"/>
          <w:color w:val="auto"/>
        </w:rPr>
        <w:t>Terms of New Securities</w:t>
      </w:r>
      <w:r>
        <w:rPr>
          <w:rFonts w:ascii="Arial" w:cs="Arial" w:eastAsia="Arial" w:hAnsi="Arial"/>
          <w:sz w:val="17"/>
          <w:szCs w:val="17"/>
          <w:color w:val="auto"/>
        </w:rPr>
        <w:t>. The following terms relating to the New Notes are hereby established:</w:t>
      </w:r>
    </w:p>
    <w:p>
      <w:pPr>
        <w:spacing w:after="0" w:line="209" w:lineRule="exact"/>
        <w:rPr>
          <w:sz w:val="20"/>
          <w:szCs w:val="20"/>
          <w:color w:val="auto"/>
        </w:rPr>
      </w:pPr>
    </w:p>
    <w:p>
      <w:pPr>
        <w:ind w:left="2540" w:right="1060" w:hanging="498"/>
        <w:spacing w:after="0" w:line="309" w:lineRule="auto"/>
        <w:tabs>
          <w:tab w:leader="none" w:pos="2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Principal Amount</w:t>
      </w:r>
      <w:r>
        <w:rPr>
          <w:rFonts w:ascii="Arial" w:cs="Arial" w:eastAsia="Arial" w:hAnsi="Arial"/>
          <w:sz w:val="18"/>
          <w:szCs w:val="18"/>
          <w:color w:val="auto"/>
        </w:rPr>
        <w:t>. The aggregate principal amount of the New Notes that may be authenticated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under the Indenture, as amended hereby, shall be $200,000,000.</w:t>
      </w:r>
    </w:p>
    <w:p>
      <w:pPr>
        <w:spacing w:after="0" w:line="132" w:lineRule="exact"/>
        <w:rPr>
          <w:rFonts w:ascii="Arial" w:cs="Arial" w:eastAsia="Arial" w:hAnsi="Arial"/>
          <w:sz w:val="18"/>
          <w:szCs w:val="18"/>
          <w:color w:val="auto"/>
        </w:rPr>
      </w:pPr>
    </w:p>
    <w:p>
      <w:pPr>
        <w:ind w:left="2540" w:right="880" w:hanging="498"/>
        <w:spacing w:after="0" w:line="309" w:lineRule="auto"/>
        <w:tabs>
          <w:tab w:leader="none" w:pos="2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New Notes shall be issuable in whole or in part in the form of one or more Global Securities. The depositary for such Global Securities shall be The Depository Trust Company.</w:t>
      </w:r>
    </w:p>
    <w:p>
      <w:pPr>
        <w:spacing w:after="0" w:line="132" w:lineRule="exact"/>
        <w:rPr>
          <w:rFonts w:ascii="Arial" w:cs="Arial" w:eastAsia="Arial" w:hAnsi="Arial"/>
          <w:sz w:val="18"/>
          <w:szCs w:val="18"/>
          <w:color w:val="auto"/>
        </w:rPr>
      </w:pPr>
    </w:p>
    <w:p>
      <w:pPr>
        <w:ind w:left="2540" w:right="1120" w:hanging="498"/>
        <w:spacing w:after="0" w:line="254" w:lineRule="auto"/>
        <w:tabs>
          <w:tab w:leader="none" w:pos="25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New Notes shall have the other terms set forth in the form of global security attached hereto as Exhibit A.</w:t>
      </w:r>
    </w:p>
    <w:p>
      <w:pPr>
        <w:spacing w:after="0" w:line="178" w:lineRule="exact"/>
        <w:rPr>
          <w:rFonts w:ascii="Arial" w:cs="Arial" w:eastAsia="Arial" w:hAnsi="Arial"/>
          <w:sz w:val="20"/>
          <w:szCs w:val="20"/>
          <w:color w:val="auto"/>
        </w:rPr>
      </w:pPr>
    </w:p>
    <w:p>
      <w:pPr>
        <w:ind w:left="2540" w:hanging="498"/>
        <w:spacing w:after="0"/>
        <w:tabs>
          <w:tab w:leader="none" w:pos="2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New Notes shall be considered Additional Notes issued pursuant to Section 2.01 of the Indenture.</w:t>
      </w:r>
    </w:p>
    <w:p>
      <w:pPr>
        <w:spacing w:after="0" w:line="232" w:lineRule="exact"/>
        <w:rPr>
          <w:sz w:val="20"/>
          <w:szCs w:val="20"/>
          <w:color w:val="auto"/>
        </w:rPr>
      </w:pPr>
    </w:p>
    <w:p>
      <w:pPr>
        <w:ind w:right="120" w:firstLine="2039"/>
        <w:spacing w:after="0" w:line="245"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Form of the New Notes</w:t>
      </w:r>
      <w:r>
        <w:rPr>
          <w:rFonts w:ascii="Arial" w:cs="Arial" w:eastAsia="Arial" w:hAnsi="Arial"/>
          <w:sz w:val="20"/>
          <w:szCs w:val="20"/>
          <w:color w:val="auto"/>
        </w:rPr>
        <w:t>. The New Notes and the Trustee’s certificate of authentication shall be substantially in the form of Exhibit A attached hereto. The New Notes shall be executed on behalf of each Issuer by an Officer and authenticated by the Trustee pursuant to Section 2.02 of the Indenture.</w:t>
      </w:r>
    </w:p>
    <w:p>
      <w:pPr>
        <w:spacing w:after="0" w:line="187" w:lineRule="exact"/>
        <w:rPr>
          <w:sz w:val="20"/>
          <w:szCs w:val="20"/>
          <w:color w:val="auto"/>
        </w:rPr>
      </w:pPr>
    </w:p>
    <w:p>
      <w:pPr>
        <w:ind w:right="340" w:firstLine="2039"/>
        <w:spacing w:after="0" w:line="242"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Ratification of Indenture; Supplemental Indentures Part of Indenture</w:t>
      </w:r>
      <w:r>
        <w:rPr>
          <w:rFonts w:ascii="Arial" w:cs="Arial" w:eastAsia="Arial" w:hAnsi="Arial"/>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90" w:lineRule="exact"/>
        <w:rPr>
          <w:sz w:val="20"/>
          <w:szCs w:val="20"/>
          <w:color w:val="auto"/>
        </w:rPr>
      </w:pPr>
    </w:p>
    <w:p>
      <w:pPr>
        <w:ind w:right="780" w:firstLine="2039"/>
        <w:spacing w:after="0" w:line="254"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Reaffirmation</w:t>
      </w:r>
      <w:r>
        <w:rPr>
          <w:rFonts w:ascii="Arial" w:cs="Arial" w:eastAsia="Arial" w:hAnsi="Arial"/>
          <w:sz w:val="20"/>
          <w:szCs w:val="20"/>
          <w:color w:val="auto"/>
        </w:rPr>
        <w:t>. Each of the Issuers hereby ratifies and reaffirms its Obligations under the Indenture and the Notes; each Guarantor hereby ratifies and reaffirms its Guarantee.</w:t>
      </w:r>
    </w:p>
    <w:p>
      <w:pPr>
        <w:spacing w:after="0" w:line="172" w:lineRule="exact"/>
        <w:rPr>
          <w:sz w:val="20"/>
          <w:szCs w:val="20"/>
          <w:color w:val="auto"/>
        </w:rPr>
      </w:pPr>
    </w:p>
    <w:p>
      <w:pPr>
        <w:jc w:val="right"/>
        <w:spacing w:after="0"/>
        <w:tabs>
          <w:tab w:leader="none" w:pos="770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THIS SUPPLEMENTAL INDENTURE SHALL BE GOVERNED BY, AND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CONSTRUED IN ACCORDANCE WITH, THE LAWS OF THE STATE OF NEW YORK.</w:t>
      </w:r>
    </w:p>
    <w:p>
      <w:pPr>
        <w:spacing w:after="0" w:line="193" w:lineRule="exact"/>
        <w:rPr>
          <w:sz w:val="20"/>
          <w:szCs w:val="20"/>
          <w:color w:val="auto"/>
        </w:rPr>
      </w:pPr>
    </w:p>
    <w:p>
      <w:pPr>
        <w:ind w:right="220" w:firstLine="2039"/>
        <w:spacing w:after="0" w:line="25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78" w:lineRule="exact"/>
        <w:rPr>
          <w:sz w:val="20"/>
          <w:szCs w:val="20"/>
          <w:color w:val="auto"/>
        </w:rPr>
      </w:pPr>
    </w:p>
    <w:p>
      <w:pPr>
        <w:ind w:left="2040"/>
        <w:spacing w:after="0"/>
        <w:tabs>
          <w:tab w:leader="none" w:pos="368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effect 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construction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711835</wp:posOffset>
            </wp:positionV>
            <wp:extent cx="72910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48" w:name="page49"/>
    <w:bookmarkEnd w:id="48"/>
    <w:p>
      <w:pPr>
        <w:ind w:left="9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UNITI GROUP LP</w:t>
      </w:r>
    </w:p>
    <w:p>
      <w:pPr>
        <w:spacing w:after="0" w:line="200" w:lineRule="exact"/>
        <w:rPr>
          <w:sz w:val="20"/>
          <w:szCs w:val="20"/>
          <w:color w:val="auto"/>
        </w:rPr>
      </w:pPr>
    </w:p>
    <w:p>
      <w:pPr>
        <w:spacing w:after="0" w:line="222"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 Uniti Group Inc., as its general partner</w:t>
      </w: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Daniel L. Heard</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-142875</wp:posOffset>
            </wp:positionV>
            <wp:extent cx="23907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20"/>
          <w:szCs w:val="20"/>
          <w:color w:val="auto"/>
        </w:rPr>
        <w:t>Title:  Executive Vice President – General</w:t>
      </w:r>
    </w:p>
    <w:p>
      <w:pPr>
        <w:spacing w:after="0" w:line="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UNITI FIBER HOLDINGS INC.</w:t>
      </w:r>
    </w:p>
    <w:p>
      <w:pPr>
        <w:spacing w:after="0" w:line="200" w:lineRule="exact"/>
        <w:rPr>
          <w:sz w:val="20"/>
          <w:szCs w:val="20"/>
          <w:color w:val="auto"/>
        </w:rPr>
      </w:pPr>
    </w:p>
    <w:p>
      <w:pPr>
        <w:spacing w:after="0" w:line="222" w:lineRule="exact"/>
        <w:rPr>
          <w:sz w:val="20"/>
          <w:szCs w:val="20"/>
          <w:color w:val="auto"/>
        </w:rPr>
      </w:pPr>
    </w:p>
    <w:p>
      <w:pPr>
        <w:ind w:left="4640"/>
        <w:spacing w:after="0"/>
        <w:tabs>
          <w:tab w:leader="none" w:pos="5160" w:val="left"/>
        </w:tabs>
        <w:rPr>
          <w:sz w:val="20"/>
          <w:szCs w:val="20"/>
          <w:color w:val="auto"/>
        </w:rPr>
      </w:pPr>
      <w:r>
        <w:rPr>
          <w:rFonts w:ascii="Arial" w:cs="Arial" w:eastAsia="Arial" w:hAnsi="Arial"/>
          <w:sz w:val="20"/>
          <w:szCs w:val="20"/>
          <w:color w:val="auto"/>
        </w:rPr>
        <w:t>By:</w:t>
        <w:tab/>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8255</wp:posOffset>
            </wp:positionV>
            <wp:extent cx="23399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0"/>
          <w:szCs w:val="20"/>
          <w:color w:val="auto"/>
        </w:rPr>
        <w:t>Name: Daniel L. Heard</w:t>
      </w:r>
    </w:p>
    <w:p>
      <w:pPr>
        <w:ind w:left="5120"/>
        <w:spacing w:after="0"/>
        <w:rPr>
          <w:sz w:val="20"/>
          <w:szCs w:val="20"/>
          <w:color w:val="auto"/>
        </w:rPr>
      </w:pPr>
      <w:r>
        <w:rPr>
          <w:rFonts w:ascii="Arial" w:cs="Arial" w:eastAsia="Arial" w:hAnsi="Arial"/>
          <w:sz w:val="20"/>
          <w:szCs w:val="20"/>
          <w:color w:val="auto"/>
        </w:rPr>
        <w:t>Title:  Executive Vice President – General</w:t>
      </w:r>
    </w:p>
    <w:p>
      <w:pPr>
        <w:ind w:left="560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CSL CAPITAL, LLC</w:t>
      </w:r>
    </w:p>
    <w:p>
      <w:pPr>
        <w:spacing w:after="0" w:line="200" w:lineRule="exact"/>
        <w:rPr>
          <w:sz w:val="20"/>
          <w:szCs w:val="20"/>
          <w:color w:val="auto"/>
        </w:rPr>
      </w:pPr>
    </w:p>
    <w:p>
      <w:pPr>
        <w:spacing w:after="0" w:line="222" w:lineRule="exact"/>
        <w:rPr>
          <w:sz w:val="20"/>
          <w:szCs w:val="20"/>
          <w:color w:val="auto"/>
        </w:rPr>
      </w:pPr>
    </w:p>
    <w:p>
      <w:pPr>
        <w:ind w:left="4640"/>
        <w:spacing w:after="0"/>
        <w:tabs>
          <w:tab w:leader="none" w:pos="5180" w:val="left"/>
        </w:tabs>
        <w:rPr>
          <w:sz w:val="20"/>
          <w:szCs w:val="20"/>
          <w:color w:val="auto"/>
        </w:rPr>
      </w:pPr>
      <w:r>
        <w:rPr>
          <w:rFonts w:ascii="Arial" w:cs="Arial" w:eastAsia="Arial" w:hAnsi="Arial"/>
          <w:sz w:val="20"/>
          <w:szCs w:val="20"/>
          <w:color w:val="auto"/>
        </w:rPr>
        <w:t>By:</w:t>
        <w:tab/>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8255</wp:posOffset>
            </wp:positionV>
            <wp:extent cx="23399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0"/>
          <w:szCs w:val="20"/>
          <w:color w:val="auto"/>
        </w:rPr>
        <w:t>Name: Daniel L. Heard</w:t>
      </w:r>
    </w:p>
    <w:p>
      <w:pPr>
        <w:ind w:left="5120"/>
        <w:spacing w:after="0"/>
        <w:rPr>
          <w:sz w:val="20"/>
          <w:szCs w:val="20"/>
          <w:color w:val="auto"/>
        </w:rPr>
      </w:pPr>
      <w:r>
        <w:rPr>
          <w:rFonts w:ascii="Arial" w:cs="Arial" w:eastAsia="Arial" w:hAnsi="Arial"/>
          <w:sz w:val="20"/>
          <w:szCs w:val="20"/>
          <w:color w:val="auto"/>
        </w:rPr>
        <w:t>Title:  Executive Vice President – General</w:t>
      </w:r>
    </w:p>
    <w:p>
      <w:pPr>
        <w:ind w:left="568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151130</wp:posOffset>
            </wp:positionV>
            <wp:extent cx="729107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40"/>
          </w:cols>
          <w:pgMar w:left="240" w:top="362" w:right="419" w:bottom="1440" w:gutter="0" w:footer="0" w:header="0"/>
        </w:sectPr>
      </w:pPr>
    </w:p>
    <w:bookmarkStart w:id="49" w:name="page50"/>
    <w:bookmarkEnd w:id="49"/>
    <w:p>
      <w:pPr>
        <w:ind w:left="2500"/>
        <w:spacing w:after="0"/>
        <w:rPr>
          <w:sz w:val="20"/>
          <w:szCs w:val="20"/>
          <w:color w:val="auto"/>
        </w:rPr>
      </w:pPr>
      <w:r>
        <w:rPr>
          <w:rFonts w:ascii="Arial" w:cs="Arial" w:eastAsia="Arial" w:hAnsi="Arial"/>
          <w:sz w:val="20"/>
          <w:szCs w:val="20"/>
          <w:color w:val="auto"/>
        </w:rPr>
        <w:t>GUARANTORS</w:t>
      </w:r>
    </w:p>
    <w:p>
      <w:pPr>
        <w:spacing w:after="0" w:line="200" w:lineRule="exact"/>
        <w:rPr>
          <w:sz w:val="20"/>
          <w:szCs w:val="20"/>
          <w:color w:val="auto"/>
        </w:rPr>
      </w:pPr>
    </w:p>
    <w:p>
      <w:pPr>
        <w:spacing w:after="0" w:line="223"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UNITI HOLDINGS LP</w:t>
      </w:r>
    </w:p>
    <w:p>
      <w:pPr>
        <w:spacing w:after="0" w:line="20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By: Uniti Holdings GP LLC, as its general partner</w:t>
      </w:r>
    </w:p>
    <w:p>
      <w:pPr>
        <w:spacing w:after="0" w:line="200" w:lineRule="exact"/>
        <w:rPr>
          <w:sz w:val="20"/>
          <w:szCs w:val="20"/>
          <w:color w:val="auto"/>
        </w:rPr>
      </w:pPr>
    </w:p>
    <w:p>
      <w:pPr>
        <w:spacing w:after="0" w:line="245"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By: /s/ Daniel L. Heard</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-142875</wp:posOffset>
            </wp:positionV>
            <wp:extent cx="23399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3560"/>
        <w:spacing w:after="0"/>
        <w:tabs>
          <w:tab w:leader="none" w:pos="41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Executive Vice President – General</w:t>
      </w:r>
    </w:p>
    <w:p>
      <w:pPr>
        <w:spacing w:after="0" w:line="4"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CSL NATIONAL, LP</w:t>
      </w:r>
    </w:p>
    <w:p>
      <w:pPr>
        <w:spacing w:after="0" w:line="20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By: CSL NATIONAL GP, LLC, as its general partner</w:t>
      </w:r>
    </w:p>
    <w:p>
      <w:pPr>
        <w:spacing w:after="0" w:line="200" w:lineRule="exact"/>
        <w:rPr>
          <w:sz w:val="20"/>
          <w:szCs w:val="20"/>
          <w:color w:val="auto"/>
        </w:rPr>
      </w:pPr>
    </w:p>
    <w:p>
      <w:pPr>
        <w:spacing w:after="0" w:line="245"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By: /s/ Daniel L. Heard</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-142875</wp:posOffset>
            </wp:positionV>
            <wp:extent cx="23399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3560"/>
        <w:spacing w:after="0"/>
        <w:tabs>
          <w:tab w:leader="none" w:pos="4200" w:val="left"/>
        </w:tabs>
        <w:rPr>
          <w:sz w:val="20"/>
          <w:szCs w:val="20"/>
          <w:color w:val="auto"/>
        </w:rPr>
      </w:pPr>
      <w:r>
        <w:rPr>
          <w:rFonts w:ascii="Arial" w:cs="Arial" w:eastAsia="Arial" w:hAnsi="Arial"/>
          <w:sz w:val="18"/>
          <w:szCs w:val="18"/>
          <w:color w:val="auto"/>
        </w:rPr>
        <w:t>Title:</w:t>
        <w:tab/>
        <w:t>Executive Vice President – General</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33"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CSL NORTH CAROLINA REALTY, LP</w:t>
      </w:r>
    </w:p>
    <w:p>
      <w:pPr>
        <w:spacing w:after="0" w:line="20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By: CSL NORTH CAROLINA REALTY GP, LLC, as its</w:t>
      </w:r>
    </w:p>
    <w:p>
      <w:pPr>
        <w:spacing w:after="0" w:line="3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general partner</w:t>
      </w:r>
    </w:p>
    <w:p>
      <w:pPr>
        <w:spacing w:after="0" w:line="200" w:lineRule="exact"/>
        <w:rPr>
          <w:sz w:val="20"/>
          <w:szCs w:val="20"/>
          <w:color w:val="auto"/>
        </w:rPr>
      </w:pP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By: /s/ Daniel L. Heard</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-142875</wp:posOffset>
            </wp:positionV>
            <wp:extent cx="23399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8"/>
          <w:szCs w:val="18"/>
          <w:color w:val="auto"/>
        </w:rPr>
        <w:t>Title:  Executive Vice President – General</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CSL NORTH CAROLINA SYSTEM, LP</w:t>
      </w:r>
    </w:p>
    <w:p>
      <w:pPr>
        <w:spacing w:after="0" w:line="20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By: CSL NORTH CAROLINA REALTY GP, LLC, as its</w:t>
      </w:r>
    </w:p>
    <w:p>
      <w:pPr>
        <w:spacing w:after="0" w:line="3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general partner</w:t>
      </w:r>
    </w:p>
    <w:p>
      <w:pPr>
        <w:spacing w:after="0" w:line="200" w:lineRule="exact"/>
        <w:rPr>
          <w:sz w:val="20"/>
          <w:szCs w:val="20"/>
          <w:color w:val="auto"/>
        </w:rPr>
      </w:pP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By: /s/ Daniel L. Heard</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-142875</wp:posOffset>
            </wp:positionV>
            <wp:extent cx="23399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8"/>
          <w:szCs w:val="18"/>
          <w:color w:val="auto"/>
        </w:rPr>
        <w:t>Title:  Executive Vice President – General</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151130</wp:posOffset>
            </wp:positionV>
            <wp:extent cx="729107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0" w:name="page51"/>
    <w:bookmarkEnd w:id="50"/>
    <w:p>
      <w:pPr>
        <w:ind w:left="2760"/>
        <w:spacing w:after="0"/>
        <w:rPr>
          <w:sz w:val="20"/>
          <w:szCs w:val="20"/>
          <w:color w:val="auto"/>
        </w:rPr>
      </w:pPr>
      <w:r>
        <w:rPr>
          <w:rFonts w:ascii="Arial" w:cs="Arial" w:eastAsia="Arial" w:hAnsi="Arial"/>
          <w:sz w:val="20"/>
          <w:szCs w:val="20"/>
          <w:color w:val="auto"/>
        </w:rPr>
        <w:t>UNITI LATAM LP</w:t>
      </w:r>
    </w:p>
    <w:p>
      <w:pPr>
        <w:spacing w:after="0" w:line="236"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By: UNITI LATAM GP LLC, as its general partner</w:t>
      </w:r>
    </w:p>
    <w:p>
      <w:pPr>
        <w:spacing w:after="0" w:line="249" w:lineRule="exact"/>
        <w:rPr>
          <w:sz w:val="20"/>
          <w:szCs w:val="20"/>
          <w:color w:val="auto"/>
        </w:rPr>
      </w:pPr>
    </w:p>
    <w:tbl>
      <w:tblPr>
        <w:tblLayout w:type="fixed"/>
        <w:tblInd w:w="370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Daniel L. Heard</w:t>
            </w:r>
          </w:p>
        </w:tc>
      </w:tr>
      <w:tr>
        <w:trPr>
          <w:trHeight w:val="220"/>
        </w:trPr>
        <w:tc>
          <w:tcPr>
            <w:tcW w:w="700" w:type="dxa"/>
            <w:vAlign w:val="bottom"/>
          </w:tcPr>
          <w:p>
            <w:pPr>
              <w:spacing w:after="0"/>
              <w:rPr>
                <w:sz w:val="19"/>
                <w:szCs w:val="19"/>
                <w:color w:val="auto"/>
              </w:rPr>
            </w:pPr>
          </w:p>
        </w:tc>
        <w:tc>
          <w:tcPr>
            <w:tcW w:w="5240" w:type="dxa"/>
            <w:vAlign w:val="bottom"/>
          </w:tcPr>
          <w:p>
            <w:pPr>
              <w:ind w:left="20"/>
              <w:spacing w:after="0" w:line="220" w:lineRule="exact"/>
              <w:rPr>
                <w:sz w:val="20"/>
                <w:szCs w:val="20"/>
                <w:color w:val="auto"/>
              </w:rPr>
            </w:pPr>
            <w:r>
              <w:rPr>
                <w:rFonts w:ascii="Arial" w:cs="Arial" w:eastAsia="Arial" w:hAnsi="Arial"/>
                <w:sz w:val="20"/>
                <w:szCs w:val="20"/>
                <w:color w:val="auto"/>
              </w:rPr>
              <w:t>Name:Daniel L. Heard</w:t>
            </w:r>
          </w:p>
        </w:tc>
      </w:tr>
      <w:tr>
        <w:trPr>
          <w:trHeight w:val="248"/>
        </w:trPr>
        <w:tc>
          <w:tcPr>
            <w:tcW w:w="700" w:type="dxa"/>
            <w:vAlign w:val="bottom"/>
          </w:tcPr>
          <w:p>
            <w:pPr>
              <w:spacing w:after="0"/>
              <w:rPr>
                <w:sz w:val="21"/>
                <w:szCs w:val="21"/>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w w:val="91"/>
              </w:rPr>
              <w:t>Title:Executive Vice President – General Counsel and Secretary</w:t>
            </w:r>
          </w:p>
        </w:tc>
      </w:tr>
    </w:tbl>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UNITI QRS HOLDINGS LP</w:t>
      </w:r>
    </w:p>
    <w:p>
      <w:pPr>
        <w:spacing w:after="0" w:line="236" w:lineRule="exact"/>
        <w:rPr>
          <w:sz w:val="20"/>
          <w:szCs w:val="20"/>
          <w:color w:val="auto"/>
        </w:rPr>
      </w:pPr>
    </w:p>
    <w:p>
      <w:pPr>
        <w:jc w:val="right"/>
        <w:ind w:right="1760"/>
        <w:spacing w:after="0"/>
        <w:rPr>
          <w:sz w:val="20"/>
          <w:szCs w:val="20"/>
          <w:color w:val="auto"/>
        </w:rPr>
      </w:pPr>
      <w:r>
        <w:rPr>
          <w:rFonts w:ascii="Arial" w:cs="Arial" w:eastAsia="Arial" w:hAnsi="Arial"/>
          <w:sz w:val="20"/>
          <w:szCs w:val="20"/>
          <w:color w:val="auto"/>
        </w:rPr>
        <w:t>By: UNITI QRS Holdings GP LLC, as its general partner</w:t>
      </w:r>
    </w:p>
    <w:p>
      <w:pPr>
        <w:spacing w:after="0" w:line="249" w:lineRule="exact"/>
        <w:rPr>
          <w:sz w:val="20"/>
          <w:szCs w:val="20"/>
          <w:color w:val="auto"/>
        </w:rPr>
      </w:pPr>
    </w:p>
    <w:tbl>
      <w:tblPr>
        <w:tblLayout w:type="fixed"/>
        <w:tblInd w:w="392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Daniel L. Heard</w:t>
            </w:r>
          </w:p>
        </w:tc>
      </w:tr>
      <w:tr>
        <w:trPr>
          <w:trHeight w:val="220"/>
        </w:trPr>
        <w:tc>
          <w:tcPr>
            <w:tcW w:w="700" w:type="dxa"/>
            <w:vAlign w:val="bottom"/>
          </w:tcPr>
          <w:p>
            <w:pPr>
              <w:spacing w:after="0"/>
              <w:rPr>
                <w:sz w:val="19"/>
                <w:szCs w:val="19"/>
                <w:color w:val="auto"/>
              </w:rPr>
            </w:pPr>
          </w:p>
        </w:tc>
        <w:tc>
          <w:tcPr>
            <w:tcW w:w="5020" w:type="dxa"/>
            <w:vAlign w:val="bottom"/>
          </w:tcPr>
          <w:p>
            <w:pPr>
              <w:spacing w:after="0" w:line="220" w:lineRule="exact"/>
              <w:rPr>
                <w:sz w:val="20"/>
                <w:szCs w:val="20"/>
                <w:color w:val="auto"/>
              </w:rPr>
            </w:pPr>
            <w:r>
              <w:rPr>
                <w:rFonts w:ascii="Arial" w:cs="Arial" w:eastAsia="Arial" w:hAnsi="Arial"/>
                <w:sz w:val="20"/>
                <w:szCs w:val="20"/>
                <w:color w:val="auto"/>
              </w:rPr>
              <w:t>Name:Daniel L. Heard</w:t>
            </w:r>
          </w:p>
        </w:tc>
      </w:tr>
      <w:tr>
        <w:trPr>
          <w:trHeight w:val="248"/>
        </w:trPr>
        <w:tc>
          <w:tcPr>
            <w:tcW w:w="70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20"/>
                <w:szCs w:val="20"/>
                <w:color w:val="auto"/>
                <w:w w:val="88"/>
              </w:rPr>
              <w:t>Title:Executive Vice President –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151130</wp:posOffset>
            </wp:positionV>
            <wp:extent cx="729107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9640"/>
          </w:cols>
          <w:pgMar w:left="1440" w:top="362" w:right="819" w:bottom="1440" w:gutter="0" w:footer="0" w:header="0"/>
        </w:sectPr>
      </w:pPr>
    </w:p>
    <w:bookmarkStart w:id="51" w:name="page52"/>
    <w:bookmarkEnd w:id="51"/>
    <w:p>
      <w:pPr>
        <w:ind w:left="2620"/>
        <w:spacing w:after="0"/>
        <w:rPr>
          <w:sz w:val="20"/>
          <w:szCs w:val="20"/>
          <w:color w:val="auto"/>
        </w:rPr>
      </w:pPr>
      <w:r>
        <w:rPr>
          <w:rFonts w:ascii="Arial" w:cs="Arial" w:eastAsia="Arial" w:hAnsi="Arial"/>
          <w:sz w:val="20"/>
          <w:szCs w:val="20"/>
          <w:color w:val="auto"/>
        </w:rPr>
        <w:t>CSL NATIONAL GP, LLC</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CSL ALABAMA SYSTEM, LLC</w:t>
      </w:r>
    </w:p>
    <w:p>
      <w:pPr>
        <w:ind w:left="2620"/>
        <w:spacing w:after="0" w:line="236" w:lineRule="auto"/>
        <w:rPr>
          <w:sz w:val="20"/>
          <w:szCs w:val="20"/>
          <w:color w:val="auto"/>
        </w:rPr>
      </w:pPr>
      <w:r>
        <w:rPr>
          <w:rFonts w:ascii="Arial" w:cs="Arial" w:eastAsia="Arial" w:hAnsi="Arial"/>
          <w:sz w:val="20"/>
          <w:szCs w:val="20"/>
          <w:color w:val="auto"/>
        </w:rPr>
        <w:t>CSL ARKANSAS SYSTEM, LLC</w:t>
      </w:r>
    </w:p>
    <w:p>
      <w:pPr>
        <w:ind w:left="2620"/>
        <w:spacing w:after="0" w:line="236" w:lineRule="auto"/>
        <w:rPr>
          <w:sz w:val="20"/>
          <w:szCs w:val="20"/>
          <w:color w:val="auto"/>
        </w:rPr>
      </w:pPr>
      <w:r>
        <w:rPr>
          <w:rFonts w:ascii="Arial" w:cs="Arial" w:eastAsia="Arial" w:hAnsi="Arial"/>
          <w:sz w:val="20"/>
          <w:szCs w:val="20"/>
          <w:color w:val="auto"/>
        </w:rPr>
        <w:t>CSL FLORIDA SYSTEM, LLC</w:t>
      </w:r>
    </w:p>
    <w:p>
      <w:pPr>
        <w:ind w:left="2620"/>
        <w:spacing w:after="0" w:line="236" w:lineRule="auto"/>
        <w:rPr>
          <w:sz w:val="20"/>
          <w:szCs w:val="20"/>
          <w:color w:val="auto"/>
        </w:rPr>
      </w:pPr>
      <w:r>
        <w:rPr>
          <w:rFonts w:ascii="Arial" w:cs="Arial" w:eastAsia="Arial" w:hAnsi="Arial"/>
          <w:sz w:val="20"/>
          <w:szCs w:val="20"/>
          <w:color w:val="auto"/>
        </w:rPr>
        <w:t>CSL IOWA SYSTEM, LLC</w:t>
      </w:r>
    </w:p>
    <w:p>
      <w:pPr>
        <w:ind w:left="2620"/>
        <w:spacing w:after="0" w:line="236" w:lineRule="auto"/>
        <w:rPr>
          <w:sz w:val="20"/>
          <w:szCs w:val="20"/>
          <w:color w:val="auto"/>
        </w:rPr>
      </w:pPr>
      <w:r>
        <w:rPr>
          <w:rFonts w:ascii="Arial" w:cs="Arial" w:eastAsia="Arial" w:hAnsi="Arial"/>
          <w:sz w:val="20"/>
          <w:szCs w:val="20"/>
          <w:color w:val="auto"/>
        </w:rPr>
        <w:t>CSL MISSISSIPPI SYSTEM, LLC</w:t>
      </w:r>
    </w:p>
    <w:p>
      <w:pPr>
        <w:ind w:left="2620"/>
        <w:spacing w:after="0" w:line="236" w:lineRule="auto"/>
        <w:rPr>
          <w:sz w:val="20"/>
          <w:szCs w:val="20"/>
          <w:color w:val="auto"/>
        </w:rPr>
      </w:pPr>
      <w:r>
        <w:rPr>
          <w:rFonts w:ascii="Arial" w:cs="Arial" w:eastAsia="Arial" w:hAnsi="Arial"/>
          <w:sz w:val="20"/>
          <w:szCs w:val="20"/>
          <w:color w:val="auto"/>
        </w:rPr>
        <w:t>CSL MISSOURI SYSTEM, LLC</w:t>
      </w:r>
    </w:p>
    <w:p>
      <w:pPr>
        <w:ind w:left="2620"/>
        <w:spacing w:after="0" w:line="236" w:lineRule="auto"/>
        <w:rPr>
          <w:sz w:val="20"/>
          <w:szCs w:val="20"/>
          <w:color w:val="auto"/>
        </w:rPr>
      </w:pPr>
      <w:r>
        <w:rPr>
          <w:rFonts w:ascii="Arial" w:cs="Arial" w:eastAsia="Arial" w:hAnsi="Arial"/>
          <w:sz w:val="20"/>
          <w:szCs w:val="20"/>
          <w:color w:val="auto"/>
        </w:rPr>
        <w:t>CSL NEW MEXICO SYSTEM, LLC</w:t>
      </w:r>
    </w:p>
    <w:p>
      <w:pPr>
        <w:ind w:left="2620"/>
        <w:spacing w:after="0" w:line="236" w:lineRule="auto"/>
        <w:rPr>
          <w:sz w:val="20"/>
          <w:szCs w:val="20"/>
          <w:color w:val="auto"/>
        </w:rPr>
      </w:pPr>
      <w:r>
        <w:rPr>
          <w:rFonts w:ascii="Arial" w:cs="Arial" w:eastAsia="Arial" w:hAnsi="Arial"/>
          <w:sz w:val="20"/>
          <w:szCs w:val="20"/>
          <w:color w:val="auto"/>
        </w:rPr>
        <w:t>CSL OHIO SYSTEM, LLC</w:t>
      </w:r>
    </w:p>
    <w:p>
      <w:pPr>
        <w:ind w:left="2620"/>
        <w:spacing w:after="0" w:line="236" w:lineRule="auto"/>
        <w:rPr>
          <w:sz w:val="20"/>
          <w:szCs w:val="20"/>
          <w:color w:val="auto"/>
        </w:rPr>
      </w:pPr>
      <w:r>
        <w:rPr>
          <w:rFonts w:ascii="Arial" w:cs="Arial" w:eastAsia="Arial" w:hAnsi="Arial"/>
          <w:sz w:val="20"/>
          <w:szCs w:val="20"/>
          <w:color w:val="auto"/>
        </w:rPr>
        <w:t>CSL OKLAHOMA SYSTEM, LLC</w:t>
      </w:r>
    </w:p>
    <w:p>
      <w:pPr>
        <w:ind w:left="2620"/>
        <w:spacing w:after="0" w:line="236" w:lineRule="auto"/>
        <w:rPr>
          <w:sz w:val="20"/>
          <w:szCs w:val="20"/>
          <w:color w:val="auto"/>
        </w:rPr>
      </w:pPr>
      <w:r>
        <w:rPr>
          <w:rFonts w:ascii="Arial" w:cs="Arial" w:eastAsia="Arial" w:hAnsi="Arial"/>
          <w:sz w:val="20"/>
          <w:szCs w:val="20"/>
          <w:color w:val="auto"/>
        </w:rPr>
        <w:t>CSL REALTY, LLC</w:t>
      </w:r>
    </w:p>
    <w:p>
      <w:pPr>
        <w:ind w:left="2620"/>
        <w:spacing w:after="0" w:line="236" w:lineRule="auto"/>
        <w:rPr>
          <w:sz w:val="20"/>
          <w:szCs w:val="20"/>
          <w:color w:val="auto"/>
        </w:rPr>
      </w:pPr>
      <w:r>
        <w:rPr>
          <w:rFonts w:ascii="Arial" w:cs="Arial" w:eastAsia="Arial" w:hAnsi="Arial"/>
          <w:sz w:val="20"/>
          <w:szCs w:val="20"/>
          <w:color w:val="auto"/>
        </w:rPr>
        <w:t>CSL TEXAS SYSTEM, LLC</w:t>
      </w:r>
    </w:p>
    <w:p>
      <w:pPr>
        <w:ind w:left="2620"/>
        <w:spacing w:after="0"/>
        <w:rPr>
          <w:sz w:val="20"/>
          <w:szCs w:val="20"/>
          <w:color w:val="auto"/>
        </w:rPr>
      </w:pPr>
      <w:r>
        <w:rPr>
          <w:rFonts w:ascii="Arial" w:cs="Arial" w:eastAsia="Arial" w:hAnsi="Arial"/>
          <w:sz w:val="18"/>
          <w:szCs w:val="18"/>
          <w:color w:val="auto"/>
        </w:rPr>
        <w:t>CSL NORTH CAROLINA REALTY GP, LLC</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CSL TENNESSEE REALTY PARTNER, LLC</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CSL TENNESSEE REALTY, LLC</w:t>
      </w:r>
    </w:p>
    <w:p>
      <w:pPr>
        <w:ind w:left="2620"/>
        <w:spacing w:after="0" w:line="236" w:lineRule="auto"/>
        <w:rPr>
          <w:sz w:val="20"/>
          <w:szCs w:val="20"/>
          <w:color w:val="auto"/>
        </w:rPr>
      </w:pPr>
      <w:r>
        <w:rPr>
          <w:rFonts w:ascii="Arial" w:cs="Arial" w:eastAsia="Arial" w:hAnsi="Arial"/>
          <w:sz w:val="20"/>
          <w:szCs w:val="20"/>
          <w:color w:val="auto"/>
        </w:rPr>
        <w:t>CONTACT NETWORK, LLC</w:t>
      </w:r>
    </w:p>
    <w:p>
      <w:pPr>
        <w:ind w:left="2620"/>
        <w:spacing w:after="0" w:line="236" w:lineRule="auto"/>
        <w:rPr>
          <w:sz w:val="20"/>
          <w:szCs w:val="20"/>
          <w:color w:val="auto"/>
        </w:rPr>
      </w:pPr>
      <w:r>
        <w:rPr>
          <w:rFonts w:ascii="Arial" w:cs="Arial" w:eastAsia="Arial" w:hAnsi="Arial"/>
          <w:sz w:val="20"/>
          <w:szCs w:val="20"/>
          <w:color w:val="auto"/>
        </w:rPr>
        <w:t>PEG BANDWIDTH DC, LLC</w:t>
      </w:r>
    </w:p>
    <w:p>
      <w:pPr>
        <w:ind w:left="2620"/>
        <w:spacing w:after="0" w:line="236" w:lineRule="auto"/>
        <w:rPr>
          <w:sz w:val="20"/>
          <w:szCs w:val="20"/>
          <w:color w:val="auto"/>
        </w:rPr>
      </w:pPr>
      <w:r>
        <w:rPr>
          <w:rFonts w:ascii="Arial" w:cs="Arial" w:eastAsia="Arial" w:hAnsi="Arial"/>
          <w:sz w:val="20"/>
          <w:szCs w:val="20"/>
          <w:color w:val="auto"/>
        </w:rPr>
        <w:t>PEG BANDWIDTH DE, LLC</w:t>
      </w:r>
    </w:p>
    <w:p>
      <w:pPr>
        <w:ind w:left="2620"/>
        <w:spacing w:after="0" w:line="236" w:lineRule="auto"/>
        <w:rPr>
          <w:sz w:val="20"/>
          <w:szCs w:val="20"/>
          <w:color w:val="auto"/>
        </w:rPr>
      </w:pPr>
      <w:r>
        <w:rPr>
          <w:rFonts w:ascii="Arial" w:cs="Arial" w:eastAsia="Arial" w:hAnsi="Arial"/>
          <w:sz w:val="20"/>
          <w:szCs w:val="20"/>
          <w:color w:val="auto"/>
        </w:rPr>
        <w:t>PEG BANDWIDTH IA, LLC</w:t>
      </w:r>
    </w:p>
    <w:p>
      <w:pPr>
        <w:ind w:left="2620"/>
        <w:spacing w:after="0" w:line="236" w:lineRule="auto"/>
        <w:rPr>
          <w:sz w:val="20"/>
          <w:szCs w:val="20"/>
          <w:color w:val="auto"/>
        </w:rPr>
      </w:pPr>
      <w:r>
        <w:rPr>
          <w:rFonts w:ascii="Arial" w:cs="Arial" w:eastAsia="Arial" w:hAnsi="Arial"/>
          <w:sz w:val="20"/>
          <w:szCs w:val="20"/>
          <w:color w:val="auto"/>
        </w:rPr>
        <w:t>PEG BANDWIDTH LA, LLC</w:t>
      </w:r>
    </w:p>
    <w:p>
      <w:pPr>
        <w:ind w:left="2620"/>
        <w:spacing w:after="0" w:line="236" w:lineRule="auto"/>
        <w:rPr>
          <w:sz w:val="20"/>
          <w:szCs w:val="20"/>
          <w:color w:val="auto"/>
        </w:rPr>
      </w:pPr>
      <w:r>
        <w:rPr>
          <w:rFonts w:ascii="Arial" w:cs="Arial" w:eastAsia="Arial" w:hAnsi="Arial"/>
          <w:sz w:val="20"/>
          <w:szCs w:val="20"/>
          <w:color w:val="auto"/>
        </w:rPr>
        <w:t>PEG BANDWIDTH MA, LLC</w:t>
      </w:r>
    </w:p>
    <w:p>
      <w:pPr>
        <w:ind w:left="2620"/>
        <w:spacing w:after="0" w:line="236" w:lineRule="auto"/>
        <w:rPr>
          <w:sz w:val="20"/>
          <w:szCs w:val="20"/>
          <w:color w:val="auto"/>
        </w:rPr>
      </w:pPr>
      <w:r>
        <w:rPr>
          <w:rFonts w:ascii="Arial" w:cs="Arial" w:eastAsia="Arial" w:hAnsi="Arial"/>
          <w:sz w:val="20"/>
          <w:szCs w:val="20"/>
          <w:color w:val="auto"/>
        </w:rPr>
        <w:t>PEG BANDWIDTH MS, LLC</w:t>
      </w:r>
    </w:p>
    <w:p>
      <w:pPr>
        <w:ind w:left="2620"/>
        <w:spacing w:after="0" w:line="236" w:lineRule="auto"/>
        <w:rPr>
          <w:sz w:val="20"/>
          <w:szCs w:val="20"/>
          <w:color w:val="auto"/>
        </w:rPr>
      </w:pPr>
      <w:r>
        <w:rPr>
          <w:rFonts w:ascii="Arial" w:cs="Arial" w:eastAsia="Arial" w:hAnsi="Arial"/>
          <w:sz w:val="20"/>
          <w:szCs w:val="20"/>
          <w:color w:val="auto"/>
        </w:rPr>
        <w:t>PEG BANDWIDTH TX, LLC</w:t>
      </w:r>
    </w:p>
    <w:p>
      <w:pPr>
        <w:ind w:left="2620"/>
        <w:spacing w:after="0" w:line="236" w:lineRule="auto"/>
        <w:rPr>
          <w:sz w:val="20"/>
          <w:szCs w:val="20"/>
          <w:color w:val="auto"/>
        </w:rPr>
      </w:pPr>
      <w:r>
        <w:rPr>
          <w:rFonts w:ascii="Arial" w:cs="Arial" w:eastAsia="Arial" w:hAnsi="Arial"/>
          <w:sz w:val="20"/>
          <w:szCs w:val="20"/>
          <w:color w:val="auto"/>
        </w:rPr>
        <w:t>PEG BANDWIDTH VA, LLC</w:t>
      </w:r>
    </w:p>
    <w:p>
      <w:pPr>
        <w:ind w:left="2620"/>
        <w:spacing w:after="0" w:line="236" w:lineRule="auto"/>
        <w:rPr>
          <w:sz w:val="20"/>
          <w:szCs w:val="20"/>
          <w:color w:val="auto"/>
        </w:rPr>
      </w:pPr>
      <w:r>
        <w:rPr>
          <w:rFonts w:ascii="Arial" w:cs="Arial" w:eastAsia="Arial" w:hAnsi="Arial"/>
          <w:sz w:val="20"/>
          <w:szCs w:val="20"/>
          <w:color w:val="auto"/>
        </w:rPr>
        <w:t>UNITI FIBER HOLDINGS - TC LLC</w:t>
      </w:r>
    </w:p>
    <w:p>
      <w:pPr>
        <w:ind w:left="2620"/>
        <w:spacing w:after="0" w:line="236" w:lineRule="auto"/>
        <w:rPr>
          <w:sz w:val="20"/>
          <w:szCs w:val="20"/>
          <w:color w:val="auto"/>
        </w:rPr>
      </w:pPr>
      <w:r>
        <w:rPr>
          <w:rFonts w:ascii="Arial" w:cs="Arial" w:eastAsia="Arial" w:hAnsi="Arial"/>
          <w:sz w:val="20"/>
          <w:szCs w:val="20"/>
          <w:color w:val="auto"/>
        </w:rPr>
        <w:t>UNITI FIBER LLC</w:t>
      </w:r>
    </w:p>
    <w:p>
      <w:pPr>
        <w:ind w:left="2620"/>
        <w:spacing w:after="0" w:line="236" w:lineRule="auto"/>
        <w:rPr>
          <w:sz w:val="20"/>
          <w:szCs w:val="20"/>
          <w:color w:val="auto"/>
        </w:rPr>
      </w:pPr>
      <w:r>
        <w:rPr>
          <w:rFonts w:ascii="Arial" w:cs="Arial" w:eastAsia="Arial" w:hAnsi="Arial"/>
          <w:sz w:val="20"/>
          <w:szCs w:val="20"/>
          <w:color w:val="auto"/>
        </w:rPr>
        <w:t>UNITI LEASING LLC</w:t>
      </w:r>
    </w:p>
    <w:p>
      <w:pPr>
        <w:ind w:left="2620"/>
        <w:spacing w:after="0" w:line="236" w:lineRule="auto"/>
        <w:rPr>
          <w:sz w:val="20"/>
          <w:szCs w:val="20"/>
          <w:color w:val="auto"/>
        </w:rPr>
      </w:pPr>
      <w:r>
        <w:rPr>
          <w:rFonts w:ascii="Arial" w:cs="Arial" w:eastAsia="Arial" w:hAnsi="Arial"/>
          <w:sz w:val="20"/>
          <w:szCs w:val="20"/>
          <w:color w:val="auto"/>
        </w:rPr>
        <w:t>UNITI TOWERS LLC</w:t>
      </w:r>
    </w:p>
    <w:p>
      <w:pPr>
        <w:ind w:left="2620"/>
        <w:spacing w:after="0" w:line="236" w:lineRule="auto"/>
        <w:rPr>
          <w:sz w:val="20"/>
          <w:szCs w:val="20"/>
          <w:color w:val="auto"/>
        </w:rPr>
      </w:pPr>
      <w:r>
        <w:rPr>
          <w:rFonts w:ascii="Arial" w:cs="Arial" w:eastAsia="Arial" w:hAnsi="Arial"/>
          <w:sz w:val="20"/>
          <w:szCs w:val="20"/>
          <w:color w:val="auto"/>
        </w:rPr>
        <w:t>UNITI TOWERS NMS HOLDINGS LLC</w:t>
      </w:r>
    </w:p>
    <w:p>
      <w:pPr>
        <w:ind w:left="2620"/>
        <w:spacing w:after="0" w:line="236" w:lineRule="auto"/>
        <w:rPr>
          <w:sz w:val="20"/>
          <w:szCs w:val="20"/>
          <w:color w:val="auto"/>
        </w:rPr>
      </w:pPr>
      <w:r>
        <w:rPr>
          <w:rFonts w:ascii="Arial" w:cs="Arial" w:eastAsia="Arial" w:hAnsi="Arial"/>
          <w:sz w:val="20"/>
          <w:szCs w:val="20"/>
          <w:color w:val="auto"/>
        </w:rPr>
        <w:t>UNITI TOWERS – NMS INVESTOR LLC</w:t>
      </w:r>
    </w:p>
    <w:p>
      <w:pPr>
        <w:ind w:left="2620"/>
        <w:spacing w:after="0" w:line="236" w:lineRule="auto"/>
        <w:rPr>
          <w:sz w:val="20"/>
          <w:szCs w:val="20"/>
          <w:color w:val="auto"/>
        </w:rPr>
      </w:pPr>
      <w:r>
        <w:rPr>
          <w:rFonts w:ascii="Arial" w:cs="Arial" w:eastAsia="Arial" w:hAnsi="Arial"/>
          <w:sz w:val="20"/>
          <w:szCs w:val="20"/>
          <w:color w:val="auto"/>
        </w:rPr>
        <w:t>UNITI GROUP FINANCE INC.</w:t>
      </w:r>
    </w:p>
    <w:p>
      <w:pPr>
        <w:ind w:left="2620"/>
        <w:spacing w:after="0"/>
        <w:rPr>
          <w:sz w:val="20"/>
          <w:szCs w:val="20"/>
          <w:color w:val="auto"/>
        </w:rPr>
      </w:pPr>
      <w:r>
        <w:rPr>
          <w:rFonts w:ascii="Arial" w:cs="Arial" w:eastAsia="Arial" w:hAnsi="Arial"/>
          <w:sz w:val="20"/>
          <w:szCs w:val="20"/>
          <w:color w:val="auto"/>
        </w:rPr>
        <w:t>UNITI GROUP INC.</w:t>
      </w: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Daniel L. Heard</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Name: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-142875</wp:posOffset>
            </wp:positionV>
            <wp:extent cx="23399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7"/>
          <w:szCs w:val="17"/>
          <w:color w:val="auto"/>
        </w:rPr>
        <w:t>Title:  Executive Vice President – General</w:t>
      </w:r>
    </w:p>
    <w:p>
      <w:pPr>
        <w:spacing w:after="0" w:line="38"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151130</wp:posOffset>
            </wp:positionV>
            <wp:extent cx="729107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2" w:name="page53"/>
    <w:bookmarkEnd w:id="52"/>
    <w:p>
      <w:pPr>
        <w:ind w:left="4520"/>
        <w:spacing w:after="0"/>
        <w:rPr>
          <w:sz w:val="20"/>
          <w:szCs w:val="20"/>
          <w:color w:val="auto"/>
        </w:rPr>
      </w:pPr>
      <w:r>
        <w:rPr>
          <w:rFonts w:ascii="Arial" w:cs="Arial" w:eastAsia="Arial" w:hAnsi="Arial"/>
          <w:sz w:val="18"/>
          <w:szCs w:val="18"/>
          <w:color w:val="auto"/>
        </w:rPr>
        <w:t>WELLS FARGO BANK, NATIONAL</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ASSOCIATION, AS TRUSTEE</w:t>
      </w:r>
    </w:p>
    <w:p>
      <w:pPr>
        <w:spacing w:after="0" w:line="200" w:lineRule="exact"/>
        <w:rPr>
          <w:sz w:val="20"/>
          <w:szCs w:val="20"/>
          <w:color w:val="auto"/>
        </w:rPr>
      </w:pPr>
    </w:p>
    <w:p>
      <w:pPr>
        <w:spacing w:after="0" w:line="20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20"/>
          <w:szCs w:val="20"/>
          <w:color w:val="auto"/>
        </w:rPr>
        <w:t>By:</w:t>
        <w:tab/>
        <w:t>/s/ John C. Stohlmann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8255</wp:posOffset>
            </wp:positionV>
            <wp:extent cx="1934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ind w:left="4520"/>
        <w:spacing w:after="0"/>
        <w:tabs>
          <w:tab w:leader="none" w:pos="5220" w:val="left"/>
        </w:tabs>
        <w:rPr>
          <w:sz w:val="20"/>
          <w:szCs w:val="20"/>
          <w:color w:val="auto"/>
        </w:rPr>
      </w:pPr>
      <w:r>
        <w:rPr>
          <w:rFonts w:ascii="Arial" w:cs="Arial" w:eastAsia="Arial" w:hAnsi="Arial"/>
          <w:sz w:val="20"/>
          <w:szCs w:val="20"/>
          <w:color w:val="auto"/>
        </w:rPr>
        <w:t>Name:</w:t>
        <w:tab/>
        <w:t>John C. Stohlmann</w:t>
      </w:r>
    </w:p>
    <w:p>
      <w:pPr>
        <w:spacing w:after="0" w:line="4" w:lineRule="exact"/>
        <w:rPr>
          <w:sz w:val="20"/>
          <w:szCs w:val="20"/>
          <w:color w:val="auto"/>
        </w:rPr>
      </w:pPr>
    </w:p>
    <w:p>
      <w:pPr>
        <w:ind w:left="4520"/>
        <w:spacing w:after="0"/>
        <w:tabs>
          <w:tab w:leader="none" w:pos="5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165735</wp:posOffset>
            </wp:positionV>
            <wp:extent cx="729107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9019"/>
          </w:cols>
          <w:pgMar w:left="1440" w:top="575" w:right="1440"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EXHIBIT A</w:t>
      </w:r>
    </w:p>
    <w:p>
      <w:pPr>
        <w:spacing w:after="0" w:line="21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[FACE OF NOTE]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[Insert the Global Note Legend, if applicable pursuant to the provisions of the Indenture]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[Insert the Private Placement Legend, if applicable pursuant to the provisions of the Indenture]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[Insert the Regulation S Temporary Global Note Legend, if applicable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CUSIP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sectPr>
          <w:pgSz w:w="11900" w:h="16838" w:orient="portrait"/>
          <w:cols w:equalWidth="0" w:num="2">
            <w:col w:w="680" w:space="580"/>
            <w:col w:w="10040"/>
          </w:cols>
          <w:pgMar w:left="240" w:top="122" w:right="35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191" w:lineRule="exact"/>
        <w:rPr>
          <w:sz w:val="20"/>
          <w:szCs w:val="20"/>
          <w:color w:val="auto"/>
        </w:rPr>
      </w:pPr>
    </w:p>
    <w:p>
      <w:pPr>
        <w:sectPr>
          <w:pgSz w:w="11900" w:h="16838" w:orient="portrait"/>
          <w:cols w:equalWidth="0" w:num="2">
            <w:col w:w="500" w:space="580"/>
            <w:col w:w="10220"/>
          </w:cols>
          <w:pgMar w:left="240" w:top="122" w:right="359" w:bottom="1440" w:gutter="0" w:footer="0" w:header="0"/>
          <w:type w:val="continuous"/>
        </w:sectPr>
      </w:pPr>
    </w:p>
    <w:p>
      <w:pPr>
        <w:jc w:val="center"/>
        <w:ind w:right="-79"/>
        <w:spacing w:after="0"/>
        <w:rPr>
          <w:sz w:val="20"/>
          <w:szCs w:val="20"/>
          <w:color w:val="auto"/>
        </w:rPr>
      </w:pPr>
      <w:r>
        <w:rPr>
          <w:rFonts w:ascii="Arial" w:cs="Arial" w:eastAsia="Arial" w:hAnsi="Arial"/>
          <w:sz w:val="20"/>
          <w:szCs w:val="20"/>
          <w:color w:val="auto"/>
        </w:rPr>
        <w:t>[[RULE 144A][REGULATION S] GLOBAL NOTE</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7.125% Senior Notes due 2024</w:t>
      </w:r>
    </w:p>
    <w:p>
      <w:pPr>
        <w:spacing w:after="0" w:line="200" w:lineRule="exact"/>
        <w:rPr>
          <w:sz w:val="20"/>
          <w:szCs w:val="20"/>
          <w:color w:val="auto"/>
        </w:rPr>
      </w:pPr>
    </w:p>
    <w:p>
      <w:pPr>
        <w:spacing w:after="0" w:line="249" w:lineRule="exact"/>
        <w:rPr>
          <w:sz w:val="20"/>
          <w:szCs w:val="20"/>
          <w:color w:val="auto"/>
        </w:rPr>
      </w:pPr>
    </w:p>
    <w:p>
      <w:pPr>
        <w:spacing w:after="0"/>
        <w:tabs>
          <w:tab w:leader="none" w:pos="1000" w:val="left"/>
          <w:tab w:leader="none" w:pos="1620" w:val="left"/>
        </w:tabs>
        <w:rPr>
          <w:sz w:val="20"/>
          <w:szCs w:val="20"/>
          <w:color w:val="auto"/>
        </w:rPr>
      </w:pP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Issue Date:</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UNITI GROUP LP (as successor issuer to UNITI GROUP INC.), UNITI FIBER HOLDINGS INC. and CSL CAPITAL, LLC</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jointly and severally promise to pay to CEDE &amp; CO. or registered assigns, the principal sum [set forth on the Schedule of Exchanges of Interests</w:t>
      </w:r>
    </w:p>
    <w:p>
      <w:pPr>
        <w:spacing w:after="0" w:line="47" w:lineRule="exact"/>
        <w:rPr>
          <w:sz w:val="20"/>
          <w:szCs w:val="20"/>
          <w:color w:val="auto"/>
        </w:rPr>
      </w:pPr>
    </w:p>
    <w:p>
      <w:pPr>
        <w:spacing w:after="0"/>
        <w:tabs>
          <w:tab w:leader="none" w:pos="4080" w:val="left"/>
        </w:tabs>
        <w:rPr>
          <w:sz w:val="20"/>
          <w:szCs w:val="20"/>
          <w:color w:val="auto"/>
        </w:rPr>
      </w:pPr>
      <w:r>
        <w:rPr>
          <w:rFonts w:ascii="Arial" w:cs="Arial" w:eastAsia="Arial" w:hAnsi="Arial"/>
          <w:sz w:val="20"/>
          <w:szCs w:val="20"/>
          <w:color w:val="auto"/>
        </w:rPr>
        <w:t>in the Global Note attached hereto] [of</w:t>
      </w:r>
      <w:r>
        <w:rPr>
          <w:sz w:val="20"/>
          <w:szCs w:val="20"/>
          <w:color w:val="auto"/>
        </w:rPr>
        <w:tab/>
      </w:r>
      <w:r>
        <w:rPr>
          <w:rFonts w:ascii="Arial" w:cs="Arial" w:eastAsia="Arial" w:hAnsi="Arial"/>
          <w:sz w:val="17"/>
          <w:szCs w:val="17"/>
          <w:color w:val="auto"/>
        </w:rPr>
        <w:t>United States Dollars] on December 15, 2024.</w:t>
      </w:r>
    </w:p>
    <w:p>
      <w:pPr>
        <w:spacing w:after="0" w:line="19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Interest Payment Dates: June 15 and December 15</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Record Dates: June 1 and December 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color w:val="auto"/>
        </w:rPr>
        <w:t>IN WITNESS HEREOF, each of the Issuers have caused this instrument to be duly executed as of the date first written above.</w:t>
      </w:r>
    </w:p>
    <w:p>
      <w:pPr>
        <w:sectPr>
          <w:pgSz w:w="11900" w:h="16838" w:orient="portrait"/>
          <w:cols w:equalWidth="0" w:num="1">
            <w:col w:w="9820"/>
          </w:cols>
          <w:pgMar w:left="1200" w:top="12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UNITI GROUP LP</w:t>
      </w:r>
    </w:p>
    <w:p>
      <w:pPr>
        <w:spacing w:after="0" w:line="200" w:lineRule="exact"/>
        <w:rPr>
          <w:sz w:val="20"/>
          <w:szCs w:val="20"/>
          <w:color w:val="auto"/>
        </w:rPr>
      </w:pPr>
    </w:p>
    <w:p>
      <w:pPr>
        <w:spacing w:after="0" w:line="22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By: Uniti Group Inc., as its general partner</w:t>
      </w:r>
    </w:p>
    <w:p>
      <w:pPr>
        <w:spacing w:after="0" w:line="200" w:lineRule="exact"/>
        <w:rPr>
          <w:sz w:val="20"/>
          <w:szCs w:val="20"/>
          <w:color w:val="auto"/>
        </w:rPr>
      </w:pPr>
    </w:p>
    <w:p>
      <w:pPr>
        <w:spacing w:after="0" w:line="24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By:</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Name: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-142875</wp:posOffset>
            </wp:positionV>
            <wp:extent cx="23907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8"/>
          <w:szCs w:val="18"/>
          <w:color w:val="auto"/>
        </w:rPr>
        <w:t>Title:  Executive Vice President – General</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62865</wp:posOffset>
            </wp:positionV>
            <wp:extent cx="729107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9820"/>
          </w:cols>
          <w:pgMar w:left="1200" w:top="122" w:right="879" w:bottom="1440" w:gutter="0" w:footer="0" w:header="0"/>
          <w:type w:val="continuous"/>
        </w:sectPr>
      </w:pPr>
    </w:p>
    <w:bookmarkStart w:id="56" w:name="page57"/>
    <w:bookmarkEnd w:id="56"/>
    <w:p>
      <w:pPr>
        <w:ind w:left="3440"/>
        <w:spacing w:after="0"/>
        <w:rPr>
          <w:sz w:val="20"/>
          <w:szCs w:val="20"/>
          <w:color w:val="auto"/>
        </w:rPr>
      </w:pPr>
      <w:r>
        <w:rPr>
          <w:rFonts w:ascii="Arial" w:cs="Arial" w:eastAsia="Arial" w:hAnsi="Arial"/>
          <w:sz w:val="20"/>
          <w:szCs w:val="20"/>
          <w:color w:val="auto"/>
        </w:rPr>
        <w:t>UNITI FIBER HOLDINGS INC.</w:t>
      </w:r>
    </w:p>
    <w:p>
      <w:pPr>
        <w:spacing w:after="0" w:line="200" w:lineRule="exact"/>
        <w:rPr>
          <w:sz w:val="20"/>
          <w:szCs w:val="20"/>
          <w:color w:val="auto"/>
        </w:rPr>
      </w:pPr>
    </w:p>
    <w:p>
      <w:pPr>
        <w:spacing w:after="0" w:line="22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By:</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-142875</wp:posOffset>
            </wp:positionV>
            <wp:extent cx="23399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jc w:val="right"/>
        <w:ind w:right="1759"/>
        <w:spacing w:after="0"/>
        <w:rPr>
          <w:sz w:val="20"/>
          <w:szCs w:val="20"/>
          <w:color w:val="auto"/>
        </w:rPr>
      </w:pPr>
      <w:r>
        <w:rPr>
          <w:rFonts w:ascii="Arial" w:cs="Arial" w:eastAsia="Arial" w:hAnsi="Arial"/>
          <w:sz w:val="20"/>
          <w:szCs w:val="20"/>
          <w:color w:val="auto"/>
        </w:rPr>
        <w:t>Title:  Executive Vice President – General</w:t>
      </w:r>
    </w:p>
    <w:p>
      <w:pPr>
        <w:ind w:left="450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62865</wp:posOffset>
            </wp:positionV>
            <wp:extent cx="729107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9019"/>
          </w:cols>
          <w:pgMar w:left="1440" w:top="602" w:right="1440" w:bottom="1440" w:gutter="0" w:footer="0" w:header="0"/>
        </w:sectPr>
      </w:pPr>
    </w:p>
    <w:bookmarkStart w:id="57" w:name="page58"/>
    <w:bookmarkEnd w:id="57"/>
    <w:p>
      <w:pPr>
        <w:ind w:left="4520"/>
        <w:spacing w:after="0"/>
        <w:rPr>
          <w:sz w:val="20"/>
          <w:szCs w:val="20"/>
          <w:color w:val="auto"/>
        </w:rPr>
      </w:pPr>
      <w:r>
        <w:rPr>
          <w:rFonts w:ascii="Arial" w:cs="Arial" w:eastAsia="Arial" w:hAnsi="Arial"/>
          <w:sz w:val="20"/>
          <w:szCs w:val="20"/>
          <w:color w:val="auto"/>
        </w:rPr>
        <w:t>CSL CAPITAL, LLC</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-142875</wp:posOffset>
            </wp:positionV>
            <wp:extent cx="2196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9646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0"/>
          <w:szCs w:val="20"/>
          <w:color w:val="auto"/>
        </w:rPr>
        <w:t>Title:Executive Vice President –</w:t>
      </w:r>
    </w:p>
    <w:p>
      <w:pPr>
        <w:spacing w:after="0" w:line="4" w:lineRule="exact"/>
        <w:rPr>
          <w:sz w:val="20"/>
          <w:szCs w:val="20"/>
          <w:color w:val="auto"/>
        </w:rPr>
      </w:pPr>
    </w:p>
    <w:p>
      <w:pPr>
        <w:jc w:val="right"/>
        <w:ind w:right="899"/>
        <w:spacing w:after="0"/>
        <w:rPr>
          <w:sz w:val="20"/>
          <w:szCs w:val="20"/>
          <w:color w:val="auto"/>
        </w:rPr>
      </w:pPr>
      <w:r>
        <w:rPr>
          <w:rFonts w:ascii="Arial" w:cs="Arial" w:eastAsia="Arial" w:hAnsi="Arial"/>
          <w:sz w:val="20"/>
          <w:szCs w:val="20"/>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77470</wp:posOffset>
            </wp:positionV>
            <wp:extent cx="729107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9019"/>
          </w:cols>
          <w:pgMar w:left="1440" w:top="362" w:right="1440" w:bottom="1440" w:gutter="0" w:footer="0" w:header="0"/>
        </w:sectPr>
      </w:pPr>
    </w:p>
    <w:bookmarkStart w:id="58" w:name="page59"/>
    <w:bookmarkEnd w:id="58"/>
    <w:p>
      <w:pPr>
        <w:ind w:left="960"/>
        <w:spacing w:after="0"/>
        <w:rPr>
          <w:sz w:val="20"/>
          <w:szCs w:val="20"/>
          <w:color w:val="auto"/>
        </w:rPr>
      </w:pPr>
      <w:r>
        <w:rPr>
          <w:rFonts w:ascii="Arial" w:cs="Arial" w:eastAsia="Arial" w:hAnsi="Arial"/>
          <w:sz w:val="20"/>
          <w:szCs w:val="20"/>
          <w:color w:val="auto"/>
        </w:rPr>
        <w:t>This is one of the Notes referred to in the within-mentioned Indenture: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ASSOCIATION</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-142875</wp:posOffset>
            </wp:positionV>
            <wp:extent cx="2196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96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19"/>
          </w:cols>
          <w:pgMar w:left="240" w:top="602" w:right="1440"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20"/>
          <w:szCs w:val="20"/>
          <w:color w:val="auto"/>
        </w:rPr>
        <w:t>[Back of Note]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7.125% Senior Notes due 2024</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indicated.</w:t>
      </w:r>
    </w:p>
    <w:p>
      <w:pPr>
        <w:spacing w:after="0" w:line="193" w:lineRule="exact"/>
        <w:rPr>
          <w:sz w:val="20"/>
          <w:szCs w:val="20"/>
          <w:color w:val="auto"/>
        </w:rPr>
      </w:pPr>
    </w:p>
    <w:p>
      <w:pPr>
        <w:ind w:right="40" w:firstLine="957"/>
        <w:spacing w:after="0" w:line="264"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UNITI GROUP LP (as successor issuer to UNITI GROUP INC.), a Delaware limited partnership, UNITI FIBER HOLDINGS INC., a Delaware corporation, and CSL CAPITAL, LLC, a Delaware limited liability company, jointly and severally promise to pay interest on the principal amount of this Note at 7.125% per annum from December 15, 2016 until maturity. The Issuers will pay interest semi-annually in arrears on June 15 and December 15 of each year, or if any such day is not a Business Day, on the next succeeding Business Day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The first Interest Payment Date shall be December 15, 2017. Interest on the Notes will accrue from June 15, 2017. The Issuers will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if any, from time to time on demand at the interest rate on the Notes. At maturity, the Issuers will pay accrued and unpaid interest from the most recent date to which interest has been paid or provided</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for. Interest will be computed on the basis of a 360-day year comprised of twelve 30-day months.</w:t>
      </w:r>
    </w:p>
    <w:p>
      <w:pPr>
        <w:spacing w:after="0" w:line="193" w:lineRule="exact"/>
        <w:rPr>
          <w:rFonts w:ascii="Arial" w:cs="Arial" w:eastAsia="Arial" w:hAnsi="Arial"/>
          <w:sz w:val="18"/>
          <w:szCs w:val="18"/>
          <w:color w:val="auto"/>
        </w:rPr>
      </w:pPr>
    </w:p>
    <w:p>
      <w:pPr>
        <w:ind w:firstLine="957"/>
        <w:spacing w:after="0" w:line="268"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METHOD OF PAYMENT. The Issuers will pay interest on the Notes to the Persons who are registered Holders of Notes at the close of business on June 1 or December 1 (whether or not a Business Day), as the case may be, immediately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will be required with respect to principal of and interest and premium, if any, on, all Global Notes and all other Notes the Holders of which hold at least $5,000,000 aggregate principal amount of the Notes and shall have provided wire transfer instructions to the Issuers or the Paying Agent for an account in the continental U.S. Such payment shall be in such coin or currency of the United States of America as at the time of payment is legal tender for payment of public and private debts.</w:t>
      </w:r>
    </w:p>
    <w:p>
      <w:pPr>
        <w:spacing w:after="0" w:line="168" w:lineRule="exact"/>
        <w:rPr>
          <w:rFonts w:ascii="Arial" w:cs="Arial" w:eastAsia="Arial" w:hAnsi="Arial"/>
          <w:sz w:val="18"/>
          <w:szCs w:val="18"/>
          <w:color w:val="auto"/>
        </w:rPr>
      </w:pPr>
    </w:p>
    <w:p>
      <w:pPr>
        <w:ind w:left="1200" w:hanging="243"/>
        <w:spacing w:after="0"/>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PAYING AGENT AND REGISTRAR. Initially, Wells Fargo Bank, National Association, will act as Paying Agent and</w:t>
      </w:r>
    </w:p>
    <w:p>
      <w:pPr>
        <w:spacing w:after="0" w:line="12" w:lineRule="exact"/>
        <w:rPr>
          <w:sz w:val="20"/>
          <w:szCs w:val="20"/>
          <w:color w:val="auto"/>
        </w:rPr>
      </w:pPr>
    </w:p>
    <w:p>
      <w:pPr>
        <w:ind w:right="80"/>
        <w:spacing w:after="0" w:line="238" w:lineRule="auto"/>
        <w:rPr>
          <w:sz w:val="20"/>
          <w:szCs w:val="20"/>
          <w:color w:val="auto"/>
        </w:rPr>
      </w:pPr>
      <w:r>
        <w:rPr>
          <w:rFonts w:ascii="Arial" w:cs="Arial" w:eastAsia="Arial" w:hAnsi="Arial"/>
          <w:sz w:val="20"/>
          <w:szCs w:val="20"/>
          <w:color w:val="auto"/>
        </w:rPr>
        <w:t>Registrar. The Issuers may change the Paying Agents or the Registrars without prior notice to the Holders. The Parent or any of its Subsidiaries, including the Issuers, may act as a Paying Agent or Registrar.</w:t>
      </w:r>
    </w:p>
    <w:p>
      <w:pPr>
        <w:spacing w:after="0" w:line="193" w:lineRule="exact"/>
        <w:rPr>
          <w:sz w:val="20"/>
          <w:szCs w:val="20"/>
          <w:color w:val="auto"/>
        </w:rPr>
      </w:pPr>
    </w:p>
    <w:p>
      <w:pPr>
        <w:ind w:right="40" w:firstLine="957"/>
        <w:spacing w:after="0" w:line="270" w:lineRule="auto"/>
        <w:tabs>
          <w:tab w:leader="none" w:pos="1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INDENTURE. The Issuers issued the Notes under an Indenture dated as of December 15, 2016, as amended and supplemented as of the date hereof (the “</w:t>
      </w:r>
      <w:r>
        <w:rPr>
          <w:rFonts w:ascii="Arial" w:cs="Arial" w:eastAsia="Arial" w:hAnsi="Arial"/>
          <w:sz w:val="18"/>
          <w:szCs w:val="18"/>
          <w:b w:val="1"/>
          <w:bCs w:val="1"/>
          <w:color w:val="auto"/>
        </w:rPr>
        <w:t>Indenture</w:t>
      </w:r>
      <w:r>
        <w:rPr>
          <w:rFonts w:ascii="Arial" w:cs="Arial" w:eastAsia="Arial" w:hAnsi="Arial"/>
          <w:sz w:val="18"/>
          <w:szCs w:val="18"/>
          <w:color w:val="auto"/>
        </w:rPr>
        <w:t>”), among Uniti Group LP, Uniti Fiber Holdings Inc. and CSL Capital, LLC, the Guarantors named therein and the Trustee. This Note is one of a duly authorized issue of notes of the Issuers designated as its 7.125% Senior Notes due 2024. This Note is one of the Additional Notes referred to in the Indenture and which the Issuers are entitled to issue pursuant to Sections 2.01 and 4.09 of the Indenture. The terms of the Notes include those stated in the Indenture and those made part of the Indenture by reference to the Trust Indenture Act of 1939, as amended (the “Trust Indenture Act”). The Notes are subject to all such terms, and Holders are referred to the Indenture and such Act for a statement of such terms. To the extent any provision of this Note conflicts with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0" w:name="page61"/>
    <w:bookmarkEnd w:id="60"/>
    <w:p>
      <w:pPr>
        <w:ind w:right="560"/>
        <w:spacing w:after="0" w:line="255" w:lineRule="auto"/>
        <w:rPr>
          <w:sz w:val="20"/>
          <w:szCs w:val="20"/>
          <w:color w:val="auto"/>
        </w:rPr>
      </w:pPr>
      <w:r>
        <w:rPr>
          <w:rFonts w:ascii="Arial" w:cs="Arial" w:eastAsia="Arial" w:hAnsi="Arial"/>
          <w:sz w:val="20"/>
          <w:szCs w:val="20"/>
          <w:color w:val="auto"/>
        </w:rPr>
        <w:t>express provisions of the Indenture, the provisions of the Indenture shall govern and be controlling (other than with respect to pre-issuance interest).</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5. OPTIONAL REDEMPTION.</w:t>
      </w:r>
    </w:p>
    <w:p>
      <w:pPr>
        <w:spacing w:after="0" w:line="209" w:lineRule="exact"/>
        <w:rPr>
          <w:sz w:val="20"/>
          <w:szCs w:val="20"/>
          <w:color w:val="auto"/>
        </w:rPr>
      </w:pPr>
    </w:p>
    <w:p>
      <w:pPr>
        <w:ind w:right="320" w:firstLine="957"/>
        <w:spacing w:after="0" w:line="254" w:lineRule="auto"/>
        <w:tabs>
          <w:tab w:leader="none" w:pos="1216"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Except as described below under clauses 5(b), 5(c) and 5(e) hereof, the Issuers will not be entitled to redeem the Notes at their option prior to December 15, 2019.</w:t>
      </w:r>
    </w:p>
    <w:p>
      <w:pPr>
        <w:spacing w:after="0" w:line="178" w:lineRule="exact"/>
        <w:rPr>
          <w:rFonts w:ascii="Arial" w:cs="Arial" w:eastAsia="Arial" w:hAnsi="Arial"/>
          <w:sz w:val="20"/>
          <w:szCs w:val="20"/>
          <w:color w:val="auto"/>
        </w:rPr>
      </w:pPr>
    </w:p>
    <w:p>
      <w:pPr>
        <w:ind w:right="20" w:firstLine="957"/>
        <w:spacing w:after="0" w:line="278" w:lineRule="auto"/>
        <w:tabs>
          <w:tab w:leader="none" w:pos="12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any time prior to December 15, 2019 the Issuers may redeem all or a part of the Notes upon notice as described in Section 3.03 of the Indenture, at a redemption price equal to 100% of the principal amount of Notes redeemed plus the Applicable Premium as of the redemption date, and, without duplication, accrued and unpaid interest, if any, to, but excluding, the redemption date, subject to the rights of Holders on the relevant record date to receive interest due on the relevant Interest Payment Date.</w:t>
      </w:r>
    </w:p>
    <w:p>
      <w:pPr>
        <w:spacing w:after="0" w:line="158" w:lineRule="exact"/>
        <w:rPr>
          <w:rFonts w:ascii="Arial" w:cs="Arial" w:eastAsia="Arial" w:hAnsi="Arial"/>
          <w:sz w:val="18"/>
          <w:szCs w:val="18"/>
          <w:color w:val="auto"/>
        </w:rPr>
      </w:pPr>
    </w:p>
    <w:p>
      <w:pPr>
        <w:ind w:right="180" w:firstLine="957"/>
        <w:spacing w:after="0" w:line="288" w:lineRule="auto"/>
        <w:tabs>
          <w:tab w:leader="none" w:pos="12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Until December 15, 2019, the Issuers may, at their option, upon notice as described in Section 3.03 of the Indenture, on one or more occasions, redeem up to 35% of the aggregate principal amount of Notes issued by them at a redemption price equal to 107.125% of the principal amount thereof plus accrued and unpaid interest thereon, if any, to, but excluding, the applicable redemption date, with the net cash proceeds of one or more Equity Offerings;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least 60% of the aggregate principal amount of Notes originally issued under the Indenture remains outstanding immediately after the occurrence of each such redemption;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each such redemption occurs within 120 days of the date of closing of each such Equity Offering. Notice of any redemption upon any Equity Offering may be given prior to such Equity Offering, and any such redemption or notice may, at the Issuer’s discretion, be subject to completion of the related Equity Offering.</w:t>
      </w:r>
    </w:p>
    <w:p>
      <w:pPr>
        <w:spacing w:after="0" w:line="154" w:lineRule="exact"/>
        <w:rPr>
          <w:rFonts w:ascii="Arial" w:cs="Arial" w:eastAsia="Arial" w:hAnsi="Arial"/>
          <w:sz w:val="17"/>
          <w:szCs w:val="17"/>
          <w:color w:val="auto"/>
        </w:rPr>
      </w:pPr>
    </w:p>
    <w:p>
      <w:pPr>
        <w:ind w:right="100" w:firstLine="957"/>
        <w:spacing w:after="0"/>
        <w:tabs>
          <w:tab w:leader="none" w:pos="1227" w:val="left"/>
        </w:tabs>
        <w:numPr>
          <w:ilvl w:val="0"/>
          <w:numId w:val="14"/>
        </w:numPr>
        <w:rPr>
          <w:rFonts w:ascii="Arial" w:cs="Arial" w:eastAsia="Arial" w:hAnsi="Arial"/>
          <w:sz w:val="20"/>
          <w:szCs w:val="20"/>
          <w:color w:val="auto"/>
        </w:rPr>
      </w:pPr>
      <w:r>
        <w:rPr>
          <w:rFonts w:ascii="Arial" w:cs="Arial" w:eastAsia="Arial" w:hAnsi="Arial"/>
          <w:sz w:val="20"/>
          <w:szCs w:val="20"/>
          <w:color w:val="auto"/>
        </w:rPr>
        <w:t>On and after December 15, 2019, the Issuers may redeem the Notes, in whole or in part, upon notice as described in Section 3.03 of the Indenture, at the redemption prices (expressed as percentages of principal amount of the Notes to be redeemed) set forth below, plus accrued and unpaid interest thereon, if any, to, but excluding, the applicable redemption date, subject to the right of Holders of record on the relevant Record Date to receive interest due on the relevant Interest Payment Date, if redeemed during the twelve-month period beginning on April 15 of each of the years indicated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880" w:type="dxa"/>
            <w:vAlign w:val="bottom"/>
          </w:tcPr>
          <w:p>
            <w:pPr>
              <w:ind w:left="2040"/>
              <w:spacing w:after="0"/>
              <w:rPr>
                <w:sz w:val="20"/>
                <w:szCs w:val="20"/>
                <w:color w:val="auto"/>
              </w:rPr>
            </w:pPr>
            <w:r>
              <w:rPr>
                <w:rFonts w:ascii="Arial" w:cs="Arial" w:eastAsia="Arial" w:hAnsi="Arial"/>
                <w:sz w:val="14"/>
                <w:szCs w:val="14"/>
                <w:b w:val="1"/>
                <w:bCs w:val="1"/>
                <w:color w:val="auto"/>
              </w:rPr>
              <w:t>Percentage</w:t>
            </w:r>
          </w:p>
        </w:tc>
      </w:tr>
      <w:tr>
        <w:trPr>
          <w:trHeight w:val="226"/>
        </w:trPr>
        <w:tc>
          <w:tcPr>
            <w:tcW w:w="3580" w:type="dxa"/>
            <w:vAlign w:val="bottom"/>
          </w:tcPr>
          <w:p>
            <w:pPr>
              <w:spacing w:after="0" w:line="227" w:lineRule="exact"/>
              <w:rPr>
                <w:sz w:val="20"/>
                <w:szCs w:val="20"/>
                <w:color w:val="auto"/>
              </w:rPr>
            </w:pPr>
            <w:r>
              <w:rPr>
                <w:rFonts w:ascii="Arial" w:cs="Arial" w:eastAsia="Arial" w:hAnsi="Arial"/>
                <w:sz w:val="20"/>
                <w:szCs w:val="20"/>
                <w:color w:val="auto"/>
              </w:rPr>
              <w:t>2019</w:t>
            </w:r>
          </w:p>
        </w:tc>
        <w:tc>
          <w:tcPr>
            <w:tcW w:w="2880" w:type="dxa"/>
            <w:vAlign w:val="bottom"/>
          </w:tcPr>
          <w:p>
            <w:pPr>
              <w:ind w:left="2040"/>
              <w:spacing w:after="0" w:line="227" w:lineRule="exact"/>
              <w:rPr>
                <w:sz w:val="20"/>
                <w:szCs w:val="20"/>
                <w:color w:val="auto"/>
              </w:rPr>
            </w:pPr>
            <w:r>
              <w:rPr>
                <w:rFonts w:ascii="Arial" w:cs="Arial" w:eastAsia="Arial" w:hAnsi="Arial"/>
                <w:sz w:val="20"/>
                <w:szCs w:val="20"/>
                <w:color w:val="auto"/>
                <w:w w:val="90"/>
              </w:rPr>
              <w:t>105.344%</w:t>
            </w:r>
          </w:p>
        </w:tc>
      </w:tr>
      <w:tr>
        <w:trPr>
          <w:trHeight w:val="226"/>
        </w:trPr>
        <w:tc>
          <w:tcPr>
            <w:tcW w:w="3580" w:type="dxa"/>
            <w:vAlign w:val="bottom"/>
          </w:tcPr>
          <w:p>
            <w:pPr>
              <w:spacing w:after="0" w:line="227" w:lineRule="exact"/>
              <w:rPr>
                <w:sz w:val="20"/>
                <w:szCs w:val="20"/>
                <w:color w:val="auto"/>
              </w:rPr>
            </w:pPr>
            <w:r>
              <w:rPr>
                <w:rFonts w:ascii="Arial" w:cs="Arial" w:eastAsia="Arial" w:hAnsi="Arial"/>
                <w:sz w:val="20"/>
                <w:szCs w:val="20"/>
                <w:color w:val="auto"/>
              </w:rPr>
              <w:t>2020</w:t>
            </w:r>
          </w:p>
        </w:tc>
        <w:tc>
          <w:tcPr>
            <w:tcW w:w="2880" w:type="dxa"/>
            <w:vAlign w:val="bottom"/>
          </w:tcPr>
          <w:p>
            <w:pPr>
              <w:ind w:left="2040"/>
              <w:spacing w:after="0" w:line="227" w:lineRule="exact"/>
              <w:rPr>
                <w:sz w:val="20"/>
                <w:szCs w:val="20"/>
                <w:color w:val="auto"/>
              </w:rPr>
            </w:pPr>
            <w:r>
              <w:rPr>
                <w:rFonts w:ascii="Arial" w:cs="Arial" w:eastAsia="Arial" w:hAnsi="Arial"/>
                <w:sz w:val="20"/>
                <w:szCs w:val="20"/>
                <w:color w:val="auto"/>
                <w:w w:val="90"/>
              </w:rPr>
              <w:t>103.563%</w:t>
            </w:r>
          </w:p>
        </w:tc>
      </w:tr>
      <w:tr>
        <w:trPr>
          <w:trHeight w:val="226"/>
        </w:trPr>
        <w:tc>
          <w:tcPr>
            <w:tcW w:w="3580" w:type="dxa"/>
            <w:vAlign w:val="bottom"/>
          </w:tcPr>
          <w:p>
            <w:pPr>
              <w:spacing w:after="0" w:line="227" w:lineRule="exact"/>
              <w:rPr>
                <w:sz w:val="20"/>
                <w:szCs w:val="20"/>
                <w:color w:val="auto"/>
              </w:rPr>
            </w:pPr>
            <w:r>
              <w:rPr>
                <w:rFonts w:ascii="Arial" w:cs="Arial" w:eastAsia="Arial" w:hAnsi="Arial"/>
                <w:sz w:val="20"/>
                <w:szCs w:val="20"/>
                <w:color w:val="auto"/>
              </w:rPr>
              <w:t>2021</w:t>
            </w:r>
          </w:p>
        </w:tc>
        <w:tc>
          <w:tcPr>
            <w:tcW w:w="2880" w:type="dxa"/>
            <w:vAlign w:val="bottom"/>
          </w:tcPr>
          <w:p>
            <w:pPr>
              <w:ind w:left="2040"/>
              <w:spacing w:after="0" w:line="227" w:lineRule="exact"/>
              <w:rPr>
                <w:sz w:val="20"/>
                <w:szCs w:val="20"/>
                <w:color w:val="auto"/>
              </w:rPr>
            </w:pPr>
            <w:r>
              <w:rPr>
                <w:rFonts w:ascii="Arial" w:cs="Arial" w:eastAsia="Arial" w:hAnsi="Arial"/>
                <w:sz w:val="20"/>
                <w:szCs w:val="20"/>
                <w:color w:val="auto"/>
                <w:w w:val="90"/>
              </w:rPr>
              <w:t>101.781%</w:t>
            </w:r>
          </w:p>
        </w:tc>
      </w:tr>
      <w:tr>
        <w:trPr>
          <w:trHeight w:val="248"/>
        </w:trPr>
        <w:tc>
          <w:tcPr>
            <w:tcW w:w="3580" w:type="dxa"/>
            <w:vAlign w:val="bottom"/>
          </w:tcPr>
          <w:p>
            <w:pPr>
              <w:spacing w:after="0"/>
              <w:rPr>
                <w:sz w:val="20"/>
                <w:szCs w:val="20"/>
                <w:color w:val="auto"/>
              </w:rPr>
            </w:pPr>
            <w:r>
              <w:rPr>
                <w:rFonts w:ascii="Arial" w:cs="Arial" w:eastAsia="Arial" w:hAnsi="Arial"/>
                <w:sz w:val="20"/>
                <w:szCs w:val="20"/>
                <w:color w:val="auto"/>
              </w:rPr>
              <w:t>2022 and thereafter</w:t>
            </w:r>
          </w:p>
        </w:tc>
        <w:tc>
          <w:tcPr>
            <w:tcW w:w="2880" w:type="dxa"/>
            <w:vAlign w:val="bottom"/>
          </w:tcPr>
          <w:p>
            <w:pPr>
              <w:ind w:left="2040"/>
              <w:spacing w:after="0"/>
              <w:rPr>
                <w:sz w:val="20"/>
                <w:szCs w:val="20"/>
                <w:color w:val="auto"/>
              </w:rPr>
            </w:pPr>
            <w:r>
              <w:rPr>
                <w:rFonts w:ascii="Arial" w:cs="Arial" w:eastAsia="Arial" w:hAnsi="Arial"/>
                <w:sz w:val="20"/>
                <w:szCs w:val="20"/>
                <w:color w:val="auto"/>
                <w:w w:val="85"/>
              </w:rPr>
              <w:t>100.000 %</w:t>
            </w:r>
          </w:p>
        </w:tc>
      </w:tr>
    </w:tbl>
    <w:p>
      <w:pPr>
        <w:spacing w:after="0" w:line="218" w:lineRule="exact"/>
        <w:rPr>
          <w:sz w:val="20"/>
          <w:szCs w:val="20"/>
          <w:color w:val="auto"/>
        </w:rPr>
      </w:pPr>
    </w:p>
    <w:p>
      <w:pPr>
        <w:ind w:firstLine="957"/>
        <w:spacing w:after="0" w:line="271" w:lineRule="auto"/>
        <w:tabs>
          <w:tab w:leader="none" w:pos="1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Holders of not less than 90% in aggregate principal amount of the then outstanding Notes accept a Change of Control Offer and the Issuers (or any third party making such Change of Control Offer in lieu of the Issuers as described above) purchases all of the Notes tendered by such Holders, the Issuers (or any such third party) will have the right, upon not less than 30 nor more than 60 days’ prior notice, given not more than 30 days following the purchase pursuant to such Change of Control Offer, to redeem all of such Notes that remain outstanding following such purchase at a redemption price equal to the Change of Control Payment, plus, to the extent not included in the Change of Control Payment, accrued and unpaid interest on the Notes that remain outstanding, to, but excluding, the date of purchase.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1" w:name="page62"/>
    <w:bookmarkEnd w:id="61"/>
    <w:p>
      <w:pPr>
        <w:ind w:left="960"/>
        <w:spacing w:after="0"/>
        <w:rPr>
          <w:sz w:val="20"/>
          <w:szCs w:val="20"/>
          <w:color w:val="auto"/>
        </w:rPr>
      </w:pPr>
      <w:r>
        <w:rPr>
          <w:rFonts w:ascii="Arial" w:cs="Arial" w:eastAsia="Arial" w:hAnsi="Arial"/>
          <w:sz w:val="18"/>
          <w:szCs w:val="18"/>
          <w:color w:val="auto"/>
        </w:rPr>
        <w:t>(f) Any redemption pursuant to this paragraph 5 shall be made pursuant to the provisions of Sections 3.01 through 3.06 of the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193" w:lineRule="exact"/>
        <w:rPr>
          <w:sz w:val="20"/>
          <w:szCs w:val="20"/>
          <w:color w:val="auto"/>
        </w:rPr>
      </w:pPr>
    </w:p>
    <w:p>
      <w:pPr>
        <w:ind w:right="80" w:firstLine="957"/>
        <w:spacing w:after="0" w:line="254" w:lineRule="auto"/>
        <w:tabs>
          <w:tab w:leader="none" w:pos="11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MANDATORY REDEMPTION. The Issuers shall not be required to make mandatory redemption or sinking fund payments with respect to the Notes.</w:t>
      </w:r>
    </w:p>
    <w:p>
      <w:pPr>
        <w:spacing w:after="0" w:line="178" w:lineRule="exact"/>
        <w:rPr>
          <w:rFonts w:ascii="Arial" w:cs="Arial" w:eastAsia="Arial" w:hAnsi="Arial"/>
          <w:sz w:val="20"/>
          <w:szCs w:val="20"/>
          <w:color w:val="auto"/>
        </w:rPr>
      </w:pPr>
    </w:p>
    <w:p>
      <w:pPr>
        <w:ind w:firstLine="957"/>
        <w:spacing w:after="0" w:line="271" w:lineRule="auto"/>
        <w:tabs>
          <w:tab w:leader="none" w:pos="1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NOTICE OF REDEMPTION. Subject to Section 3.03 of the Indenture, notice of redemption will be transmitted at least 30 days but not more than 60 days before the redemption date (except that redemption notices may be transmitted more than 60 days prior to a redemption date if the notice is issued in connection with Article 8 or Article 11 of the Indenture) to each Holder whose Notes are to be redeemed at its registered address. Notes in denominations larger than $2,000 may be redeemed in part but only in whole multiples of $1,000, unless all of the Notes held by a Holder are to be redeemed. On and after the redemption date interest ceases to accrue on Notes or portions thereof called for redemption subject to satisfaction of any conditions specified therein.</w:t>
      </w:r>
    </w:p>
    <w:p>
      <w:pPr>
        <w:spacing w:after="0" w:line="167" w:lineRule="exact"/>
        <w:rPr>
          <w:rFonts w:ascii="Arial" w:cs="Arial" w:eastAsia="Arial" w:hAnsi="Arial"/>
          <w:sz w:val="18"/>
          <w:szCs w:val="18"/>
          <w:color w:val="auto"/>
        </w:rPr>
      </w:pPr>
    </w:p>
    <w:p>
      <w:pPr>
        <w:ind w:left="1200" w:hanging="243"/>
        <w:spacing w:after="0"/>
        <w:tabs>
          <w:tab w:leader="none" w:pos="12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OFFERS TO REPURCHASE.</w:t>
      </w:r>
    </w:p>
    <w:p>
      <w:pPr>
        <w:spacing w:after="0" w:line="203" w:lineRule="exact"/>
        <w:rPr>
          <w:sz w:val="20"/>
          <w:szCs w:val="20"/>
          <w:color w:val="auto"/>
        </w:rPr>
      </w:pPr>
    </w:p>
    <w:p>
      <w:pPr>
        <w:ind w:right="60" w:firstLine="957"/>
        <w:spacing w:after="0" w:line="280" w:lineRule="auto"/>
        <w:tabs>
          <w:tab w:leader="none" w:pos="12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occurrence of a Change of Control Repurchase Event, the Issuers shall make an offer (a “</w:t>
      </w:r>
      <w:r>
        <w:rPr>
          <w:rFonts w:ascii="Arial" w:cs="Arial" w:eastAsia="Arial" w:hAnsi="Arial"/>
          <w:sz w:val="18"/>
          <w:szCs w:val="18"/>
          <w:b w:val="1"/>
          <w:bCs w:val="1"/>
          <w:color w:val="auto"/>
        </w:rPr>
        <w:t>Change of Control Offer</w:t>
      </w:r>
      <w:r>
        <w:rPr>
          <w:rFonts w:ascii="Arial" w:cs="Arial" w:eastAsia="Arial" w:hAnsi="Arial"/>
          <w:sz w:val="18"/>
          <w:szCs w:val="18"/>
          <w:color w:val="auto"/>
        </w:rPr>
        <w:t>”) to each Holder to repurchase all or any part (equal to $2,000 or an integral multiple of $1,000 in excess thereof) of each Holder’s Notes at a purchase price equal to 101% of the aggregate principal amount thereof plus accrued and unpaid interest thereon, if any, to the date of purchase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 The Change of Control Offer shall be made in accordance with Section 4.14 of the Indenture.</w:t>
      </w:r>
    </w:p>
    <w:p>
      <w:pPr>
        <w:spacing w:after="0" w:line="157" w:lineRule="exact"/>
        <w:rPr>
          <w:rFonts w:ascii="Arial" w:cs="Arial" w:eastAsia="Arial" w:hAnsi="Arial"/>
          <w:sz w:val="18"/>
          <w:szCs w:val="18"/>
          <w:color w:val="auto"/>
        </w:rPr>
      </w:pPr>
    </w:p>
    <w:p>
      <w:pPr>
        <w:ind w:right="20" w:firstLine="957"/>
        <w:spacing w:after="0" w:line="265" w:lineRule="auto"/>
        <w:tabs>
          <w:tab w:leader="none" w:pos="12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If the Parent or any of its Restricted Subsidiaries consummates an Asset Sale, within fifteen (15) Business Days of each date that Excess Proceeds exceed $75.0 million, the Issuers shall commence an offer to all Holders of the Notes and, if required by the terms of any Indebtedness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xml:space="preserve"> </w:t>
      </w:r>
      <w:r>
        <w:rPr>
          <w:rFonts w:ascii="Arial" w:cs="Arial" w:eastAsia="Arial" w:hAnsi="Arial"/>
          <w:sz w:val="18"/>
          <w:szCs w:val="18"/>
          <w:b w:val="1"/>
          <w:bCs w:val="1"/>
          <w:color w:val="auto"/>
        </w:rPr>
        <w:t>Indebtedness</w:t>
      </w:r>
      <w:r>
        <w:rPr>
          <w:rFonts w:ascii="Arial" w:cs="Arial" w:eastAsia="Arial" w:hAnsi="Arial"/>
          <w:sz w:val="18"/>
          <w:szCs w:val="18"/>
          <w:color w:val="auto"/>
        </w:rPr>
        <w:t xml:space="preserve">”), to the holders of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(an “</w:t>
      </w:r>
      <w:r>
        <w:rPr>
          <w:rFonts w:ascii="Arial" w:cs="Arial" w:eastAsia="Arial" w:hAnsi="Arial"/>
          <w:sz w:val="18"/>
          <w:szCs w:val="18"/>
          <w:b w:val="1"/>
          <w:bCs w:val="1"/>
          <w:color w:val="auto"/>
        </w:rPr>
        <w:t>Asset Sale</w:t>
      </w:r>
      <w:r>
        <w:rPr>
          <w:rFonts w:ascii="Arial" w:cs="Arial" w:eastAsia="Arial" w:hAnsi="Arial"/>
          <w:sz w:val="18"/>
          <w:szCs w:val="18"/>
          <w:color w:val="auto"/>
        </w:rPr>
        <w:t xml:space="preserve"> </w:t>
      </w:r>
      <w:r>
        <w:rPr>
          <w:rFonts w:ascii="Arial" w:cs="Arial" w:eastAsia="Arial" w:hAnsi="Arial"/>
          <w:sz w:val="18"/>
          <w:szCs w:val="18"/>
          <w:b w:val="1"/>
          <w:bCs w:val="1"/>
          <w:color w:val="auto"/>
        </w:rPr>
        <w:t>Offer</w:t>
      </w:r>
      <w:r>
        <w:rPr>
          <w:rFonts w:ascii="Arial" w:cs="Arial" w:eastAsia="Arial" w:hAnsi="Arial"/>
          <w:sz w:val="18"/>
          <w:szCs w:val="18"/>
          <w:color w:val="auto"/>
        </w:rPr>
        <w:t>”), to purchase the maximum principal amount of Notes (including any Additional Notes) and such other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purchased out of the Excess Proceeds at an offer price in cash in an amount equal to 100% of the principal amount thereof plus accrued and unpaid interest thereon, if any (or, in respect of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such lesser price, if any, as may be provided for or permitted by the terms of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the date fixed for the closing of such offer, in accordance with the procedures set forth in the Indenture. To the extent that the aggregate principal amount of Notes and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tendered pursuant to an Asset Sale Offer is less than the Excess Proceeds, the Issuers may use any remaining Excess Proceeds for general corporate purposes, subject to other covenants contained in the Indenture. If the aggregate amount of Notes and the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in an Asset Sale Offer exceeds the amount of Excess Proceeds, the Trustee shall select the Notes and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(a) if the Notes or such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Indebtedness are listed on any national securities exchange, in compliance with the requirements of the principal national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on which the Notes or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as applicable, are listed, (b)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amount (determined as set forth above) of the Notes and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tendered or (c) by lot or such similar method in accordance with the procedures of The Depository Trust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notes of $2,000 or less shall be repurchased in part. Upon completion of any such Asset Sale Offer, the amount of Excess Proceeds shall be reset at zero.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ind w:right="120" w:firstLine="957"/>
        <w:spacing w:after="0" w:line="271" w:lineRule="auto"/>
        <w:tabs>
          <w:tab w:leader="none" w:pos="11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to furnish appropriate endorsements and transfer documents in connection with a transfer of the Notes. Holders shall pay all taxes due on transfer. The Issuers are not required to transfer or exchange any Note selected for redemption, except for the unredeemed portion of any Note being redeemed in part. Also, the Issuers are not required to issue, transfer or exchange any Notes for a period of 15 days before the transmission of a notice of redemption of Notes to be redeemed.</w:t>
      </w:r>
    </w:p>
    <w:p>
      <w:pPr>
        <w:spacing w:after="0" w:line="168" w:lineRule="exact"/>
        <w:rPr>
          <w:rFonts w:ascii="Arial" w:cs="Arial" w:eastAsia="Arial" w:hAnsi="Arial"/>
          <w:sz w:val="18"/>
          <w:szCs w:val="18"/>
          <w:color w:val="auto"/>
        </w:rPr>
      </w:pPr>
    </w:p>
    <w:p>
      <w:pPr>
        <w:ind w:left="1300" w:hanging="343"/>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PERSONS DEEMED OWNERS. The registered Holder of a Note may be treated as its owner for all purposes.</w:t>
      </w:r>
    </w:p>
    <w:p>
      <w:pPr>
        <w:spacing w:after="0" w:line="209" w:lineRule="exact"/>
        <w:rPr>
          <w:rFonts w:ascii="Arial" w:cs="Arial" w:eastAsia="Arial" w:hAnsi="Arial"/>
          <w:sz w:val="20"/>
          <w:szCs w:val="20"/>
          <w:color w:val="auto"/>
        </w:rPr>
      </w:pPr>
    </w:p>
    <w:p>
      <w:pPr>
        <w:ind w:right="40" w:firstLine="957"/>
        <w:spacing w:after="0" w:line="254" w:lineRule="auto"/>
        <w:tabs>
          <w:tab w:leader="none" w:pos="127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AMENDMENT, SUPPLEMENT AND WAIVER. The Indenture, the Guarantees or the Notes may be amended or supplemented as provided in the Indenture.</w:t>
      </w:r>
    </w:p>
    <w:p>
      <w:pPr>
        <w:spacing w:after="0" w:line="178" w:lineRule="exact"/>
        <w:rPr>
          <w:rFonts w:ascii="Arial" w:cs="Arial" w:eastAsia="Arial" w:hAnsi="Arial"/>
          <w:sz w:val="20"/>
          <w:szCs w:val="20"/>
          <w:color w:val="auto"/>
        </w:rPr>
      </w:pPr>
    </w:p>
    <w:p>
      <w:pPr>
        <w:ind w:firstLine="957"/>
        <w:spacing w:after="0" w:line="265"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DEFAULTS AND REMEDIES. The Events of Default relating to the Notes are defined in Section 6.01 of the Indenture. If any Event of Default occurs and is continuing, the Trustee or the Holders of at least 25% in principal amount of the then outstanding Notes may declare the principal, premium, if any, interest and any other monetary obligations on all the then outstanding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the Notes or the Guarantees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(except a Default relating to the payment of principal, premium, if any, or interest) if it determines that withholding notice is in their interest. The Holders of a majority in aggregate principal amount of the Notes then outstanding by notice to the Trustee may on behalf of the Holders of all of the Notes waive any existing Default and its consequences under the Indenture except a continuing Default in payment of the principal of, premium, if any, or interest on, any of the Notes held by a non-consenting Holder. The Issuers are required to deliver to the Trustee annually a statement regarding compliance with the Indenture, and the Issuers are required within ten (10) Business Days after becoming aware of any Default, to deliver to the Trustee a statement specifying such Default and what action the Issuers propose to take with respect thereto.</w:t>
      </w:r>
    </w:p>
    <w:p>
      <w:pPr>
        <w:spacing w:after="0" w:line="179" w:lineRule="exact"/>
        <w:rPr>
          <w:rFonts w:ascii="Arial" w:cs="Arial" w:eastAsia="Arial" w:hAnsi="Arial"/>
          <w:sz w:val="18"/>
          <w:szCs w:val="18"/>
          <w:color w:val="auto"/>
        </w:rPr>
      </w:pPr>
    </w:p>
    <w:p>
      <w:pPr>
        <w:ind w:right="20" w:firstLine="957"/>
        <w:spacing w:after="0" w:line="254" w:lineRule="auto"/>
        <w:tabs>
          <w:tab w:leader="none" w:pos="1281" w:val="left"/>
        </w:tabs>
        <w:numPr>
          <w:ilvl w:val="0"/>
          <w:numId w:val="18"/>
        </w:numPr>
        <w:rPr>
          <w:rFonts w:ascii="Arial" w:cs="Arial" w:eastAsia="Arial" w:hAnsi="Arial"/>
          <w:sz w:val="20"/>
          <w:szCs w:val="20"/>
          <w:color w:val="auto"/>
        </w:rPr>
      </w:pPr>
      <w:r>
        <w:rPr>
          <w:rFonts w:ascii="Arial" w:cs="Arial" w:eastAsia="Arial" w:hAnsi="Arial"/>
          <w:sz w:val="20"/>
          <w:szCs w:val="20"/>
          <w:color w:val="auto"/>
        </w:rPr>
        <w:t>AUTHENTICATION. This Note shall not be entitled to any benefit under the Indenture or be valid or obligatory for any purpose until authenticated by the manual signature of the Trustee.</w:t>
      </w:r>
    </w:p>
    <w:p>
      <w:pPr>
        <w:spacing w:after="0" w:line="178" w:lineRule="exact"/>
        <w:rPr>
          <w:rFonts w:ascii="Arial" w:cs="Arial" w:eastAsia="Arial" w:hAnsi="Arial"/>
          <w:sz w:val="20"/>
          <w:szCs w:val="20"/>
          <w:color w:val="auto"/>
        </w:rPr>
      </w:pPr>
    </w:p>
    <w:p>
      <w:pPr>
        <w:ind w:right="420" w:firstLine="957"/>
        <w:spacing w:after="0" w:line="254" w:lineRule="auto"/>
        <w:tabs>
          <w:tab w:leader="none" w:pos="1292" w:val="left"/>
        </w:tabs>
        <w:numPr>
          <w:ilvl w:val="0"/>
          <w:numId w:val="18"/>
        </w:numPr>
        <w:rPr>
          <w:rFonts w:ascii="Arial" w:cs="Arial" w:eastAsia="Arial" w:hAnsi="Arial"/>
          <w:sz w:val="20"/>
          <w:szCs w:val="20"/>
          <w:color w:val="auto"/>
        </w:rPr>
      </w:pPr>
      <w:r>
        <w:rPr>
          <w:rFonts w:ascii="Arial" w:cs="Arial" w:eastAsia="Arial" w:hAnsi="Arial"/>
          <w:sz w:val="20"/>
          <w:szCs w:val="20"/>
          <w:color w:val="auto"/>
        </w:rPr>
        <w:t>GOVERNING LAW. THE LAWS OF THE STATE OF NEW YORK SHALL GOVERN AND BE USED TO CONSTRUE THE INDENTURE, THE NOTES AND THE GUARANTEES.</w:t>
      </w:r>
    </w:p>
    <w:p>
      <w:pPr>
        <w:spacing w:after="0" w:line="178" w:lineRule="exact"/>
        <w:rPr>
          <w:rFonts w:ascii="Arial" w:cs="Arial" w:eastAsia="Arial" w:hAnsi="Arial"/>
          <w:sz w:val="20"/>
          <w:szCs w:val="20"/>
          <w:color w:val="auto"/>
        </w:rPr>
      </w:pPr>
    </w:p>
    <w:p>
      <w:pPr>
        <w:ind w:right="20" w:firstLine="957"/>
        <w:spacing w:after="0" w:line="278"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CUSIP NUMBERS. Pursuant to a recommendation promulgated by the Committee on Uniform Security 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ind w:left="960"/>
        <w:spacing w:after="0"/>
        <w:rPr>
          <w:sz w:val="20"/>
          <w:szCs w:val="20"/>
          <w:color w:val="auto"/>
        </w:rPr>
      </w:pPr>
      <w:r>
        <w:rPr>
          <w:rFonts w:ascii="Arial" w:cs="Arial" w:eastAsia="Arial" w:hAnsi="Arial"/>
          <w:sz w:val="17"/>
          <w:szCs w:val="17"/>
          <w:color w:val="auto"/>
        </w:rPr>
        <w:t>The Issuers will furnish to any Holder upon written request and without charge a copy of the Indenture. Requests may be made to the</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Issuers at the following address: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Uniti Group LP</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10802 Executive Center Drive,</w:t>
      </w:r>
    </w:p>
    <w:p>
      <w:pPr>
        <w:spacing w:after="0" w:line="236" w:lineRule="auto"/>
        <w:rPr>
          <w:sz w:val="20"/>
          <w:szCs w:val="20"/>
          <w:color w:val="auto"/>
        </w:rPr>
      </w:pPr>
      <w:r>
        <w:rPr>
          <w:rFonts w:ascii="Arial" w:cs="Arial" w:eastAsia="Arial" w:hAnsi="Arial"/>
          <w:sz w:val="20"/>
          <w:szCs w:val="20"/>
          <w:color w:val="auto"/>
        </w:rPr>
        <w:t>Benton Building Suite 300,</w:t>
      </w:r>
    </w:p>
    <w:p>
      <w:pPr>
        <w:spacing w:after="0" w:line="236" w:lineRule="auto"/>
        <w:rPr>
          <w:sz w:val="20"/>
          <w:szCs w:val="20"/>
          <w:color w:val="auto"/>
        </w:rPr>
      </w:pPr>
      <w:r>
        <w:rPr>
          <w:rFonts w:ascii="Arial" w:cs="Arial" w:eastAsia="Arial" w:hAnsi="Arial"/>
          <w:sz w:val="20"/>
          <w:szCs w:val="20"/>
          <w:color w:val="auto"/>
        </w:rPr>
        <w:t>Little Rock, AR 72211</w:t>
      </w:r>
    </w:p>
    <w:p>
      <w:pPr>
        <w:spacing w:after="0"/>
        <w:rPr>
          <w:sz w:val="20"/>
          <w:szCs w:val="20"/>
          <w:color w:val="auto"/>
        </w:rPr>
      </w:pPr>
      <w:r>
        <w:rPr>
          <w:rFonts w:ascii="Arial" w:cs="Arial" w:eastAsia="Arial" w:hAnsi="Arial"/>
          <w:sz w:val="20"/>
          <w:szCs w:val="20"/>
          <w:color w:val="auto"/>
        </w:rPr>
        <w:t>Attention: General Counsel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Uniti Fiber Holdings Inc.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10802 Executive Center Drive,</w:t>
      </w:r>
    </w:p>
    <w:p>
      <w:pPr>
        <w:spacing w:after="0" w:line="236" w:lineRule="auto"/>
        <w:rPr>
          <w:sz w:val="20"/>
          <w:szCs w:val="20"/>
          <w:color w:val="auto"/>
        </w:rPr>
      </w:pPr>
      <w:r>
        <w:rPr>
          <w:rFonts w:ascii="Arial" w:cs="Arial" w:eastAsia="Arial" w:hAnsi="Arial"/>
          <w:sz w:val="20"/>
          <w:szCs w:val="20"/>
          <w:color w:val="auto"/>
        </w:rPr>
        <w:t>Benton Building Suite 300,</w:t>
      </w:r>
    </w:p>
    <w:p>
      <w:pPr>
        <w:spacing w:after="0" w:line="236" w:lineRule="auto"/>
        <w:rPr>
          <w:sz w:val="20"/>
          <w:szCs w:val="20"/>
          <w:color w:val="auto"/>
        </w:rPr>
      </w:pPr>
      <w:r>
        <w:rPr>
          <w:rFonts w:ascii="Arial" w:cs="Arial" w:eastAsia="Arial" w:hAnsi="Arial"/>
          <w:sz w:val="20"/>
          <w:szCs w:val="20"/>
          <w:color w:val="auto"/>
        </w:rPr>
        <w:t>Little Rock, AR 72211</w:t>
      </w:r>
    </w:p>
    <w:p>
      <w:pPr>
        <w:spacing w:after="0"/>
        <w:rPr>
          <w:sz w:val="20"/>
          <w:szCs w:val="20"/>
          <w:color w:val="auto"/>
        </w:rPr>
      </w:pPr>
      <w:r>
        <w:rPr>
          <w:rFonts w:ascii="Arial" w:cs="Arial" w:eastAsia="Arial" w:hAnsi="Arial"/>
          <w:sz w:val="20"/>
          <w:szCs w:val="20"/>
          <w:color w:val="auto"/>
        </w:rPr>
        <w:t>Attention: General Counsel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CSL Capital, LLC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10802 Executive Center Drive,</w:t>
      </w:r>
    </w:p>
    <w:p>
      <w:pPr>
        <w:spacing w:after="0" w:line="236" w:lineRule="auto"/>
        <w:rPr>
          <w:sz w:val="20"/>
          <w:szCs w:val="20"/>
          <w:color w:val="auto"/>
        </w:rPr>
      </w:pPr>
      <w:r>
        <w:rPr>
          <w:rFonts w:ascii="Arial" w:cs="Arial" w:eastAsia="Arial" w:hAnsi="Arial"/>
          <w:sz w:val="20"/>
          <w:szCs w:val="20"/>
          <w:color w:val="auto"/>
        </w:rPr>
        <w:t>Benton Building Suite 300,</w:t>
      </w:r>
    </w:p>
    <w:p>
      <w:pPr>
        <w:spacing w:after="0" w:line="236" w:lineRule="auto"/>
        <w:rPr>
          <w:sz w:val="20"/>
          <w:szCs w:val="20"/>
          <w:color w:val="auto"/>
        </w:rPr>
      </w:pPr>
      <w:r>
        <w:rPr>
          <w:rFonts w:ascii="Arial" w:cs="Arial" w:eastAsia="Arial" w:hAnsi="Arial"/>
          <w:sz w:val="20"/>
          <w:szCs w:val="20"/>
          <w:color w:val="auto"/>
        </w:rPr>
        <w:t>Little Rock, AR 72211</w:t>
      </w:r>
    </w:p>
    <w:p>
      <w:pPr>
        <w:spacing w:after="0"/>
        <w:rPr>
          <w:sz w:val="20"/>
          <w:szCs w:val="20"/>
          <w:color w:val="auto"/>
        </w:rPr>
      </w:pPr>
      <w:r>
        <w:rPr>
          <w:rFonts w:ascii="Arial" w:cs="Arial" w:eastAsia="Arial" w:hAnsi="Arial"/>
          <w:sz w:val="20"/>
          <w:szCs w:val="20"/>
          <w:color w:val="auto"/>
        </w:rPr>
        <w:t>Attention: General Counsel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4" w:name="page65"/>
    <w:bookmarkEnd w:id="64"/>
    <w:p>
      <w:pPr>
        <w:ind w:left="4780"/>
        <w:spacing w:after="0"/>
        <w:rPr>
          <w:sz w:val="20"/>
          <w:szCs w:val="20"/>
          <w:color w:val="auto"/>
        </w:rPr>
      </w:pPr>
      <w:r>
        <w:rPr>
          <w:rFonts w:ascii="Arial" w:cs="Arial" w:eastAsia="Arial" w:hAnsi="Arial"/>
          <w:sz w:val="20"/>
          <w:szCs w:val="20"/>
          <w:color w:val="auto"/>
        </w:rPr>
        <w:t>ASSIGNMENT FORM</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To assign this Note, fill in the form below:</w:t>
      </w:r>
    </w:p>
    <w:p>
      <w:pPr>
        <w:spacing w:after="0" w:line="209" w:lineRule="exact"/>
        <w:rPr>
          <w:sz w:val="20"/>
          <w:szCs w:val="20"/>
          <w:color w:val="auto"/>
        </w:rPr>
      </w:pPr>
    </w:p>
    <w:p>
      <w:pPr>
        <w:spacing w:after="0"/>
        <w:tabs>
          <w:tab w:leader="none" w:pos="3760" w:val="left"/>
        </w:tabs>
        <w:rPr>
          <w:sz w:val="20"/>
          <w:szCs w:val="20"/>
          <w:color w:val="auto"/>
        </w:rPr>
      </w:pPr>
      <w:r>
        <w:rPr>
          <w:rFonts w:ascii="Arial" w:cs="Arial" w:eastAsia="Arial" w:hAnsi="Arial"/>
          <w:sz w:val="20"/>
          <w:szCs w:val="20"/>
          <w:color w:val="auto"/>
        </w:rPr>
        <w:t>(I) or (we) assign and transfer this Note to:</w:t>
      </w:r>
      <w:r>
        <w:rPr>
          <w:sz w:val="20"/>
          <w:szCs w:val="20"/>
          <w:color w:val="auto"/>
        </w:rPr>
        <w:tab/>
      </w:r>
      <w:r>
        <w:rPr>
          <w:rFonts w:ascii="Arial" w:cs="Arial" w:eastAsia="Arial" w:hAnsi="Arial"/>
          <w:sz w:val="17"/>
          <w:szCs w:val="17"/>
          <w:color w:val="auto"/>
        </w:rPr>
        <w:t>(Insert assignee’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-134620</wp:posOffset>
            </wp:positionV>
            <wp:extent cx="14274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1030605</wp:posOffset>
            </wp:positionV>
            <wp:extent cx="38271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27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734695</wp:posOffset>
            </wp:positionV>
            <wp:extent cx="38271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27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439420</wp:posOffset>
            </wp:positionV>
            <wp:extent cx="38271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27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143510</wp:posOffset>
            </wp:positionV>
            <wp:extent cx="38271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27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-142875</wp:posOffset>
            </wp:positionV>
            <wp:extent cx="38271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3827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and irrevocably appoint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to transfer this Note on the books of the Issuer. The agent may substitute another to act for him.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Your Signature:</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w:t>
      </w:r>
      <w:r>
        <w:rPr>
          <w:rFonts w:ascii="Arial" w:cs="Arial" w:eastAsia="Arial" w:hAnsi="Arial"/>
          <w:sz w:val="16"/>
          <w:szCs w:val="16"/>
          <w:color w:val="auto"/>
        </w:rPr>
        <w: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675640</wp:posOffset>
            </wp:positionV>
            <wp:extent cx="14446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60" w:hanging="110"/>
        <w:spacing w:after="0"/>
        <w:tabs>
          <w:tab w:leader="none" w:pos="860" w:val="left"/>
        </w:tabs>
        <w:numPr>
          <w:ilvl w:val="0"/>
          <w:numId w:val="19"/>
        </w:numPr>
        <w:rPr>
          <w:rFonts w:ascii="Arial" w:cs="Arial" w:eastAsia="Arial" w:hAnsi="Arial"/>
          <w:sz w:val="12"/>
          <w:szCs w:val="12"/>
          <w:color w:val="auto"/>
        </w:rPr>
      </w:pPr>
      <w:r>
        <w:rPr>
          <w:rFonts w:ascii="Arial" w:cs="Arial" w:eastAsia="Arial" w:hAnsi="Arial"/>
          <w:sz w:val="14"/>
          <w:szCs w:val="14"/>
          <w:color w:val="auto"/>
        </w:rPr>
        <w:t>Participant in a recognized Signature Guarantee Medallion Program (or other signature guarantor acceptable to the Trustee).</w:t>
      </w:r>
    </w:p>
    <w:p>
      <w:pPr>
        <w:spacing w:after="0" w:line="200" w:lineRule="exact"/>
        <w:rPr>
          <w:rFonts w:ascii="Arial" w:cs="Arial" w:eastAsia="Arial" w:hAnsi="Arial"/>
          <w:sz w:val="12"/>
          <w:szCs w:val="12"/>
          <w:color w:val="auto"/>
        </w:rPr>
      </w:pPr>
    </w:p>
    <w:p>
      <w:pPr>
        <w:spacing w:after="0" w:line="233" w:lineRule="exact"/>
        <w:rPr>
          <w:rFonts w:ascii="Arial" w:cs="Arial" w:eastAsia="Arial" w:hAnsi="Arial"/>
          <w:sz w:val="12"/>
          <w:szCs w:val="12"/>
          <w:color w:val="auto"/>
        </w:rPr>
      </w:pPr>
    </w:p>
    <w:p>
      <w:pPr>
        <w:ind w:left="5520"/>
        <w:spacing w:after="0"/>
        <w:rPr>
          <w:rFonts w:ascii="Arial" w:cs="Arial" w:eastAsia="Arial" w:hAnsi="Arial"/>
          <w:sz w:val="12"/>
          <w:szCs w:val="12"/>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65" w:name="page66"/>
    <w:bookmarkEnd w:id="65"/>
    <w:p>
      <w:pPr>
        <w:jc w:val="center"/>
        <w:ind w:right="-139"/>
        <w:spacing w:after="0"/>
        <w:rPr>
          <w:sz w:val="20"/>
          <w:szCs w:val="20"/>
          <w:color w:val="auto"/>
        </w:rPr>
      </w:pPr>
      <w:r>
        <w:rPr>
          <w:rFonts w:ascii="Arial" w:cs="Arial" w:eastAsia="Arial" w:hAnsi="Arial"/>
          <w:sz w:val="20"/>
          <w:szCs w:val="20"/>
          <w:color w:val="auto"/>
        </w:rPr>
        <w:t>OPTION OF HOLDER TO ELECT PURCHASE</w:t>
      </w:r>
    </w:p>
    <w:p>
      <w:pPr>
        <w:spacing w:after="0" w:line="210" w:lineRule="exact"/>
        <w:rPr>
          <w:sz w:val="20"/>
          <w:szCs w:val="20"/>
          <w:color w:val="auto"/>
        </w:rPr>
      </w:pPr>
    </w:p>
    <w:p>
      <w:pPr>
        <w:ind w:right="800" w:firstLine="951"/>
        <w:spacing w:after="0" w:line="254" w:lineRule="auto"/>
        <w:rPr>
          <w:sz w:val="20"/>
          <w:szCs w:val="20"/>
          <w:color w:val="auto"/>
        </w:rPr>
      </w:pPr>
      <w:r>
        <w:rPr>
          <w:rFonts w:ascii="Arial" w:cs="Arial" w:eastAsia="Arial" w:hAnsi="Arial"/>
          <w:sz w:val="20"/>
          <w:szCs w:val="20"/>
          <w:color w:val="auto"/>
        </w:rPr>
        <w:t>If you want to elect to have this Note purchased by the Issuers pursuant to Section 4.10 or 4.14 of the Indenture, check the appropriate box below:</w:t>
      </w:r>
    </w:p>
    <w:p>
      <w:pPr>
        <w:spacing w:after="0" w:line="155" w:lineRule="exact"/>
        <w:rPr>
          <w:sz w:val="20"/>
          <w:szCs w:val="20"/>
          <w:color w:val="auto"/>
        </w:rPr>
      </w:pPr>
    </w:p>
    <w:p>
      <w:pPr>
        <w:ind w:left="4460" w:hanging="273"/>
        <w:spacing w:after="0" w:line="230" w:lineRule="exact"/>
        <w:tabs>
          <w:tab w:leader="none" w:pos="4460" w:val="left"/>
        </w:tabs>
        <w:numPr>
          <w:ilvl w:val="0"/>
          <w:numId w:val="20"/>
        </w:numPr>
        <w:rPr>
          <w:rFonts w:ascii="MS PGothic" w:cs="MS PGothic" w:eastAsia="MS PGothic" w:hAnsi="MS PGothic"/>
          <w:sz w:val="20"/>
          <w:szCs w:val="20"/>
          <w:color w:val="auto"/>
        </w:rPr>
      </w:pPr>
      <w:r>
        <w:rPr>
          <w:rFonts w:ascii="Arial" w:cs="Arial" w:eastAsia="Arial" w:hAnsi="Arial"/>
          <w:sz w:val="20"/>
          <w:szCs w:val="20"/>
          <w:color w:val="auto"/>
        </w:rPr>
        <w:t xml:space="preserve">Section 4.10  </w:t>
      </w:r>
      <w:r>
        <w:rPr>
          <w:rFonts w:ascii="MS PGothic" w:cs="MS PGothic" w:eastAsia="MS PGothic" w:hAnsi="MS PGothic"/>
          <w:sz w:val="20"/>
          <w:szCs w:val="20"/>
          <w:color w:val="auto"/>
        </w:rPr>
        <w:t>☐ ☐</w:t>
      </w:r>
      <w:r>
        <w:rPr>
          <w:rFonts w:ascii="Arial" w:cs="Arial" w:eastAsia="Arial" w:hAnsi="Arial"/>
          <w:sz w:val="20"/>
          <w:szCs w:val="20"/>
          <w:color w:val="auto"/>
        </w:rPr>
        <w:t xml:space="preserve"> Section 4.14</w:t>
      </w:r>
    </w:p>
    <w:p>
      <w:pPr>
        <w:spacing w:after="0" w:line="246" w:lineRule="exact"/>
        <w:rPr>
          <w:sz w:val="20"/>
          <w:szCs w:val="20"/>
          <w:color w:val="auto"/>
        </w:rPr>
      </w:pPr>
    </w:p>
    <w:p>
      <w:pPr>
        <w:ind w:firstLine="951"/>
        <w:spacing w:after="0" w:line="254" w:lineRule="auto"/>
        <w:rPr>
          <w:sz w:val="20"/>
          <w:szCs w:val="20"/>
          <w:color w:val="auto"/>
        </w:rPr>
      </w:pPr>
      <w:r>
        <w:rPr>
          <w:rFonts w:ascii="Arial" w:cs="Arial" w:eastAsia="Arial" w:hAnsi="Arial"/>
          <w:sz w:val="20"/>
          <w:szCs w:val="20"/>
          <w:color w:val="auto"/>
        </w:rPr>
        <w:t>If you want to elect to have only part of this Note purchased by the Issuers pursuant to Section 4.10 or Section 4.14 of the Indenture, state the amount you elect to have purchased:</w:t>
      </w:r>
    </w:p>
    <w:p>
      <w:pPr>
        <w:spacing w:after="0" w:line="178" w:lineRule="exact"/>
        <w:rPr>
          <w:sz w:val="20"/>
          <w:szCs w:val="20"/>
          <w:color w:val="auto"/>
        </w:rPr>
      </w:pPr>
    </w:p>
    <w:p>
      <w:pPr>
        <w:ind w:left="1680" w:hanging="723"/>
        <w:spacing w:after="0"/>
        <w:tabs>
          <w:tab w:leader="none" w:pos="16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Your Signature:</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Tax Identification No.: Tax Identification No.: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w:t>
      </w:r>
      <w:r>
        <w:rPr>
          <w:rFonts w:ascii="Arial" w:cs="Arial" w:eastAsia="Arial" w:hAnsi="Arial"/>
          <w:sz w:val="16"/>
          <w:szCs w:val="16"/>
          <w:color w:val="auto"/>
        </w:rPr>
        <w: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405130</wp:posOffset>
            </wp:positionV>
            <wp:extent cx="14446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hanging="110"/>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Participant in a recognized Signature Guarantee Medallion Program (or other signature guarantor acceptable to the Trustee).</w:t>
      </w:r>
    </w:p>
    <w:p>
      <w:pPr>
        <w:spacing w:after="0" w:line="387" w:lineRule="exact"/>
        <w:rPr>
          <w:rFonts w:ascii="Arial" w:cs="Arial" w:eastAsia="Arial" w:hAnsi="Arial"/>
          <w:sz w:val="15"/>
          <w:szCs w:val="15"/>
          <w:color w:val="auto"/>
        </w:rPr>
      </w:pPr>
    </w:p>
    <w:p>
      <w:pPr>
        <w:ind w:left="5520"/>
        <w:spacing w:after="0"/>
        <w:rPr>
          <w:rFonts w:ascii="Arial" w:cs="Arial" w:eastAsia="Arial" w:hAnsi="Arial"/>
          <w:sz w:val="15"/>
          <w:szCs w:val="15"/>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729107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20"/>
          <w:szCs w:val="20"/>
          <w:color w:val="auto"/>
        </w:rPr>
        <w:t>SCHEDULE OF EXCHANGES OF INTERESTS IN THE GLOBAL NOTE</w:t>
      </w:r>
      <w:r>
        <w:rPr>
          <w:rFonts w:ascii="Arial" w:cs="Arial" w:eastAsia="Arial" w:hAnsi="Arial"/>
          <w:sz w:val="16"/>
          <w:szCs w:val="16"/>
          <w:color w:val="auto"/>
        </w:rPr>
        <w:t>*</w:t>
      </w:r>
    </w:p>
    <w:p>
      <w:pPr>
        <w:spacing w:after="0" w:line="210" w:lineRule="exact"/>
        <w:rPr>
          <w:sz w:val="20"/>
          <w:szCs w:val="20"/>
          <w:color w:val="auto"/>
        </w:rPr>
      </w:pPr>
    </w:p>
    <w:p>
      <w:pPr>
        <w:ind w:right="180" w:firstLine="951"/>
        <w:spacing w:after="0" w:line="245" w:lineRule="auto"/>
        <w:rPr>
          <w:sz w:val="20"/>
          <w:szCs w:val="20"/>
          <w:color w:val="auto"/>
        </w:rPr>
      </w:pPr>
      <w:r>
        <w:rPr>
          <w:rFonts w:ascii="Arial" w:cs="Arial" w:eastAsia="Arial" w:hAnsi="Arial"/>
          <w:sz w:val="20"/>
          <w:szCs w:val="20"/>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1"/>
              </w:rPr>
              <w:t>Amount of decrease in Principal</w:t>
            </w:r>
          </w:p>
        </w:tc>
        <w:tc>
          <w:tcPr>
            <w:tcW w:w="3840" w:type="dxa"/>
            <w:vAlign w:val="bottom"/>
          </w:tcPr>
          <w:p>
            <w:pPr>
              <w:spacing w:after="0"/>
              <w:rPr>
                <w:sz w:val="14"/>
                <w:szCs w:val="14"/>
                <w:color w:val="auto"/>
              </w:rPr>
            </w:pPr>
          </w:p>
        </w:tc>
        <w:tc>
          <w:tcPr>
            <w:tcW w:w="380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Principal Amount of this Global Signature of authorized</w:t>
            </w:r>
          </w:p>
        </w:tc>
        <w:tc>
          <w:tcPr>
            <w:tcW w:w="0" w:type="dxa"/>
            <w:vAlign w:val="bottom"/>
          </w:tcPr>
          <w:p>
            <w:pPr>
              <w:spacing w:after="0"/>
              <w:rPr>
                <w:sz w:val="1"/>
                <w:szCs w:val="1"/>
                <w:color w:val="auto"/>
              </w:rPr>
            </w:pPr>
          </w:p>
        </w:tc>
      </w:tr>
      <w:tr>
        <w:trPr>
          <w:trHeight w:val="146"/>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2320" w:type="dxa"/>
            <w:vAlign w:val="bottom"/>
            <w:vMerge w:val="continue"/>
          </w:tcPr>
          <w:p>
            <w:pPr>
              <w:spacing w:after="0"/>
              <w:rPr>
                <w:sz w:val="12"/>
                <w:szCs w:val="12"/>
                <w:color w:val="auto"/>
              </w:rPr>
            </w:pPr>
          </w:p>
        </w:tc>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Amount of increase in Principal Amount of this Global Note</w:t>
            </w:r>
          </w:p>
        </w:tc>
        <w:tc>
          <w:tcPr>
            <w:tcW w:w="38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w w:val="89"/>
              </w:rPr>
              <w:t>Note following such decrease or signatory of Trustee or Note</w:t>
            </w:r>
          </w:p>
        </w:tc>
        <w:tc>
          <w:tcPr>
            <w:tcW w:w="0" w:type="dxa"/>
            <w:vAlign w:val="bottom"/>
          </w:tcPr>
          <w:p>
            <w:pPr>
              <w:spacing w:after="0"/>
              <w:rPr>
                <w:sz w:val="1"/>
                <w:szCs w:val="1"/>
                <w:color w:val="auto"/>
              </w:rPr>
            </w:pPr>
          </w:p>
        </w:tc>
      </w:tr>
      <w:tr>
        <w:trPr>
          <w:trHeight w:val="184"/>
        </w:trPr>
        <w:tc>
          <w:tcPr>
            <w:tcW w:w="1420" w:type="dxa"/>
            <w:vAlign w:val="bottom"/>
            <w:vMerge w:val="continue"/>
          </w:tcPr>
          <w:p>
            <w:pPr>
              <w:spacing w:after="0"/>
              <w:rPr>
                <w:sz w:val="16"/>
                <w:szCs w:val="16"/>
                <w:color w:val="auto"/>
              </w:rPr>
            </w:pPr>
          </w:p>
        </w:tc>
        <w:tc>
          <w:tcPr>
            <w:tcW w:w="2320" w:type="dxa"/>
            <w:vAlign w:val="bottom"/>
          </w:tcPr>
          <w:p>
            <w:pPr>
              <w:ind w:left="340"/>
              <w:spacing w:after="0"/>
              <w:rPr>
                <w:sz w:val="20"/>
                <w:szCs w:val="20"/>
                <w:color w:val="auto"/>
              </w:rPr>
            </w:pPr>
            <w:r>
              <w:rPr>
                <w:rFonts w:ascii="Arial" w:cs="Arial" w:eastAsia="Arial" w:hAnsi="Arial"/>
                <w:sz w:val="14"/>
                <w:szCs w:val="14"/>
                <w:b w:val="1"/>
                <w:bCs w:val="1"/>
                <w:color w:val="auto"/>
              </w:rPr>
              <w:t>Amount</w:t>
            </w:r>
          </w:p>
        </w:tc>
        <w:tc>
          <w:tcPr>
            <w:tcW w:w="3840" w:type="dxa"/>
            <w:vAlign w:val="bottom"/>
            <w:vMerge w:val="continue"/>
          </w:tcPr>
          <w:p>
            <w:pPr>
              <w:spacing w:after="0"/>
              <w:rPr>
                <w:sz w:val="16"/>
                <w:szCs w:val="16"/>
                <w:color w:val="auto"/>
              </w:rPr>
            </w:pPr>
          </w:p>
        </w:tc>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increase</w:t>
            </w:r>
          </w:p>
        </w:tc>
        <w:tc>
          <w:tcPr>
            <w:tcW w:w="2440" w:type="dxa"/>
            <w:vAlign w:val="bottom"/>
          </w:tcPr>
          <w:p>
            <w:pPr>
              <w:ind w:left="740"/>
              <w:spacing w:after="0"/>
              <w:rPr>
                <w:sz w:val="20"/>
                <w:szCs w:val="20"/>
                <w:color w:val="auto"/>
              </w:rPr>
            </w:pPr>
            <w:r>
              <w:rPr>
                <w:rFonts w:ascii="Arial" w:cs="Arial" w:eastAsia="Arial" w:hAnsi="Arial"/>
                <w:sz w:val="14"/>
                <w:szCs w:val="14"/>
                <w:b w:val="1"/>
                <w:bCs w:val="1"/>
                <w:color w:val="auto"/>
              </w:rPr>
              <w:t>Custodian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978535</wp:posOffset>
            </wp:positionV>
            <wp:extent cx="14446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0" w:hanging="124"/>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This schedule should be included only if the Note is issued in global form.</w:t>
      </w:r>
    </w:p>
    <w:p>
      <w:pPr>
        <w:sectPr>
          <w:pgSz w:w="11900" w:h="16838" w:orient="portrait"/>
          <w:cols w:equalWidth="0" w:num="1">
            <w:col w:w="11380"/>
          </w:cols>
          <w:pgMar w:left="240" w:top="122" w:right="2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2" w:lineRule="exact"/>
        <w:rPr>
          <w:sz w:val="20"/>
          <w:szCs w:val="20"/>
          <w:color w:val="auto"/>
        </w:rPr>
      </w:pPr>
    </w:p>
    <w:p>
      <w:pPr>
        <w:ind w:left="780" w:hanging="774"/>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18" w:lineRule="exact"/>
        <w:rPr>
          <w:rFonts w:ascii="Arial" w:cs="Arial" w:eastAsia="Arial" w:hAnsi="Arial"/>
          <w:sz w:val="18"/>
          <w:szCs w:val="18"/>
          <w:color w:val="auto"/>
        </w:rPr>
      </w:pPr>
    </w:p>
    <w:p>
      <w:pPr>
        <w:jc w:val="both"/>
        <w:ind w:left="760" w:right="340" w:hanging="754"/>
        <w:spacing w:after="0" w:line="256"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760" w:right="300" w:hanging="754"/>
        <w:spacing w:after="0" w:line="296"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jc w:val="both"/>
        <w:ind w:left="760" w:right="340" w:hanging="754"/>
        <w:spacing w:after="0" w:line="256"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520" w:right="20" w:hanging="755"/>
        <w:spacing w:after="0" w:line="256" w:lineRule="auto"/>
        <w:tabs>
          <w:tab w:leader="none" w:pos="1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520" w:right="140" w:hanging="755"/>
        <w:spacing w:after="0" w:line="256" w:lineRule="auto"/>
        <w:tabs>
          <w:tab w:leader="none" w:pos="1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520" w:right="320" w:hanging="755"/>
        <w:spacing w:after="0" w:line="411" w:lineRule="auto"/>
        <w:tabs>
          <w:tab w:leader="none" w:pos="15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1520" w:right="20" w:hanging="755"/>
        <w:spacing w:after="0" w:line="256" w:lineRule="auto"/>
        <w:tabs>
          <w:tab w:leader="none" w:pos="1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760" w:right="40" w:hanging="754"/>
        <w:spacing w:after="0" w:line="329"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520" w:right="560" w:hanging="755"/>
        <w:spacing w:after="0" w:line="329" w:lineRule="auto"/>
        <w:tabs>
          <w:tab w:leader="none" w:pos="15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520" w:right="240" w:hanging="755"/>
        <w:spacing w:after="0" w:line="266" w:lineRule="auto"/>
        <w:tabs>
          <w:tab w:leader="none" w:pos="1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tabs>
          <w:tab w:leader="none" w:pos="4860" w:val="left"/>
          <w:tab w:leader="none" w:pos="732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17"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-130175</wp:posOffset>
            </wp:positionV>
            <wp:extent cx="39789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78910" cy="8255"/>
                    </a:xfrm>
                    <a:prstGeom prst="rect">
                      <a:avLst/>
                    </a:prstGeom>
                    <a:noFill/>
                  </pic:spPr>
                </pic:pic>
              </a:graphicData>
            </a:graphic>
          </wp:anchor>
        </w:drawing>
      </w: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19" w:lineRule="exact"/>
        <w:rPr>
          <w:sz w:val="20"/>
          <w:szCs w:val="20"/>
          <w:color w:val="auto"/>
        </w:rPr>
      </w:pPr>
    </w:p>
    <w:p>
      <w:pPr>
        <w:ind w:left="760" w:hanging="75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18" w:lineRule="exact"/>
        <w:rPr>
          <w:rFonts w:ascii="Arial" w:cs="Arial" w:eastAsia="Arial" w:hAnsi="Arial"/>
          <w:sz w:val="18"/>
          <w:szCs w:val="18"/>
          <w:color w:val="auto"/>
        </w:rPr>
      </w:pPr>
    </w:p>
    <w:p>
      <w:pPr>
        <w:jc w:val="both"/>
        <w:ind w:left="760" w:right="340" w:hanging="754"/>
        <w:spacing w:after="0" w:line="256"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760" w:right="300" w:hanging="754"/>
        <w:spacing w:after="0" w:line="296"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jc w:val="both"/>
        <w:ind w:left="760" w:right="340" w:hanging="754"/>
        <w:spacing w:after="0" w:line="256"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520" w:right="20" w:hanging="755"/>
        <w:spacing w:after="0" w:line="256"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520" w:right="140" w:hanging="755"/>
        <w:spacing w:after="0" w:line="256"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520" w:right="320" w:hanging="755"/>
        <w:spacing w:after="0" w:line="411" w:lineRule="auto"/>
        <w:tabs>
          <w:tab w:leader="none" w:pos="1520" w:val="left"/>
        </w:tabs>
        <w:numPr>
          <w:ilvl w:val="1"/>
          <w:numId w:val="2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1520" w:right="20" w:hanging="755"/>
        <w:spacing w:after="0" w:line="256"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760" w:right="40" w:hanging="754"/>
        <w:spacing w:after="0" w:line="329"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520" w:right="560" w:hanging="755"/>
        <w:spacing w:after="0" w:line="329" w:lineRule="auto"/>
        <w:tabs>
          <w:tab w:leader="none" w:pos="15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1" w:lineRule="exact"/>
        <w:rPr>
          <w:sz w:val="20"/>
          <w:szCs w:val="20"/>
          <w:color w:val="auto"/>
        </w:rPr>
      </w:pPr>
    </w:p>
    <w:p>
      <w:pPr>
        <w:ind w:left="1020" w:right="200" w:hanging="508"/>
        <w:spacing w:after="0" w:line="26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tabs>
          <w:tab w:leader="none" w:pos="4860" w:val="left"/>
          <w:tab w:leader="none" w:pos="756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17"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-130175</wp:posOffset>
            </wp:positionV>
            <wp:extent cx="39789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78910" cy="8255"/>
                    </a:xfrm>
                    <a:prstGeom prst="rect">
                      <a:avLst/>
                    </a:prstGeom>
                    <a:noFill/>
                  </pic:spPr>
                </pic:pic>
              </a:graphicData>
            </a:graphic>
          </wp:anchor>
        </w:drawing>
      </w:r>
    </w:p>
    <w:p>
      <w:pPr>
        <w:jc w:val="center"/>
        <w:ind w:left="51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6"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120" w:firstLine="518"/>
        <w:spacing w:after="0" w:line="256"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2017 as filed with the Securities and Exchange Commission on the date hereof (the “Report”), I certify, pursuant to 18 U.S.C. § 1350, as adopted pursuant to § 906 of the Sarbanes-Oxley Act of 2002, to my knowledge, that:</w:t>
      </w:r>
    </w:p>
    <w:p>
      <w:pPr>
        <w:spacing w:after="0" w:line="83" w:lineRule="exact"/>
        <w:rPr>
          <w:sz w:val="20"/>
          <w:szCs w:val="20"/>
          <w:color w:val="auto"/>
        </w:rPr>
      </w:pPr>
    </w:p>
    <w:p>
      <w:pPr>
        <w:ind w:left="1020" w:hanging="50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spacing w:after="0"/>
        <w:tabs>
          <w:tab w:leader="none" w:pos="4860" w:val="left"/>
          <w:tab w:leader="none" w:pos="732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17"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-130175</wp:posOffset>
            </wp:positionV>
            <wp:extent cx="39789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78910" cy="8255"/>
                    </a:xfrm>
                    <a:prstGeom prst="rect">
                      <a:avLst/>
                    </a:prstGeom>
                    <a:noFill/>
                  </pic:spPr>
                </pic:pic>
              </a:graphicData>
            </a:graphic>
          </wp:anchor>
        </w:drawing>
      </w: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120" w:firstLine="518"/>
        <w:spacing w:after="0" w:line="256"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2017 as filed with the Securities and Exchange Commission on the date hereof (the “Report”), I certify, pursuant to 18 U.S.C. § 1350, as adopted pursuant to § 906 of the Sarbanes-Oxley Act of 2002, to my knowledge, that:</w:t>
      </w:r>
    </w:p>
    <w:p>
      <w:pPr>
        <w:spacing w:after="0" w:line="83" w:lineRule="exact"/>
        <w:rPr>
          <w:sz w:val="20"/>
          <w:szCs w:val="20"/>
          <w:color w:val="auto"/>
        </w:rPr>
      </w:pPr>
    </w:p>
    <w:p>
      <w:pPr>
        <w:ind w:left="1020" w:hanging="50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2" w:lineRule="exact"/>
        <w:rPr>
          <w:rFonts w:ascii="Arial" w:cs="Arial" w:eastAsia="Arial" w:hAnsi="Arial"/>
          <w:sz w:val="18"/>
          <w:szCs w:val="18"/>
          <w:color w:val="auto"/>
        </w:rPr>
      </w:pPr>
    </w:p>
    <w:p>
      <w:pPr>
        <w:ind w:left="1020" w:hanging="508"/>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spacing w:after="0"/>
        <w:tabs>
          <w:tab w:leader="none" w:pos="4860" w:val="left"/>
          <w:tab w:leader="none" w:pos="756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26"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-127635</wp:posOffset>
            </wp:positionV>
            <wp:extent cx="39789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78910" cy="8255"/>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1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amp;"/>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4"/>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5"/>
    </w:lvl>
  </w:abstractNum>
  <w:abstractNum w:abstractNumId="15">
    <w:nsid w:val="721DA317"/>
    <w:multiLevelType w:val="hybridMultilevel"/>
    <w:lvl w:ilvl="0">
      <w:lvlJc w:val="left"/>
      <w:lvlText w:val="%1."/>
      <w:numFmt w:val="decimal"/>
      <w:start w:val="6"/>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decimal"/>
      <w:start w:val="9"/>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lowerLetter"/>
      <w:start w:val="2"/>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2019-12-29T03:36:39Z</dcterms:created>
  <dcterms:modified xsi:type="dcterms:W3CDTF">2019-12-29T03:36:39Z</dcterms:modified>
</cp:coreProperties>
</file>