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80" w:right="240" w:hanging="454"/>
        <w:spacing w:after="0" w:line="262" w:lineRule="auto"/>
        <w:tabs>
          <w:tab w:leader="none" w:pos="48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right="220" w:hanging="454"/>
        <w:spacing w:after="0" w:line="275" w:lineRule="auto"/>
        <w:tabs>
          <w:tab w:leader="none" w:pos="48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001-36708</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Uniti Group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ectPr>
          <w:pgSz w:w="11900" w:h="16838" w:orient="portrait"/>
          <w:cols w:equalWidth="0" w:num="1">
            <w:col w:w="11220"/>
          </w:cols>
          <w:pgMar w:left="320" w:top="229" w:right="359" w:bottom="1440" w:gutter="0" w:footer="0" w:header="0"/>
        </w:sectPr>
      </w:pPr>
    </w:p>
    <w:p>
      <w:pPr>
        <w:spacing w:after="0" w:line="28"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46-5230630</w:t>
      </w:r>
    </w:p>
    <w:p>
      <w:pPr>
        <w:spacing w:after="0" w:line="59" w:lineRule="exact"/>
        <w:rPr>
          <w:sz w:val="24"/>
          <w:szCs w:val="24"/>
          <w:color w:val="auto"/>
        </w:rPr>
      </w:pPr>
    </w:p>
    <w:p>
      <w:pPr>
        <w:sectPr>
          <w:pgSz w:w="11900" w:h="16838" w:orient="portrait"/>
          <w:cols w:equalWidth="0" w:num="2">
            <w:col w:w="7280" w:space="720"/>
            <w:col w:w="3220"/>
          </w:cols>
          <w:pgMar w:left="320" w:top="229"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sectPr>
          <w:pgSz w:w="11900" w:h="16838" w:orient="portrait"/>
          <w:cols w:equalWidth="0" w:num="2">
            <w:col w:w="7140" w:space="720"/>
            <w:col w:w="3360"/>
          </w:cols>
          <w:pgMar w:left="320" w:top="229" w:right="35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46" w:lineRule="exact"/>
        <w:rPr>
          <w:sz w:val="24"/>
          <w:szCs w:val="24"/>
          <w:color w:val="auto"/>
        </w:rPr>
      </w:pPr>
    </w:p>
    <w:p>
      <w:pPr>
        <w:sectPr>
          <w:pgSz w:w="11900" w:h="16838" w:orient="portrait"/>
          <w:cols w:equalWidth="0" w:num="2">
            <w:col w:w="7480" w:space="720"/>
            <w:col w:w="3020"/>
          </w:cols>
          <w:pgMar w:left="320" w:top="229"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0" w:lineRule="exact"/>
        <w:rPr>
          <w:sz w:val="24"/>
          <w:szCs w:val="24"/>
          <w:color w:val="auto"/>
        </w:rPr>
      </w:pPr>
    </w:p>
    <w:p>
      <w:pPr>
        <w:sectPr>
          <w:pgSz w:w="11900" w:h="16838" w:orient="portrait"/>
          <w:cols w:equalWidth="0" w:num="2">
            <w:col w:w="7380" w:space="720"/>
            <w:col w:w="3120"/>
          </w:cols>
          <w:pgMar w:left="320" w:top="229"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(501) 850-0820</w:t>
      </w:r>
    </w:p>
    <w:p>
      <w:pPr>
        <w:spacing w:after="0" w:line="2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5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229" w:right="359" w:bottom="1440" w:gutter="0" w:footer="0" w:header="0"/>
          <w:type w:val="continuous"/>
        </w:sectPr>
      </w:pPr>
    </w:p>
    <w:p>
      <w:pPr>
        <w:spacing w:after="0" w:line="7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50" w:lineRule="exact"/>
        <w:rPr>
          <w:sz w:val="24"/>
          <w:szCs w:val="24"/>
          <w:color w:val="auto"/>
        </w:rPr>
      </w:pPr>
    </w:p>
    <w:p>
      <w:pPr>
        <w:sectPr>
          <w:pgSz w:w="11900" w:h="16838" w:orient="portrait"/>
          <w:cols w:equalWidth="0" w:num="3">
            <w:col w:w="4220" w:space="720"/>
            <w:col w:w="2100" w:space="720"/>
            <w:col w:w="3460"/>
          </w:cols>
          <w:pgMar w:left="320" w:top="229"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96" w:lineRule="exact"/>
        <w:rPr>
          <w:sz w:val="24"/>
          <w:szCs w:val="24"/>
          <w:color w:val="auto"/>
        </w:rPr>
      </w:pPr>
    </w:p>
    <w:p>
      <w:pPr>
        <w:sectPr>
          <w:pgSz w:w="11900" w:h="16838" w:orient="portrait"/>
          <w:cols w:equalWidth="0" w:num="3">
            <w:col w:w="4680" w:space="720"/>
            <w:col w:w="1920" w:space="720"/>
            <w:col w:w="3180"/>
          </w:cols>
          <w:pgMar w:left="320" w:top="229" w:right="359" w:bottom="1440" w:gutter="0" w:footer="0" w:header="0"/>
          <w:type w:val="continuous"/>
        </w:sect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60"/>
              <w:spacing w:after="0"/>
              <w:rPr>
                <w:sz w:val="20"/>
                <w:szCs w:val="20"/>
                <w:color w:val="auto"/>
              </w:rPr>
            </w:pPr>
            <w:r>
              <w:rPr>
                <w:rFonts w:ascii="Wingdings" w:cs="Wingdings" w:eastAsia="Wingdings" w:hAnsi="Wingdings"/>
                <w:sz w:val="18"/>
                <w:szCs w:val="18"/>
                <w:b w:val="1"/>
                <w:bCs w:val="1"/>
                <w:color w:val="auto"/>
              </w:rPr>
              <w:t>x</w:t>
            </w: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60"/>
              <w:spacing w:after="0"/>
              <w:rPr>
                <w:sz w:val="20"/>
                <w:szCs w:val="20"/>
                <w:color w:val="auto"/>
              </w:rPr>
            </w:pPr>
            <w:r>
              <w:rPr>
                <w:rFonts w:ascii="Wingdings" w:cs="Wingdings" w:eastAsia="Wingdings" w:hAnsi="Wingdings"/>
                <w:sz w:val="18"/>
                <w:szCs w:val="18"/>
                <w:b w:val="1"/>
                <w:bCs w:val="1"/>
                <w:color w:val="auto"/>
              </w:rPr>
              <w:t>o</w:t>
            </w: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57" w:lineRule="exact"/>
        <w:rPr>
          <w:sz w:val="24"/>
          <w:szCs w:val="24"/>
          <w:color w:val="auto"/>
        </w:rPr>
      </w:pPr>
    </w:p>
    <w:p>
      <w:pPr>
        <w:ind w:firstLine="486"/>
        <w:spacing w:after="0" w:line="27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1340" w:firstLine="486"/>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27, 2022, the registrant had 237,200,050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prospects of our largest customer, Windstream, following its emergence from bankruptcy;</w:t>
      </w:r>
    </w:p>
    <w:p>
      <w:pPr>
        <w:spacing w:after="0" w:line="117"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the COVID-19 pandemic, inflation and rising interest rates on our employees, our business, the business of our customers and other business partners and the global financial markets;</w:t>
      </w:r>
    </w:p>
    <w:p>
      <w:pPr>
        <w:spacing w:after="0" w:line="53"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meet and/or perform their obligations under any contractual arrangements entered into with us, including master lease arrangements;</w:t>
      </w:r>
    </w:p>
    <w:p>
      <w:pPr>
        <w:spacing w:after="0" w:line="53"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67"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 and fund our capital funding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 and fluctuating interest rates;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experience equipment failures, natural disasters, cyber attacks or terrorist attacks for which our insurance may not provide adequate coverage;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or have difficulty in integrating the companies we acquire;</w:t>
      </w:r>
    </w:p>
    <w:p>
      <w:pPr>
        <w:spacing w:after="0" w:line="11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as well as those described from time to time in our future reports filed with the U.S. Securities and Exchange Commission (the “SEC”).</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80" w:type="dxa"/>
            <w:vAlign w:val="bottom"/>
            <w:gridSpan w:val="9"/>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Uniti Group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80" w:type="dxa"/>
            <w:vAlign w:val="bottom"/>
            <w:gridSpan w:val="9"/>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4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gridSpan w:val="2"/>
            <w:vMerge w:val="continue"/>
          </w:tcPr>
          <w:p>
            <w:pPr>
              <w:spacing w:after="0"/>
              <w:rPr>
                <w:sz w:val="15"/>
                <w:szCs w:val="15"/>
                <w:color w:val="auto"/>
              </w:rPr>
            </w:pPr>
          </w:p>
        </w:tc>
        <w:tc>
          <w:tcPr>
            <w:tcW w:w="8840" w:type="dxa"/>
            <w:vAlign w:val="bottom"/>
            <w:gridSpan w:val="32"/>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20" w:type="dxa"/>
            <w:vAlign w:val="bottom"/>
            <w:gridSpan w:val="1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Uniti Group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60" w:type="dxa"/>
            <w:vAlign w:val="bottom"/>
            <w:gridSpan w:val="3"/>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Deficit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w:t>
            </w:r>
          </w:p>
        </w:tc>
        <w:tc>
          <w:tcPr>
            <w:tcW w:w="700" w:type="dxa"/>
            <w:vAlign w:val="bottom"/>
            <w:tcBorders>
              <w:top w:val="single" w:sz="8" w:color="0000FF"/>
            </w:tcBorders>
            <w:gridSpan w:val="4"/>
          </w:tcPr>
          <w:p>
            <w:pPr>
              <w:spacing w:after="0"/>
              <w:rPr>
                <w:sz w:val="20"/>
                <w:szCs w:val="20"/>
                <w:color w:val="auto"/>
              </w:rPr>
            </w:pPr>
          </w:p>
        </w:tc>
        <w:tc>
          <w:tcPr>
            <w:tcW w:w="4440" w:type="dxa"/>
            <w:vAlign w:val="bottom"/>
            <w:gridSpan w:val="4"/>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Borders>
              <w:top w:val="single" w:sz="8" w:color="0000FF"/>
            </w:tcBorders>
            <w:gridSpan w:val="25"/>
          </w:tcPr>
          <w:p>
            <w:pPr>
              <w:ind w:left="220"/>
              <w:spacing w:after="0"/>
              <w:rPr>
                <w:sz w:val="20"/>
                <w:szCs w:val="20"/>
                <w:color w:val="auto"/>
              </w:rPr>
            </w:pPr>
            <w:r>
              <w:rPr>
                <w:rFonts w:ascii="Times New Roman" w:cs="Times New Roman" w:eastAsia="Times New Roman" w:hAnsi="Times New Roman"/>
                <w:sz w:val="18"/>
                <w:szCs w:val="18"/>
                <w:color w:val="0000FF"/>
              </w:rPr>
              <w:t>1.Organization and Description of Business</w:t>
            </w:r>
          </w:p>
        </w:tc>
        <w:tc>
          <w:tcPr>
            <w:tcW w:w="4860" w:type="dxa"/>
            <w:vAlign w:val="bottom"/>
            <w:gridSpan w:val="7"/>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2.Basis of Presentation and Summary of Significant Accounting Policies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3.Revenues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4.Leases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5.Investments in Unconsolidated Entities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6.Fair Value of Financial Instruments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7.Property Plant and Equipment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8.Derivative Instruments and Hedging Activities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9.Goodwill and Intangible Assets and Liabilities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10.Notes and Other Debt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11.Earnings Per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12.Segment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13.Commitments and Contingencies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14.Accumulated 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0000FF"/>
              </w:rPr>
              <w:t>15.Capital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Times New Roman" w:cs="Times New Roman" w:eastAsia="Times New Roman" w:hAnsi="Times New Roman"/>
                <w:sz w:val="18"/>
                <w:szCs w:val="18"/>
                <w:color w:val="0000FF"/>
              </w:rPr>
              <w:t>1.Overview</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Times New Roman" w:cs="Times New Roman" w:eastAsia="Times New Roman" w:hAnsi="Times New Roman"/>
                <w:sz w:val="18"/>
                <w:szCs w:val="18"/>
                <w:color w:val="0000FF"/>
              </w:rPr>
              <w:t>2.Results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Times New Roman" w:cs="Times New Roman" w:eastAsia="Times New Roman" w:hAnsi="Times New Roman"/>
                <w:sz w:val="18"/>
                <w:szCs w:val="18"/>
                <w:color w:val="0000FF"/>
              </w:rPr>
              <w:t>3.Non-GAAP Financial Measures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sz w:val="20"/>
                <w:szCs w:val="20"/>
                <w:color w:val="auto"/>
              </w:rPr>
            </w:pPr>
            <w:r>
              <w:rPr>
                <w:rFonts w:ascii="Times New Roman" w:cs="Times New Roman" w:eastAsia="Times New Roman" w:hAnsi="Times New Roman"/>
                <w:sz w:val="18"/>
                <w:szCs w:val="18"/>
                <w:color w:val="0000FF"/>
              </w:rPr>
              <w:t>4.Liquidity and Capital Resources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80" w:type="dxa"/>
            <w:vAlign w:val="bottom"/>
            <w:gridSpan w:val="5"/>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5"/>
              </w:rPr>
              <w:t>OTHER INFORMATION</w:t>
            </w:r>
          </w:p>
        </w:tc>
        <w:tc>
          <w:tcPr>
            <w:tcW w:w="6860" w:type="dxa"/>
            <w:vAlign w:val="bottom"/>
            <w:gridSpan w:val="18"/>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520" w:type="dxa"/>
            <w:vAlign w:val="bottom"/>
            <w:gridSpan w:val="22"/>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60" w:type="dxa"/>
            <w:vAlign w:val="bottom"/>
            <w:tcBorders>
              <w:top w:val="single" w:sz="8" w:color="0000FF"/>
            </w:tcBorders>
            <w:gridSpan w:val="11"/>
          </w:tcPr>
          <w:p>
            <w:pPr>
              <w:spacing w:after="0"/>
              <w:rPr>
                <w:sz w:val="20"/>
                <w:szCs w:val="20"/>
                <w:color w:val="auto"/>
              </w:rPr>
            </w:pPr>
          </w:p>
        </w:tc>
        <w:tc>
          <w:tcPr>
            <w:tcW w:w="4500" w:type="dxa"/>
            <w:vAlign w:val="bottom"/>
            <w:gridSpan w:val="6"/>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80" w:type="dxa"/>
            <w:vAlign w:val="bottom"/>
            <w:gridSpan w:val="20"/>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40" w:type="dxa"/>
            <w:vAlign w:val="bottom"/>
            <w:gridSpan w:val="23"/>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9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3,693,581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3,508,939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58,903</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38,455</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601,878</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364,630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Straight-line revenue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41,323</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80,271</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38,900</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Investment in unconsolidated entities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11,721</w:t>
            </w:r>
          </w:p>
        </w:tc>
        <w:tc>
          <w:tcPr>
            <w:tcW w:w="0" w:type="dxa"/>
            <w:vAlign w:val="bottom"/>
          </w:tcPr>
          <w:p>
            <w:pPr>
              <w:spacing w:after="0"/>
              <w:rPr>
                <w:sz w:val="1"/>
                <w:szCs w:val="1"/>
                <w:color w:val="auto"/>
              </w:rPr>
            </w:pPr>
          </w:p>
        </w:tc>
      </w:tr>
      <w:tr>
        <w:trPr>
          <w:trHeight w:val="20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4,811,006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4,809,243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86,868</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Settlement payable (Note 13)</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239,384</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liabilities,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177,786</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109,826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1,197,375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1,134,236</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Derivative liability,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57,355</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15,348</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Notes and other debt,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5,090,537</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7,071,181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6,923,017</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Preferred stock, $0.0001 par value, 50,000 shares authorized; no shares issued and outstanding</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500,000 shares authorized; issued and outstanding: 235,741 shares at</w:t>
            </w:r>
          </w:p>
        </w:tc>
        <w:tc>
          <w:tcPr>
            <w:tcW w:w="1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2022 and 234,779 at December 31, 2021</w:t>
            </w: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1,214,830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(9,164)</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Distributions in excess of accumulated earnings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(3,333,481)</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Uniti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(2,262,477)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(2,127,792)</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partnership units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13,893</w:t>
            </w:r>
          </w:p>
        </w:tc>
        <w:tc>
          <w:tcPr>
            <w:tcW w:w="0" w:type="dxa"/>
            <w:vAlign w:val="bottom"/>
          </w:tcPr>
          <w:p>
            <w:pPr>
              <w:spacing w:after="0"/>
              <w:rPr>
                <w:sz w:val="1"/>
                <w:szCs w:val="1"/>
                <w:color w:val="auto"/>
              </w:rPr>
            </w:pPr>
          </w:p>
        </w:tc>
      </w:tr>
      <w:tr>
        <w:trPr>
          <w:trHeight w:val="189"/>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Cumulative non-voting convertible preferred stock, $0.01 par value, 6 shares authorized, 3 issued and</w:t>
            </w: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shareholders'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(2,113,774)</w:t>
            </w:r>
          </w:p>
        </w:tc>
        <w:tc>
          <w:tcPr>
            <w:tcW w:w="0" w:type="dxa"/>
            <w:vAlign w:val="bottom"/>
          </w:tcPr>
          <w:p>
            <w:pPr>
              <w:spacing w:after="0"/>
              <w:rPr>
                <w:sz w:val="1"/>
                <w:szCs w:val="1"/>
                <w:color w:val="auto"/>
              </w:rPr>
            </w:pPr>
          </w:p>
        </w:tc>
      </w:tr>
      <w:tr>
        <w:trPr>
          <w:trHeight w:val="20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4,811,006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4,809,243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618,878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590,478</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Fiber Infrastructure</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217,035</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105,436</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impairment (Note 2)</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225,913</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719,960</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 from</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88,819</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233,513</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235,483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termination</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97,307</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0"/>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tcPr>
          <w:p>
            <w:pPr>
              <w:spacing w:after="0"/>
              <w:rPr>
                <w:sz w:val="13"/>
                <w:szCs w:val="13"/>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Interest - Non-</w:t>
            </w:r>
          </w:p>
        </w:tc>
        <w:tc>
          <w:tcPr>
            <w:tcW w:w="820" w:type="dxa"/>
            <w:vAlign w:val="bottom"/>
          </w:tcPr>
          <w:p>
            <w:pPr>
              <w:spacing w:after="0"/>
              <w:rPr>
                <w:sz w:val="14"/>
                <w:szCs w:val="14"/>
                <w:color w:val="auto"/>
              </w:rPr>
            </w:pPr>
          </w:p>
        </w:tc>
      </w:tr>
      <w:tr>
        <w:trPr>
          <w:trHeight w:val="176"/>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Excess of</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voting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Paid-in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r>
      <w:tr>
        <w:trPr>
          <w:trHeight w:val="207"/>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80" w:type="dxa"/>
            <w:vAlign w:val="bottom"/>
          </w:tcPr>
          <w:p>
            <w:pPr>
              <w:spacing w:after="0"/>
              <w:rPr>
                <w:sz w:val="17"/>
                <w:szCs w:val="17"/>
                <w:color w:val="auto"/>
              </w:rPr>
            </w:pPr>
          </w:p>
        </w:tc>
        <w:tc>
          <w:tcPr>
            <w:tcW w:w="13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tcPr>
          <w:p>
            <w:pPr>
              <w:spacing w:after="0"/>
              <w:rPr>
                <w:sz w:val="17"/>
                <w:szCs w:val="17"/>
                <w:color w:val="auto"/>
              </w:rPr>
            </w:pPr>
          </w:p>
        </w:tc>
        <w:tc>
          <w:tcPr>
            <w:tcW w:w="15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8"/>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Loss</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Deficit</w:t>
            </w:r>
          </w:p>
        </w:tc>
      </w:tr>
      <w:tr>
        <w:trPr>
          <w:trHeight w:val="191"/>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189"/>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231,804,921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1,153,707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(14,792)</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(3,341,371)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(2,133,440)</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43,682</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($0.15 per share)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(35,681)</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2,528,199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20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234,495,356</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1,208,611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(3,333,686)</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(2,118,241)</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2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235,699,513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1,224,427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(3,298,455)</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(2,075,198)</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(155,679)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(155,749)</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($0.15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(35,584)</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235,741,244</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1,227,905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(3,489,718)</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(2,260,175)</w:t>
            </w: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0"/>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tcPr>
          <w:p>
            <w:pPr>
              <w:spacing w:after="0"/>
              <w:rPr>
                <w:sz w:val="13"/>
                <w:szCs w:val="13"/>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Interest - Non-</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Excess of</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voting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Paid-in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r>
      <w:tr>
        <w:trPr>
          <w:trHeight w:val="202"/>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44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Preferred Stock</w:t>
            </w:r>
          </w:p>
        </w:tc>
        <w:tc>
          <w:tcPr>
            <w:tcW w:w="15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Loss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Deficit</w:t>
            </w:r>
          </w:p>
        </w:tc>
      </w:tr>
      <w:tr>
        <w:trPr>
          <w:trHeight w:val="23"/>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189"/>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231,261,958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1,209,141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(3,330,455)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(2,072,376)</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effect adjustment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adoption of new accounting standard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(45,310)</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88,819</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($0.45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(105,664)</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2,528,199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630,249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234,495,356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1,208,611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(3,333,686)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(2,118,241)</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234,779,247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1,214,830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(9,164)</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(3,333,481)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(2,113,774)</w:t>
            </w: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(49,117)</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8,488</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($0.45 per share)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(106,860)</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non-voting convertible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244,682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w:t>
            </w: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647,461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w:t>
            </w: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235,741,244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1,227,905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(3,489,718)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(2,260,175)</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(49,117)</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88,819</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 by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211,165</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13,723</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43,369</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rate swap termination</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8,488</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(2,270)</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in earnings of unconsolidated entities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Distributions of cumulative earnings from unconsolidated entities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2,933</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interest rate swap settlement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(9,291)</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Straight-line revenues and amortization of below-market lease intangibles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(22,455)</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10,963</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 impairment (see Note 2)</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Gain on sale of unconsolidated entity (see Note 5)</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Gain on sale of operations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(28,143)</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(gain) on asset disposals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Accretion of settlement obligation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13,006</w:t>
            </w: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23,938</w:t>
            </w:r>
          </w:p>
        </w:tc>
      </w:tr>
      <w:tr>
        <w:trPr>
          <w:trHeight w:val="17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(75,556)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r>
      <w:tr>
        <w:trPr>
          <w:trHeight w:val="16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285,107</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353,353</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(292,666)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(276,010)</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sale of unconsolidated entity (see Note 5)</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sale of real estate, net of cash</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sale of operations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62,113</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sale of other equipment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r>
      <w:tr>
        <w:trPr>
          <w:trHeight w:val="30"/>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(211,720)</w:t>
            </w:r>
          </w:p>
        </w:tc>
      </w:tr>
      <w:tr>
        <w:trPr>
          <w:trHeight w:val="1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 of debt</w:t>
            </w: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(1,660,000)</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Proceeds from issuance of notes</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1,680,000</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paid</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(107,362)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(105,941)</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Payments of settlement payable</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(73,516)</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of contingent consideration</w:t>
            </w: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(2,979)</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Distributions paid to noncontrolling interest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 for exchange of noncontrolling interest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Borrowings under revolving credit facility</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290,000</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under revolving credit facility</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Finance lease payments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for financing costs</w:t>
            </w: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(25,755)</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Payment of tender premium</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(25,800)</w:t>
            </w:r>
          </w:p>
        </w:tc>
      </w:tr>
      <w:tr>
        <w:trPr>
          <w:trHeight w:val="30"/>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stock purchase program</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7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Payments related to tax withholding for stock-based compensation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w:t>
            </w:r>
          </w:p>
        </w:tc>
      </w:tr>
      <w:tr>
        <w:trPr>
          <w:trHeight w:val="30"/>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(149,416)</w:t>
            </w:r>
          </w:p>
        </w:tc>
      </w:tr>
      <w:tr>
        <w:trPr>
          <w:trHeight w:val="30"/>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increase in cash and cash equivalents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540" w:type="dxa"/>
            <w:vAlign w:val="bottom"/>
          </w:tcPr>
          <w:p>
            <w:pPr>
              <w:spacing w:after="0"/>
              <w:rPr>
                <w:sz w:val="14"/>
                <w:szCs w:val="14"/>
                <w:color w:val="auto"/>
              </w:rPr>
            </w:pPr>
          </w:p>
        </w:tc>
        <w:tc>
          <w:tcPr>
            <w:tcW w:w="940" w:type="dxa"/>
            <w:vAlign w:val="bottom"/>
          </w:tcPr>
          <w:p>
            <w:pPr>
              <w:jc w:val="center"/>
              <w:ind w:left="397"/>
              <w:spacing w:after="0"/>
              <w:rPr>
                <w:sz w:val="20"/>
                <w:szCs w:val="20"/>
                <w:color w:val="auto"/>
              </w:rPr>
            </w:pPr>
            <w:r>
              <w:rPr>
                <w:rFonts w:ascii="Times New Roman" w:cs="Times New Roman" w:eastAsia="Times New Roman" w:hAnsi="Times New Roman"/>
                <w:sz w:val="13"/>
                <w:szCs w:val="13"/>
                <w:color w:val="auto"/>
                <w:w w:val="98"/>
              </w:rPr>
              <w:t>(15,509)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(7,783)</w:t>
            </w:r>
          </w:p>
        </w:tc>
      </w:tr>
      <w:tr>
        <w:trPr>
          <w:trHeight w:val="203"/>
        </w:trPr>
        <w:tc>
          <w:tcPr>
            <w:tcW w:w="540" w:type="dxa"/>
            <w:vAlign w:val="bottom"/>
          </w:tcPr>
          <w:p>
            <w:pPr>
              <w:spacing w:after="0"/>
              <w:rPr>
                <w:sz w:val="17"/>
                <w:szCs w:val="17"/>
                <w:color w:val="auto"/>
              </w:rPr>
            </w:pPr>
          </w:p>
        </w:tc>
        <w:tc>
          <w:tcPr>
            <w:tcW w:w="940" w:type="dxa"/>
            <w:vAlign w:val="bottom"/>
          </w:tcPr>
          <w:p>
            <w:pPr>
              <w:jc w:val="center"/>
              <w:ind w:left="417"/>
              <w:spacing w:after="0"/>
              <w:rPr>
                <w:sz w:val="20"/>
                <w:szCs w:val="20"/>
                <w:color w:val="auto"/>
              </w:rPr>
            </w:pPr>
            <w:r>
              <w:rPr>
                <w:rFonts w:ascii="Times New Roman" w:cs="Times New Roman" w:eastAsia="Times New Roman" w:hAnsi="Times New Roman"/>
                <w:sz w:val="13"/>
                <w:szCs w:val="13"/>
                <w:color w:val="auto"/>
                <w:w w:val="94"/>
              </w:rPr>
              <w:t>58,903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77,534</w:t>
            </w:r>
          </w:p>
        </w:tc>
      </w:tr>
      <w:tr>
        <w:trPr>
          <w:trHeight w:val="30"/>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6"/>
        </w:trPr>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center"/>
              <w:ind w:left="417"/>
              <w:spacing w:after="0"/>
              <w:rPr>
                <w:sz w:val="20"/>
                <w:szCs w:val="20"/>
                <w:color w:val="auto"/>
              </w:rPr>
            </w:pPr>
            <w:r>
              <w:rPr>
                <w:rFonts w:ascii="Times New Roman" w:cs="Times New Roman" w:eastAsia="Times New Roman" w:hAnsi="Times New Roman"/>
                <w:sz w:val="13"/>
                <w:szCs w:val="13"/>
                <w:color w:val="auto"/>
                <w:w w:val="94"/>
              </w:rPr>
              <w:t>43,394</w:t>
            </w:r>
          </w:p>
        </w:tc>
        <w:tc>
          <w:tcPr>
            <w:tcW w:w="100" w:type="dxa"/>
            <w:vAlign w:val="bottom"/>
          </w:tcPr>
          <w:p>
            <w:pPr>
              <w:spacing w:after="0"/>
              <w:rPr>
                <w:sz w:val="14"/>
                <w:szCs w:val="14"/>
                <w:color w:val="auto"/>
              </w:rPr>
            </w:pPr>
          </w:p>
        </w:tc>
        <w:tc>
          <w:tcPr>
            <w:tcW w:w="58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69,751</w:t>
            </w:r>
          </w:p>
        </w:tc>
      </w:tr>
      <w:tr>
        <w:trPr>
          <w:trHeight w:val="30"/>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3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3"/>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Property and equipment acquired but not yet paid</w:t>
            </w:r>
          </w:p>
        </w:tc>
        <w:tc>
          <w:tcPr>
            <w:tcW w:w="328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12,751</w:t>
            </w:r>
          </w:p>
        </w:tc>
        <w:tc>
          <w:tcPr>
            <w:tcW w:w="62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22,586</w:t>
            </w:r>
          </w:p>
        </w:tc>
      </w:tr>
      <w:tr>
        <w:trPr>
          <w:trHeight w:val="30"/>
        </w:trPr>
        <w:tc>
          <w:tcPr>
            <w:tcW w:w="54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Tenant capital improvements</w:t>
            </w:r>
          </w:p>
        </w:tc>
        <w:tc>
          <w:tcPr>
            <w:tcW w:w="3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120,239</w:t>
            </w: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140,996</w:t>
            </w:r>
          </w:p>
        </w:tc>
      </w:tr>
      <w:tr>
        <w:trPr>
          <w:trHeight w:val="30"/>
        </w:trPr>
        <w:tc>
          <w:tcPr>
            <w:tcW w:w="54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September 30, 2022, we are the sole general partner of the Operating Partnership and own approximately 99.96% of the partnership interests in the Operating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25, 2022, as amended by Amendment No. 1 thereto filed on Form 10-K/A with the SEC on March 22, 2022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Concentration of Credit Risks</w:t>
      </w:r>
      <w:r>
        <w:rPr>
          <w:rFonts w:ascii="Times New Roman" w:cs="Times New Roman" w:eastAsia="Times New Roman" w:hAnsi="Times New Roman"/>
          <w:sz w:val="18"/>
          <w:szCs w:val="18"/>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bifurcated the Master Lease and entered into two structurally similar master leases (collectively, the “Windstream Leases”), which amended and restated the Master Lease in its entirety. Revenue under the Windstream Leases provided 66.4% and 67.6% of our revenue for the nine months ended September 30, 2022 and 2021,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2021, and for the year ended December 31, 2021, as of December 31, 2020 and for the period from September 22, 2020 to December 31, 2020 and for the period from January 1, 2020 to September 21, 2020 and for the year ended December 31, 2019 are included as an exhibit to our Annual Report. On September 22, 2020, Windstream filed a Form 15 to terminate all filing obligations under Sections 12(g) and 15(d) under the Exchange Act. Windstream filings are not incorporated by reference in this Quarterly Report on Form 10-Q.</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9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highlight w:val="white"/>
        </w:rPr>
        <w:t>—As of September 30, 2022 and December 31, 2021, all of our goodwill is included in our Fiber Infrastructure segment. Goodwill is recognized</w:t>
      </w:r>
      <w:r>
        <w:rPr>
          <w:rFonts w:ascii="Times New Roman" w:cs="Times New Roman" w:eastAsia="Times New Roman" w:hAnsi="Times New Roman"/>
          <w:sz w:val="18"/>
          <w:szCs w:val="18"/>
          <w:color w:val="auto"/>
        </w:rPr>
        <w:t xml:space="preserve"> for the excess of purchase price over the fair value of net assets of businesses acquired. Goodwill is reviewed for impairment on an annual basis during the fourth quarter. Application of the goodwill impairment test requires significant judgment, including: the identification of reporting units; assignment of assets and liabilities to reporting units; and assignment of goodwill to reporting units. In accordance with ASC 350-20,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compared with its carrying value.</w:t>
      </w:r>
    </w:p>
    <w:p>
      <w:pPr>
        <w:spacing w:after="0" w:line="21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performing the quantitative assessment of goodwill, we estimate the fair value of our fiber reporting unit using a combination of an income approach based on the present value of estimated future cash flows and a market approach based on market data of comparable businesses, and acquisition multiples paid in recent transactions. Inherent in our preparation of cash flow projections are significant assumptions and estimates derived from a review of our operating results and business plans, which include expected revenue and expense growth rates, capital expenditure plans and discount rate.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interest rates, impacting our discount rate.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and/or declines in acquisition multiples utilized in the market approach could affect the likelihood and amount of potential impairment.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(Loss) Income not to exceed the carrying amount of goodwill.</w:t>
      </w:r>
    </w:p>
    <w:p>
      <w:pPr>
        <w:spacing w:after="0" w:line="21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for the three and nine months ended September 30, 2022, the Company identified a Triggering Event and, therefore, performed a qualitative and quantitative goodwill impairment test. The Triggering Event was a result of macroeconomic and financial market factors, specifically increased interest rates, impacting our discount rate. As a result of this interim assessment of goodwill, we concluded that the fair value of the Fiber Infrastructure reporting unit, estimated using a combination of the income approach and market approach, is less than its carrying amount. Accordingly, we recorded a $216.0 million goodwill impairment charge in the Fiber Infrastructure reporting unit during the three months ended September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highlight w:val="white"/>
        </w:rPr>
        <w:t>—Certain prior year asset and liability categories and related amounts have been reclassified to conform with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 xml:space="preserve">In May 2021, the FASB issued ASU 2021-04, </w:t>
      </w:r>
      <w:r>
        <w:rPr>
          <w:rFonts w:ascii="Times New Roman" w:cs="Times New Roman" w:eastAsia="Times New Roman" w:hAnsi="Times New Roman"/>
          <w:sz w:val="17"/>
          <w:szCs w:val="17"/>
          <w:i w:val="1"/>
          <w:iCs w:val="1"/>
          <w:color w:val="auto"/>
        </w:rPr>
        <w:t>Earnings Per Share (Topic 260), Debt—Modifications and Extinguishments (Subtopic 470-50),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Stock Compensation (Topic 718), and Derivatives and Hedging—Contracts in Entity’s Own Equity (Subtopic 815- 40)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Issuer’s Accounting for Certain Modifications or Exchanges of Freestanding Equity-Classified Written Call Options</w:t>
      </w:r>
      <w:r>
        <w:rPr>
          <w:rFonts w:ascii="Times New Roman" w:cs="Times New Roman" w:eastAsia="Times New Roman" w:hAnsi="Times New Roman"/>
          <w:sz w:val="17"/>
          <w:szCs w:val="17"/>
          <w:color w:val="auto"/>
        </w:rPr>
        <w:t>, which clarifies and reduces diversity in an</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issuer’s accounting for modifications or exchanges of freestanding equity-classified written call options (for example, warrants) that remain equity classified after modification or exchange (“ASU 2021-04”). ASU 2021-04 is effective for all entities for fiscal years beginning after December 15, 2021, including interim periods within those fiscal years. The Company adopted ASU 2021-04 effective January 1, 2022, and there was no impact on our consolidated financial statements.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July 2021, the FASB issued ASU 2021-05, </w:t>
      </w:r>
      <w:r>
        <w:rPr>
          <w:rFonts w:ascii="Times New Roman" w:cs="Times New Roman" w:eastAsia="Times New Roman" w:hAnsi="Times New Roman"/>
          <w:sz w:val="18"/>
          <w:szCs w:val="18"/>
          <w:i w:val="1"/>
          <w:iCs w:val="1"/>
          <w:color w:val="auto"/>
        </w:rPr>
        <w:t>Leases (Topic 842): Lessors—Certain Leases with Variable Lease Payments</w:t>
      </w:r>
      <w:r>
        <w:rPr>
          <w:rFonts w:ascii="Times New Roman" w:cs="Times New Roman" w:eastAsia="Times New Roman" w:hAnsi="Times New Roman"/>
          <w:sz w:val="18"/>
          <w:szCs w:val="18"/>
          <w:color w:val="auto"/>
        </w:rPr>
        <w:t xml:space="preserve"> (“ASU 2021-05”), which requires lessors to classify leases as operating leases if they (1) have variable lease payments that do not depend on a reference index or rate, and (2) would have resulted in the recognition of a selling loss at lease commencement if classified as sales-type or direct financing. ASU 2021-05 is effective for all entities which have previously adopted Topic 842 for fiscal years beginning after December 15, 2021, including interim periods within those fiscal years. The Company adopted ASU 2021-05 effective January 1, 2022, and there was no impact on our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revenue stream.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disaggregated by revenue stream</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Lit backhaul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59,344</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E-Rate and government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48,795</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172,805</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181,868</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185,105</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accounted for under leasing guidance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587,241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accounted for under leasing guidance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224,562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668,754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622,408</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lease receivables were $23.8 million and $19.4 million, respectively, and receivables from contracts with customers were $17.2 million and $14.7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nine months ended September 30, 2022, we recognized revenues of $2.6 million and $5.6 million, respectively, which was included in the December 31, 2021 contract liabilities balance.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accounted for under ASC 606.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20" w:type="dxa"/>
            <w:vAlign w:val="bottom"/>
          </w:tcPr>
          <w:p>
            <w:pPr>
              <w:spacing w:after="0"/>
              <w:rPr>
                <w:sz w:val="16"/>
                <w:szCs w:val="16"/>
                <w:color w:val="auto"/>
              </w:rPr>
            </w:pP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39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80" w:type="dxa"/>
            <w:vAlign w:val="bottom"/>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4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4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9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00" w:type="dxa"/>
            <w:vAlign w:val="bottom"/>
            <w:tcBorders>
              <w:bottom w:val="single" w:sz="8" w:color="9A9A9A"/>
            </w:tcBorders>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September 30, 2022, our future revenues (i.e., transaction price related to remaining performance obligations) under contract accounted for under ASC 606 totaled $564.2 million, of which $464.1 million is related to contracts that are currently being invoiced and have an average remaining contract term of 2.4 years, while $100.1 million represents our backlog for sales bookings</w:t>
      </w:r>
    </w:p>
    <w:p>
      <w:pPr>
        <w:spacing w:after="0" w:line="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which have yet to be installed and have an average contract term of 6.0 years. We do not disclose the value of unsatisfied performance obligations for contracts that have an original expected duration of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We lease communications towers, ground, colocation, and dark fiber to tenants under operating leases. Our leases have initial lease terms ranging from less than one year to 35 years, most of which include options to extend or renew the leases for less than one year to 20 years (based on the satisfaction of certain</w:t>
      </w:r>
    </w:p>
    <w:p>
      <w:pPr>
        <w:spacing w:after="0" w:line="1"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8"/>
          <w:szCs w:val="18"/>
          <w:color w:val="auto"/>
        </w:rPr>
        <w:t>conditions as defined in the lease agreements), and some of which may include options to terminate the leases within one to six months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the three and nine months ended September 30, 2022 and 2021, respectively,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668,754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622,408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Lease payments to be received under non-cancellable operating leases where we are the lessor for the remainder of the lease terms as of September 30, 2022 are as follows: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9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September 30, 2022</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r>
      <w:tr>
        <w:trPr>
          <w:trHeight w:val="255"/>
        </w:trPr>
        <w:tc>
          <w:tcPr>
            <w:tcW w:w="9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191,496</w:t>
            </w:r>
          </w:p>
        </w:tc>
      </w:tr>
      <w:tr>
        <w:trPr>
          <w:trHeight w:val="25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777,937</w:t>
            </w:r>
          </w:p>
        </w:tc>
      </w:tr>
      <w:tr>
        <w:trPr>
          <w:trHeight w:val="26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784,400</w:t>
            </w:r>
          </w:p>
        </w:tc>
      </w:tr>
      <w:tr>
        <w:trPr>
          <w:trHeight w:val="25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785,568</w:t>
            </w:r>
          </w:p>
        </w:tc>
      </w:tr>
      <w:tr>
        <w:trPr>
          <w:trHeight w:val="26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787,169</w:t>
            </w:r>
          </w:p>
        </w:tc>
      </w:tr>
      <w:tr>
        <w:trPr>
          <w:trHeight w:val="250"/>
        </w:trPr>
        <w:tc>
          <w:tcPr>
            <w:tcW w:w="9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3,066,497</w:t>
            </w:r>
          </w:p>
        </w:tc>
      </w:tr>
      <w:tr>
        <w:trPr>
          <w:trHeight w:val="275"/>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6,393,067</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6889115</wp:posOffset>
            </wp:positionH>
            <wp:positionV relativeFrom="paragraph">
              <wp:posOffset>-1318895</wp:posOffset>
            </wp:positionV>
            <wp:extent cx="94615" cy="74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ind w:left="380" w:hanging="179"/>
        <w:spacing w:after="0" w:line="217" w:lineRule="auto"/>
        <w:tabs>
          <w:tab w:leader="none" w:pos="3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Total future minimum lease payments to be received include $5.5 billion relating to the Windstream Leases.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84"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assets under operating leases where we are the lessor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343,624</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281,130</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3,278,276</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3,918,281</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89,859</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r>
      <w:tr>
        <w:trPr>
          <w:trHeight w:val="257"/>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7,978,363</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(5,502,245)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(5,391,479)</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assets under operating leases,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2,586,884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expense for the underlying assets under operating leases where we are the lessor for the three and nine months ended September 30, 2022 and 2021, respectively,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underlying assets under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130,858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134,783</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We have commitments under operating leases for communications towers, ground, colocation, dark fiber lease arrangements and buildings. We also have finance leases for dark fiber lease arrangements. Our leases have initial lease terms ranging from less than one year to 30 years, most of which include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extend or renew the leases for less than one year to 20 years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some of which may include options to terminate the leases within one to six</w:t>
      </w:r>
    </w:p>
    <w:p>
      <w:pPr>
        <w:spacing w:after="0" w:line="2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months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have short term lease commitments amounting to approximately $2.8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as of September 30, 2022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0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 in Unconsolidated Entities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Fiber Holdings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BB Fiber Holdings LLC (</w:t>
      </w:r>
      <w:r>
        <w:rPr>
          <w:rFonts w:ascii="Times New Roman" w:cs="Times New Roman" w:eastAsia="Times New Roman" w:hAnsi="Times New Roman"/>
          <w:sz w:val="18"/>
          <w:szCs w:val="18"/>
          <w:color w:val="000000"/>
        </w:rPr>
        <w:t>“Fiber Holdings”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was primarily established to develop fiber networks as real estate property for long-term investment. On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July 1, 2020, the 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Times New Roman" w:cs="Times New Roman" w:eastAsia="Times New Roman" w:hAnsi="Times New Roman"/>
          <w:sz w:val="18"/>
          <w:szCs w:val="18"/>
          <w:color w:val="212529"/>
        </w:rPr>
        <w:t>Fiber Holdings, an equity method unconsolidated entity,</w:t>
      </w:r>
      <w:r>
        <w:rPr>
          <w:rFonts w:ascii="Times New Roman" w:cs="Times New Roman" w:eastAsia="Times New Roman" w:hAnsi="Times New Roman"/>
          <w:sz w:val="18"/>
          <w:szCs w:val="18"/>
          <w:color w:val="auto"/>
        </w:rPr>
        <w:t xml:space="preserve"> was approximately $39.0 million as of September 30, 2022. The Company has not provided financial support to </w:t>
      </w:r>
      <w:r>
        <w:rPr>
          <w:rFonts w:ascii="Times New Roman" w:cs="Times New Roman" w:eastAsia="Times New Roman" w:hAnsi="Times New Roman"/>
          <w:sz w:val="18"/>
          <w:szCs w:val="18"/>
          <w:color w:val="212529"/>
        </w:rPr>
        <w:t>Fiber Holdings.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Harmoni</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21, 2022, the Company completed the sale of its investment in Harmoni Towers LP (“Harmoni”) to Palistar Communications Infrastructure GP LLC, our partner in the investment, for total cash consideration of $32.5 million. As a result of the transaction, during the second quarter of 2022 we recorded a pre-tax gain of $7.9 million within other income (expense), net and $6.7 million of income tax expense within our Condensed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3" w:lineRule="exact"/>
        <w:rPr>
          <w:sz w:val="20"/>
          <w:szCs w:val="20"/>
          <w:color w:val="auto"/>
        </w:rPr>
      </w:pPr>
    </w:p>
    <w:p>
      <w:pPr>
        <w:ind w:right="760"/>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r>
        <w:rPr>
          <w:rFonts w:ascii="Times New Roman" w:cs="Times New Roman" w:eastAsia="Times New Roman" w:hAnsi="Times New Roman"/>
          <w:sz w:val="18"/>
          <w:szCs w:val="18"/>
          <w:b w:val="1"/>
          <w:bCs w:val="1"/>
          <w:i w:val="1"/>
          <w:iCs w:val="1"/>
          <w:color w:val="auto"/>
        </w:rPr>
        <w:t xml:space="preserve"> 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i w:val="1"/>
          <w:iCs w:val="1"/>
          <w:color w:val="auto"/>
        </w:rPr>
        <w:t xml:space="preserve"> Level 3 </w:t>
      </w:r>
      <w:r>
        <w:rPr>
          <w:rFonts w:ascii="Times New Roman" w:cs="Times New Roman" w:eastAsia="Times New Roman" w:hAnsi="Times New Roman"/>
          <w:sz w:val="18"/>
          <w:szCs w:val="18"/>
          <w:color w:val="auto"/>
        </w:rPr>
        <w:t>– Unobservable inputs for the asset or liability.</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derivative assets and liabilities, our outstanding notes and other debt, settlement payable, contingent consideration and accounts, interest and dividends payable.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September 30, 2022 and December 31, 2021: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Prices with</w:t>
            </w: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September 30, 2022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unsecured notes - 6.50% ,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748,728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10, 2024</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Derivative liability,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4,674,434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4,674,434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9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7"/>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Prices with</w:t>
            </w:r>
          </w:p>
        </w:tc>
      </w:tr>
      <w:tr>
        <w:trPr>
          <w:trHeight w:val="164"/>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2,351,576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unsecured notes - 6.50% ,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453,104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10, 2024</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Derivative liability,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5,578,491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5,578,491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total principal balance of our outstanding notes and other debt was $5.25 billion at September 30, 2022, with a fair value of $4.44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and liabilities are carried at fair value. </w:t>
      </w:r>
      <w:r>
        <w:rPr>
          <w:rFonts w:ascii="Times New Roman" w:cs="Times New Roman" w:eastAsia="Times New Roman" w:hAnsi="Times New Roman"/>
          <w:sz w:val="18"/>
          <w:szCs w:val="18"/>
          <w:color w:val="0000FF"/>
        </w:rPr>
        <w:t>See Note 8</w:t>
      </w:r>
      <w:r>
        <w:rPr>
          <w:rFonts w:ascii="Times New Roman" w:cs="Times New Roman" w:eastAsia="Times New Roman" w:hAnsi="Times New Roman"/>
          <w:sz w:val="18"/>
          <w:szCs w:val="18"/>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-306070</wp:posOffset>
            </wp:positionV>
            <wp:extent cx="529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determined that the majority of the inputs used to value its derivative assets and liabilities fall within Level 2 of the fair value hierarchy; however, the associated credit valuation adjustments utilized Level 3 inputs, such as estimates of credit spreads, to evaluate the likelihood of default by the Company and its counterparties. As of September 30, 2022,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and liabilities valuation in Level 2 of the fair value hierarchy.</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the limited trade activity of the Exchangeable Notes, the fair value of the Exchangeable Notes (</w:t>
      </w:r>
      <w:r>
        <w:rPr>
          <w:rFonts w:ascii="Times New Roman" w:cs="Times New Roman" w:eastAsia="Times New Roman" w:hAnsi="Times New Roman"/>
          <w:sz w:val="18"/>
          <w:szCs w:val="18"/>
          <w:u w:val="single" w:color="auto"/>
          <w:color w:val="0000FF"/>
        </w:rPr>
        <w:t>see Note 10</w:t>
      </w:r>
      <w:r>
        <w:rPr>
          <w:rFonts w:ascii="Times New Roman" w:cs="Times New Roman" w:eastAsia="Times New Roman" w:hAnsi="Times New Roman"/>
          <w:sz w:val="18"/>
          <w:szCs w:val="18"/>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7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Uniti is required to make $490.1 million of cash payments to Windstream in equal installments over 20 consecutive quarters beginning October 2020 (the “Settlement Payable”). </w:t>
      </w:r>
      <w:r>
        <w:rPr>
          <w:rFonts w:ascii="Times New Roman" w:cs="Times New Roman" w:eastAsia="Times New Roman" w:hAnsi="Times New Roman"/>
          <w:sz w:val="18"/>
          <w:szCs w:val="18"/>
          <w:color w:val="0000FF"/>
        </w:rPr>
        <w:t>See Note 13</w:t>
      </w:r>
      <w:r>
        <w:rPr>
          <w:rFonts w:ascii="Times New Roman" w:cs="Times New Roman" w:eastAsia="Times New Roman" w:hAnsi="Times New Roman"/>
          <w:sz w:val="18"/>
          <w:szCs w:val="18"/>
          <w:color w:val="auto"/>
        </w:rPr>
        <w:t>. The Settlement Payable was recorded at fair value, using the present value of future cash flows. The future cash flows are discounted using discount rate input based on observable market data. Accordingly, we classify inputs used as Level 2 in the fair value hierarchy. As of September 30, 2022, the remaining Settlement Payable is $248.1 million and is reported on our Condensed Consolidated Balance Sheets. There have been no changes in the valuation methodologies used since the initial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-445770</wp:posOffset>
            </wp:positionV>
            <wp:extent cx="586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74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property, plant and equipment is as follows:</w:t>
      </w: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Indefinite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28,449</w:t>
            </w:r>
          </w:p>
        </w:tc>
      </w:tr>
      <w:tr>
        <w:trPr>
          <w:trHeight w:val="25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3 - 40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359,980</w:t>
            </w:r>
          </w:p>
        </w:tc>
      </w:tr>
      <w:tr>
        <w:trPr>
          <w:trHeight w:val="26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281,130</w:t>
            </w:r>
          </w:p>
        </w:tc>
      </w:tr>
      <w:tr>
        <w:trPr>
          <w:trHeight w:val="25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4,107,519</w:t>
            </w:r>
          </w:p>
        </w:tc>
      </w:tr>
      <w:tr>
        <w:trPr>
          <w:trHeight w:val="26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5 - 7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331,761</w:t>
            </w:r>
          </w:p>
        </w:tc>
      </w:tr>
      <w:tr>
        <w:trPr>
          <w:trHeight w:val="25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3,918,281</w:t>
            </w:r>
          </w:p>
        </w:tc>
      </w:tr>
      <w:tr>
        <w:trPr>
          <w:trHeight w:val="26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89,859</w:t>
            </w:r>
          </w:p>
        </w:tc>
      </w:tr>
      <w:tr>
        <w:trPr>
          <w:trHeight w:val="25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r>
      <w:tr>
        <w:trPr>
          <w:trHeight w:val="26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72,284</w:t>
            </w:r>
          </w:p>
        </w:tc>
      </w:tr>
      <w:tr>
        <w:trPr>
          <w:trHeight w:val="25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15 - 20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w:t>
            </w:r>
          </w:p>
        </w:tc>
      </w:tr>
      <w:tr>
        <w:trPr>
          <w:trHeight w:val="26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assets</w:t>
            </w: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3 - 7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27,366</w:t>
            </w:r>
          </w:p>
        </w:tc>
      </w:tr>
      <w:tr>
        <w:trPr>
          <w:trHeight w:val="257"/>
        </w:trPr>
        <w:tc>
          <w:tcPr>
            <w:tcW w:w="6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9,605,865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9,250,151</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(5,912,284)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(5,741,212)</w:t>
            </w:r>
          </w:p>
        </w:tc>
      </w:tr>
      <w:tr>
        <w:trPr>
          <w:trHeight w:val="27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3,508,939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our Annual Report for property, plant and equipment accounting policies.</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2022 was $66.1 million and $194.9 million, respectively. Depreciation expense for the three and nine months ended September 30, 2021 was $65.7 million and $196.8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Derivative Instruments and Hedging Activities</w:t>
      </w:r>
    </w:p>
    <w:p>
      <w:pPr>
        <w:spacing w:after="0" w:line="229"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 billion and mature on October 24, 2022. </w:t>
      </w:r>
      <w:r>
        <w:rPr>
          <w:rFonts w:ascii="Times New Roman" w:cs="Times New Roman" w:eastAsia="Times New Roman" w:hAnsi="Times New Roman"/>
          <w:sz w:val="18"/>
          <w:szCs w:val="18"/>
          <w:color w:val="1F2322"/>
        </w:rPr>
        <w:t>As a result of the repayment of the Company’s senior secured term loan B facility in February 2020, the Company entered into receive-fixed interest rate swaps to offset its existing pay-fixed interest rate swaps. As a result, the Company discontinued hedge accounting as the hedge accounting requirements were no longer met. Amounts in accumulated other comprehensive loss as of the date of de-designation will be reclassified to interest expense as the hedged transactions impact earnings. Prospectively, changes in fair value of all interest rate swaps will be recorded directly to earnings.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1F2322"/>
        </w:rPr>
        <w:t>The Company has elected to offset derivative positions that are subject to master netting arrangements with the same counterparty in our Condensed Consolidated Balance Sheets. The following tables present the gross amounts of our derivative instruments subject to master netting arrangements with the same counterparty as of September 30, 2022 and December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200" w:type="dxa"/>
            <w:vAlign w:val="bottom"/>
          </w:tcPr>
          <w:p>
            <w:pPr>
              <w:spacing w:after="0"/>
              <w:rPr>
                <w:sz w:val="16"/>
                <w:szCs w:val="16"/>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 Condensed</w:t>
            </w: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Assets or</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Offsetting of Derivative Assets and Liabilities (Thousands)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September 30, 2022</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9"/>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w:t>
            </w: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 Condensed</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Assets or</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Offsetting of Derivative Assets and Liabilities (Thousands)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2021</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the presentation in our Condensed Consolidated Balance Sheets: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on Condensed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Derivative liability,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34"/>
        </w:trPr>
        <w:tc>
          <w:tcPr>
            <w:tcW w:w="6600" w:type="dxa"/>
            <w:vAlign w:val="bottom"/>
            <w:gridSpan w:val="2"/>
            <w:vMerge w:val="continue"/>
            <w:shd w:val="clear" w:color="auto" w:fill="CCEEFF"/>
          </w:tcPr>
          <w:p>
            <w:pPr>
              <w:spacing w:after="0"/>
              <w:rPr>
                <w:sz w:val="20"/>
                <w:szCs w:val="20"/>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net</w:t>
            </w:r>
          </w:p>
        </w:tc>
        <w:tc>
          <w:tcPr>
            <w:tcW w:w="12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September 30, 2022, the interest rate swaps were valued in net unrealized loss positions and recognized as liability balances within derivative liability, net in our Condensed Consolidated Balance Sheets. As hedge accounting is no longer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applied beginning in February 2020, the unrealized loss amounts are now being recorded directly to earnings. The amount reclassified out of other comprehensive income into interest expense on our Condensed Consolidated Statements of Income for the three and nine months ended September 30, 2022 was $2.8 million and $8.5 million, respectively. The amount reclassified out of other comprehensive income into interest expense on our Condensed Consolidated Statements of Income for the three and nine months ended September 30, 2021 was $2.8 million and $8.5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next twelve months, beginning October 1, 2022, we estimate that $0.8 million will be reclassified as an increase to interest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Exchangeable Notes Hedge Transactions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June 25, 2019, concurrently with the pricing of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 Transactions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nine months ended September 30, 2022 are as follows:</w:t>
      </w:r>
    </w:p>
    <w:p>
      <w:pPr>
        <w:spacing w:after="0" w:line="273" w:lineRule="exact"/>
        <w:rPr>
          <w:sz w:val="20"/>
          <w:szCs w:val="20"/>
          <w:color w:val="auto"/>
        </w:rPr>
      </w:pPr>
    </w:p>
    <w:p>
      <w:pPr>
        <w:ind w:left="20"/>
        <w:spacing w:after="0"/>
        <w:tabs>
          <w:tab w:leader="none" w:pos="8280" w:val="left"/>
          <w:tab w:leader="none" w:pos="10320" w:val="left"/>
        </w:tabs>
        <w:rPr>
          <w:sz w:val="20"/>
          <w:szCs w:val="20"/>
          <w:color w:val="auto"/>
        </w:rPr>
      </w:pPr>
      <w:r>
        <w:rPr>
          <w:rFonts w:ascii="Times New Roman" w:cs="Times New Roman" w:eastAsia="Times New Roman" w:hAnsi="Times New Roman"/>
          <w:sz w:val="14"/>
          <w:szCs w:val="14"/>
          <w:color w:val="auto"/>
        </w:rPr>
        <w:t>(Thousands)</w:t>
      </w:r>
      <w:r>
        <w:rPr>
          <w:sz w:val="20"/>
          <w:szCs w:val="20"/>
          <w:color w:val="auto"/>
        </w:rPr>
        <w:tab/>
      </w:r>
      <w:r>
        <w:rPr>
          <w:rFonts w:ascii="Times New Roman" w:cs="Times New Roman" w:eastAsia="Times New Roman" w:hAnsi="Times New Roman"/>
          <w:sz w:val="14"/>
          <w:szCs w:val="14"/>
          <w:b w:val="1"/>
          <w:bCs w:val="1"/>
          <w:color w:val="auto"/>
        </w:rPr>
        <w:t>Fiber Infrastructure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2021</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601,878</w:t>
            </w: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601,878</w:t>
            </w: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 impairment (Note 2)</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(216,000)</w:t>
            </w: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September 30, 2022</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24"/>
                <w:szCs w:val="24"/>
                <w:color w:val="auto"/>
              </w:rPr>
            </w:pPr>
          </w:p>
        </w:tc>
        <w:tc>
          <w:tcPr>
            <w:tcW w:w="28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24"/>
                <w:szCs w:val="24"/>
                <w:color w:val="auto"/>
              </w:rPr>
            </w:pPr>
          </w:p>
        </w:tc>
        <w:tc>
          <w:tcPr>
            <w:tcW w:w="276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20" w:type="dxa"/>
            <w:vAlign w:val="bottom"/>
          </w:tcPr>
          <w:p>
            <w:pPr>
              <w:spacing w:after="0"/>
              <w:rPr>
                <w:sz w:val="18"/>
                <w:szCs w:val="18"/>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43"/>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(105,861)</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Underlying Rights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63"/>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leases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Below-market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liabilities,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remaining weighted average amortization period of the Company’s intangible assets was 14.4 years.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2022 was $7.5 million and $22.3 million, respectively. Amortization expense for the three and nine months ended September 30, 2021 was $4.8 million and $14.3 million, respectively. Amortization expense is estimated to be $29.8 million for the full year of 2022, $29.8 million in 2023, $29.7 million in 2024, $29.7 million in 2025, and $29.7 million for 2026.</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recognize the amortization of below-market leases in revenue. Revenue related to the amortization of the below-market leases for the three and nine months ended September 30, 2022 was $2.7 million and $8.0 million. During the three and nine months ended September 30, 2021, $2.7 million and $8.0 million was recorded as a benefit to amortization expense, and subsequently reclassified to revenue during the fourth quarter of 2021. As of September 30, 2022, the remaining weighted average amortization period of the Company’s intangible liabilities was 17.2 years. Revenue due to the amortization of the below-market leases is estimated to be $10.7 million for the full year of 2022, $10.7 million in 2023, $10.7 million in 2024, $10.7 million in 2025, and $10.7 million in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Notes and Other Debt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are as follows:</w:t>
      </w:r>
    </w:p>
    <w:p>
      <w:pPr>
        <w:spacing w:after="0" w:line="273" w:lineRule="exact"/>
        <w:rPr>
          <w:sz w:val="20"/>
          <w:szCs w:val="20"/>
          <w:color w:val="auto"/>
        </w:rPr>
      </w:pPr>
    </w:p>
    <w:p>
      <w:pPr>
        <w:ind w:left="20"/>
        <w:spacing w:after="0"/>
        <w:tabs>
          <w:tab w:leader="none" w:pos="8300" w:val="left"/>
          <w:tab w:leader="none" w:pos="9900" w:val="left"/>
        </w:tabs>
        <w:rPr>
          <w:sz w:val="20"/>
          <w:szCs w:val="20"/>
          <w:color w:val="auto"/>
        </w:rPr>
      </w:pPr>
      <w:r>
        <w:rPr>
          <w:rFonts w:ascii="Times New Roman" w:cs="Times New Roman" w:eastAsia="Times New Roman" w:hAnsi="Times New Roman"/>
          <w:sz w:val="14"/>
          <w:szCs w:val="14"/>
          <w:color w:val="auto"/>
        </w:rPr>
        <w:t>(Thousands)</w:t>
      </w:r>
      <w:r>
        <w:rPr>
          <w:sz w:val="20"/>
          <w:szCs w:val="20"/>
          <w:color w:val="auto"/>
        </w:rPr>
        <w:tab/>
      </w:r>
      <w:r>
        <w:rPr>
          <w:rFonts w:ascii="Times New Roman" w:cs="Times New Roman" w:eastAsia="Times New Roman" w:hAnsi="Times New Roman"/>
          <w:sz w:val="14"/>
          <w:szCs w:val="14"/>
          <w:b w:val="1"/>
          <w:bCs w:val="1"/>
          <w:color w:val="auto"/>
        </w:rPr>
        <w:t>September 30, 2022</w:t>
      </w:r>
      <w:r>
        <w:rPr>
          <w:sz w:val="20"/>
          <w:szCs w:val="20"/>
          <w:color w:val="auto"/>
        </w:rPr>
        <w:tab/>
      </w:r>
      <w:r>
        <w:rPr>
          <w:rFonts w:ascii="Times New Roman" w:cs="Times New Roman" w:eastAsia="Times New Roman" w:hAnsi="Times New Roman"/>
          <w:sz w:val="14"/>
          <w:szCs w:val="14"/>
          <w:b w:val="1"/>
          <w:bCs w:val="1"/>
          <w:color w:val="auto"/>
        </w:rPr>
        <w:t>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 premium and debt issuance costs</w:t>
            </w: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(84,463)</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less unamortized discount, premium and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5,090,537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color w:val="auto"/>
                <w:w w:val="99"/>
              </w:rPr>
              <w:t>Notes and other debt at September 30, 2022 and December 31, 2021 consisted of the following:</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00" w:type="dxa"/>
            <w:vAlign w:val="bottom"/>
            <w:gridSpan w:val="6"/>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24"/>
                <w:szCs w:val="24"/>
                <w:color w:val="auto"/>
              </w:rPr>
            </w:pPr>
          </w:p>
        </w:tc>
        <w:tc>
          <w:tcPr>
            <w:tcW w:w="278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Premium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Premium and</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0" w:type="dxa"/>
            <w:vAlign w:val="bottom"/>
          </w:tcPr>
          <w:p>
            <w:pPr>
              <w:spacing w:after="0"/>
              <w:rPr>
                <w:sz w:val="1"/>
                <w:szCs w:val="1"/>
                <w:color w:val="auto"/>
              </w:rPr>
            </w:pP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- 7.875%, due February 15, 2025</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8.38%)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0" w:type="dxa"/>
            <w:vAlign w:val="bottom"/>
          </w:tcPr>
          <w:p>
            <w:pPr>
              <w:spacing w:after="0"/>
              <w:rPr>
                <w:sz w:val="1"/>
                <w:szCs w:val="1"/>
                <w:color w:val="auto"/>
              </w:rPr>
            </w:pPr>
          </w:p>
        </w:tc>
      </w:tr>
      <w:tr>
        <w:trPr>
          <w:trHeight w:val="23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5.04%)</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0" w:type="dxa"/>
            <w:vAlign w:val="bottom"/>
          </w:tcPr>
          <w:p>
            <w:pPr>
              <w:spacing w:after="0"/>
              <w:rPr>
                <w:sz w:val="1"/>
                <w:szCs w:val="1"/>
                <w:color w:val="auto"/>
              </w:rPr>
            </w:pPr>
          </w:p>
        </w:tc>
      </w:tr>
      <w:tr>
        <w:trPr>
          <w:trHeight w:val="24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- 4.00%, due June 15, 2024</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4.77%)</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3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6.83%)</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0" w:type="dxa"/>
            <w:vAlign w:val="bottom"/>
          </w:tcPr>
          <w:p>
            <w:pPr>
              <w:spacing w:after="0"/>
              <w:rPr>
                <w:sz w:val="1"/>
                <w:szCs w:val="1"/>
                <w:color w:val="auto"/>
              </w:rPr>
            </w:pPr>
          </w:p>
        </w:tc>
      </w:tr>
      <w:tr>
        <w:trPr>
          <w:trHeight w:val="24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6.27%)</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0" w:type="dxa"/>
            <w:vAlign w:val="bottom"/>
          </w:tcPr>
          <w:p>
            <w:pPr>
              <w:spacing w:after="0"/>
              <w:rPr>
                <w:sz w:val="1"/>
                <w:szCs w:val="1"/>
                <w:color w:val="auto"/>
              </w:rPr>
            </w:pPr>
          </w:p>
        </w:tc>
      </w:tr>
      <w:tr>
        <w:trPr>
          <w:trHeight w:val="21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10, 2024</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September 30, 2022, notes and other debt included the following: (i) $275.0 million under the Revolving Credit Facility (as defined below) pursuant to the credit agreement by and among Uniti Group LP, Uniti Group Finance 2019 Inc. and CSL Capital, LLC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 4.75% Senior Secured Notes due 2028 (the “2028 Secured Notes”); (iv) $1.11 billion aggregate principal amount of 6.50% Senior Notes due February 15, 2029 (the “2029 Notes”); and (v) $345.0 million aggregate principal amount of 4.00% Exchangeable Senior Notes due June 15, 2024 (the “Exchangeable Notes”); and (vi) $700.0 million aggregate principal amount of 6.00% Senior Unsecured Notes due January 15, 2030 (the “2030 Notes” and collectively with the 2025 Secured Notes, the 2028 Secured Notes, the 2029 Notes and the Exchangeable Notes, the “Notes”). The terms of the Notes are as described in the Company’s Annual Report on Form 10-K for the year ended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Borrowers are party to the Credit Agreement, which provides for a $500 million revolving credit facility that will mature on December 10, 2024 (the “Revolving Credit Facility”) and provides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2022, the Borrowers were in compliance with all of the covenants under the Credit Agreement.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For the three and nine months ended September 30, 2022, we recognized $4.4 million and $13.0 million, respectively, of non-cash interest expense related to the amortization of deferred financing costs. For the three and nine months ended September 30, 2021, we recognized $4.2 million and $12.4 million, respectively, of non-cash interest expense related to the amortization of deferred financing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dilutive effect of the Exchangeable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Times New Roman" w:cs="Times New Roman" w:eastAsia="Times New Roman" w:hAnsi="Times New Roman"/>
          <w:sz w:val="18"/>
          <w:szCs w:val="18"/>
          <w:u w:val="single" w:color="auto"/>
          <w:color w:val="0000FF"/>
        </w:rPr>
        <w:t>see Note 8</w:t>
      </w:r>
      <w:r>
        <w:rPr>
          <w:rFonts w:ascii="Times New Roman" w:cs="Times New Roman" w:eastAsia="Times New Roman" w:hAnsi="Times New Roman"/>
          <w:sz w:val="18"/>
          <w:szCs w:val="18"/>
          <w:color w:val="auto"/>
        </w:rPr>
        <w:t>) is calculated using the treasury-stock method. During the three and nine months ended September 30, 2022 and 2021, the Warrants were excluded from diluted shares outstanding because the exercise price exceeded the average market price of our common stock for the reporting period.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shareholders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common shares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235,483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232,269</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7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shareholders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common shares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235,483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dilutive earnings per common share</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264,421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235,483</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232,540</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847,147 non-participating securities were excluded from the computation of earnings per share, as their effect would have been anti-dilutive. For the three and nine months ended September 30, 2022, 31,691,390 potential common shares related to the Exchangeable Notes were excluded from the computation of earnings per share, as their effect would have been anti-dilutive. For the nine months ended September 30, 2021, 30,569,588 potential common shares related to the Exchangeable Notes were excluded from the computation of earnings per share, as their effect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color w:val="auto"/>
        </w:rPr>
        <w:t>: Represents the operations of our leasing business, Uniti Leasing, which is engaged in the acquisition and construction of mission-critical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color w:val="auto"/>
        </w:rPr>
        <w:t>: Represents the operations of our fiber business, Uniti Fiber, which is a leading provider of infrastructure solutions, including cell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backhaul and dark fiber, to the telecommunications industry.</w:t>
      </w:r>
    </w:p>
    <w:p>
      <w:pPr>
        <w:spacing w:after="0" w:line="158"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our corporate office and shared service functions. Certain costs and expenses, primarily related to headcount,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and similar charges, that are directly attributable to operations of our business segments are allocated to the respective segments.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three and nine months ended September 30,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266,747</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602,531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677,006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807,513</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ind w:right="620"/>
        <w:spacing w:after="0" w:line="312" w:lineRule="auto"/>
        <w:rPr>
          <w:sz w:val="20"/>
          <w:szCs w:val="20"/>
          <w:color w:val="auto"/>
        </w:rPr>
      </w:pPr>
      <w:r>
        <w:rPr>
          <w:rFonts w:ascii="Times New Roman" w:cs="Times New Roman" w:eastAsia="Times New Roman" w:hAnsi="Times New Roman"/>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Commitments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the consummation of our settlement agreement with Windstream, including entry into the Windstream Leases, we are obligated to make $490.1 million of cash payments to Windstream in equal installments over 20 consecutive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quarters beginning in October 2020, and Uniti may prepay any installments due on or after the first anniversary of the settlement agreement (discounted at a 9% rate). On October 14, 2021, the Company prepaid four installments for a total of $92.9 million. As of September 30, 2022, the Company has made payments totaling $215.4 million.</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Further, we are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$225 million in 2021, and are limited to $225 million per year in 2022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nine months ended September 30, 2022, Uniti reimbursed $158.1 million of Growth Capital Improvements, of which $30.6 million represented the reimbursement of capital improvements completed in 2021 that were previously classified as tenant funded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$0.8 million and reported within other assets on our Condensed Consolidated Balance Sheets as of September 30, 2022, will be amortized as a reduction to revenue over the initial term of the Windstream Leases.</w:t>
      </w:r>
    </w:p>
    <w:p>
      <w:pPr>
        <w:spacing w:after="0" w:line="1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Litigation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“true lease.” The amended complaint sought compensatory and punitive damages, as well as reformation of the purchase agreement for the sale. On December 18, 2019, Defendants moved to dismiss the amended complaint in its entirety. On November 4, 2020, the court granted the Defendants’ motion and dismissed SLF’s amended complaint, in its entirety, with prejudice. On December 1, 2020, SLF filed a notice of appeal to the United States Court of Appeals for the Third Circuit from the district court’s dismissal order. On August 17, 2022, the Court of Appeals for the Third Circuit denied SLF's appeal. We have evaluated this matter under the guidance provided by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Sheets.</w:t>
      </w:r>
    </w:p>
    <w:p>
      <w:pPr>
        <w:spacing w:after="0" w:line="202"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 xml:space="preserve">Beginning on October 25, 2019, several purported shareholders filed separate putative class actions in the U.S. District Court for the Eastern District of Arkansas against the Company and certain of our officers, alleging violations of the federal securities laws based on claims similar to those asserted in the SLF Action. On March 12, 2020, the U.S. District Court for the Eastern District of Arkansas consolidated the Shareholder Actions and appointed lead plaintiffs and lead counsel in the consolidated cases under the caption </w:t>
      </w:r>
      <w:r>
        <w:rPr>
          <w:rFonts w:ascii="Times New Roman" w:cs="Times New Roman" w:eastAsia="Times New Roman" w:hAnsi="Times New Roman"/>
          <w:sz w:val="18"/>
          <w:szCs w:val="18"/>
          <w:i w:val="1"/>
          <w:iCs w:val="1"/>
          <w:color w:val="auto"/>
        </w:rPr>
        <w:t>In re Uniti Group Inc. Securities Litigation</w:t>
      </w:r>
      <w:r>
        <w:rPr>
          <w:rFonts w:ascii="Times New Roman" w:cs="Times New Roman" w:eastAsia="Times New Roman" w:hAnsi="Times New Roman"/>
          <w:sz w:val="18"/>
          <w:szCs w:val="18"/>
          <w:color w:val="auto"/>
        </w:rPr>
        <w:t xml:space="preserve"> (the “Class Action”). On May 11, 2020, lead plaintiffs filed a consolidated amended complaint in the Class Action. The consolidated amended complaint seeks to represent investors who acquired the Company’s securities between April 20, 2015 and February 15, 2019. The Class Action asserts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Class Action seeks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On October 25, 2021, plaintiffs filed a motion for class certification, which defendants opposed. On December 22, 2021, the court issued an order denying defendants’ motion for reconsideration or, in the alternative, certification of an appeal. On March 25, 2022, the parties reached an agreement to settle the Class Action, on behalf of a settlement class, for $38.9 million, to be funded entirely by the Company’s insurance carriers. On June 17, 2022, the parties signed a stipulation of settlement and plaintiffs moved for preliminary approval of the settlement. The court granted preliminary approval on July 20, 2022. The settlement remains subject to final court approval. In accordance with ASC 450, we recorded $38.9 million of settlement expense within general and administrative expense within our Condensed Consolidated Statements of Income during the first quarter of 2022 and accounts payable, accrued expenses and other liabilities, net within our Condensed Consolidated Balance Sheets as of September 30, 2022. Additionally, we recorded the probable insurance recovery of $38.9 million as a reduction to general and administrative expense during the first quarter of 2022 within our Condensed Consolidated Statements of Income, and other assets within Condensed Consolidated Balance Sheets as of September 30, 2022.</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August 17, 2021, two purported shareholders filed a derivative action on behalf of Uniti in the Circuit Court for Baltimore City, Maryland, under the caption </w:t>
      </w:r>
      <w:r>
        <w:rPr>
          <w:rFonts w:ascii="Times New Roman" w:cs="Times New Roman" w:eastAsia="Times New Roman" w:hAnsi="Times New Roman"/>
          <w:sz w:val="18"/>
          <w:szCs w:val="18"/>
          <w:i w:val="1"/>
          <w:iCs w:val="1"/>
          <w:color w:val="auto"/>
        </w:rPr>
        <w:t>Mayer et al. v. Gunderman et al.</w:t>
      </w:r>
      <w:r>
        <w:rPr>
          <w:rFonts w:ascii="Times New Roman" w:cs="Times New Roman" w:eastAsia="Times New Roman" w:hAnsi="Times New Roman"/>
          <w:sz w:val="18"/>
          <w:szCs w:val="18"/>
          <w:color w:val="auto"/>
        </w:rPr>
        <w:t>, 24-C-21-003488 (the “Mayer Derivative Action”). The Mayer Derivative Action names Kenneth Gunderman and Mark Wallace as defendants and the Company as a nominal defendant and asserts claims for breach of fiduciary duty and unjust enrichment. The complaint alleges that the individual defendants caused the Company to issue certain false and misleading statements relating to the Spin-Off and/or the Master Lease. In particular, as in the Shareholder Actions, the complaint alleges, among other things, that defendants failed to disclose the risk that the Spin-Off and entry into the Master Lease violated certain debt covenants of Windstream and/or the risk that the Master Lease purportedly could be recharacterized as a financing instead of a “true lease.” The complaint seeks unspecified damages, unspecified equitable relief, and related costs and fees. On December 23, 2021, the court entered a joint stipulation to stay the Mayer Derivative Action, including the time for the defendants to respond to the complaint, pending the outcome of the Class Action. Because this matter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Sheets.</w:t>
      </w:r>
    </w:p>
    <w:p>
      <w:pPr>
        <w:spacing w:after="0" w:line="19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On February 11, 2022, a purported shareholder filed a derivative action on behalf of Uniti in the federal District Court for the District of Maryland, under the caption </w:t>
      </w:r>
      <w:r>
        <w:rPr>
          <w:rFonts w:ascii="Times New Roman" w:cs="Times New Roman" w:eastAsia="Times New Roman" w:hAnsi="Times New Roman"/>
          <w:sz w:val="18"/>
          <w:szCs w:val="18"/>
          <w:i w:val="1"/>
          <w:iCs w:val="1"/>
          <w:color w:val="auto"/>
        </w:rPr>
        <w:t>Guzzo et al. v. Gunderman et al.</w:t>
      </w:r>
      <w:r>
        <w:rPr>
          <w:rFonts w:ascii="Times New Roman" w:cs="Times New Roman" w:eastAsia="Times New Roman" w:hAnsi="Times New Roman"/>
          <w:sz w:val="18"/>
          <w:szCs w:val="18"/>
          <w:color w:val="auto"/>
        </w:rPr>
        <w:t>, 1:22-cv-00366-GLR (the “Guzzo Derivative Action”). The complaint names Kenneth Gunderman, Mark Wallace, Francis Frantz, David Solomon, Jennifer Banner, and Scott Bruce as defendants and the Company as a nominal defendant and asserts claims for contribution against Gunderman and Wallace if the Company is found to be liable for violations of the federal securities laws in the Class Action and claims against all the individual defendants for breaches of fiduciary duty, waste of corporate assets, and unjust enrichment. The allegations in the Guzzo Derivative Action are similar to those in the Mayer Derivative Action and the Class Action. The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complaint seeks unspecified damages, equitable relief, and related costs and fees. On March 16, 2022, the court entered a joint stipulation to stay the Guzzo Derivative Action, including the time for the defendants to respond to the complaint, pending the outcome of the Class Action. We intend to defend this matter vigorously, and, because it is still in its relatively early stages, we have not yet determined what effect this lawsuit will have, if any, on our financial position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insurance policies that would provide coverage to various degrees for potential liabilities arising from the legal proceedings described above.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Sheets as of September 30,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is as follows for the three and nine months ended September 30,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changes in fair value: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 attributable to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 attributable to shareholders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termination:</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 attributable to shareholders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0" w:type="dxa"/>
            <w:vAlign w:val="bottom"/>
          </w:tcPr>
          <w:p>
            <w:pPr>
              <w:spacing w:after="0"/>
              <w:rPr>
                <w:sz w:val="1"/>
                <w:szCs w:val="1"/>
                <w:color w:val="auto"/>
              </w:rPr>
            </w:pPr>
          </w:p>
        </w:tc>
      </w:tr>
      <w:tr>
        <w:trPr>
          <w:trHeight w:val="211"/>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0" w:type="dxa"/>
            <w:vAlign w:val="bottom"/>
          </w:tcPr>
          <w:p>
            <w:pPr>
              <w:spacing w:after="0"/>
              <w:rPr>
                <w:sz w:val="1"/>
                <w:szCs w:val="1"/>
                <w:color w:val="auto"/>
              </w:rPr>
            </w:pPr>
          </w:p>
        </w:tc>
      </w:tr>
      <w:tr>
        <w:trPr>
          <w:trHeight w:val="211"/>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 attributable to shareholders</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Capital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limited partner equity interests in our operating partnership (commonly called “OP Units”), are exchangeable on a one-for-one basis for shares of our common stock or, at our election, cash of equivalent value. No OP Units held by third parties were exchanged during the three months ended September 30, 2022. During the nine months ended September 30, 2022, the Company exchanged 591,349 OP Units held by third parties, of which 244,683 OP Units were exchanged for an equal number of common shares of the Company and 346,667 OP Units were exchanged for cash consideration of $4.6 million, representing approximately 85% of the OP Units held by third parties with a carrying value of $11.9 million as of the exchange dates.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2022.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25, 2022, as amended by Amendment No. 1 thereto filed on Form 10-K/A with the SEC on March 22, 2022 (the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leasing business, Uniti Leasing,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September 30, 2022, we are the sole general partner of the Operating Partnership and own approximately 99.96% of the partnership interests in the Operating Partnership. In addition, we have undertaken a series of transactions to permit us to hold certain assets through subsidiaries that are taxed as REITs, which may also facilitate future acquisition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grow and diversify our portfolio and tenant base by pursuing a range of transaction structures with communication service providers, including</w:t>
      </w:r>
    </w:p>
    <w:p>
      <w:pPr>
        <w:spacing w:after="0" w:line="27" w:lineRule="exact"/>
        <w:rPr>
          <w:sz w:val="20"/>
          <w:szCs w:val="20"/>
          <w:color w:val="auto"/>
        </w:rPr>
      </w:pPr>
    </w:p>
    <w:p>
      <w:pPr>
        <w:jc w:val="both"/>
        <w:ind w:right="8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acquisition transactions as a capital partner, including through operating company-property company (“OpCo-PropCo”) structures.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as the two reportable business segments, in addition to our corporate operations, which include: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Leasing Segment</w:t>
      </w:r>
      <w:r>
        <w:rPr>
          <w:rFonts w:ascii="Times New Roman" w:cs="Times New Roman" w:eastAsia="Times New Roman" w:hAnsi="Times New Roman"/>
          <w:sz w:val="18"/>
          <w:szCs w:val="18"/>
          <w:color w:val="auto"/>
        </w:rPr>
        <w:t>: Represents the operations of our leasing business, Uniti Leasing, which is engaged in the acquisition and construction of mission-critical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TRSs.</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 Segment</w:t>
      </w:r>
      <w:r>
        <w:rPr>
          <w:rFonts w:ascii="Times New Roman" w:cs="Times New Roman" w:eastAsia="Times New Roman" w:hAnsi="Times New Roman"/>
          <w:sz w:val="18"/>
          <w:szCs w:val="18"/>
          <w:color w:val="auto"/>
        </w:rPr>
        <w:t>: Represents the operations of our fiber business, Uniti Fiber, which is a leading provider of infrastructure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 site backhaul and dark fiber, to the telecommunications industry.</w:t>
      </w:r>
    </w:p>
    <w:p>
      <w:pPr>
        <w:spacing w:after="0" w:line="15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 Operations</w:t>
      </w:r>
      <w:r>
        <w:rPr>
          <w:rFonts w:ascii="Times New Roman" w:cs="Times New Roman" w:eastAsia="Times New Roman" w:hAnsi="Times New Roman"/>
          <w:sz w:val="18"/>
          <w:szCs w:val="18"/>
          <w:color w:val="auto"/>
        </w:rPr>
        <w:t>: Represents our corporate office and shared service functions. Certain costs and expenses, primarily related to headcount,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systems, insurance, professional fees and similar charges, that are directly attributable to operations of our business segments are allocated to the respective segments.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12 to our accompanying Condensed Consolidated Financial Statements contained in Part I, Item 1 of this Quarterly Report on Form 10-Q.</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80" w:type="dxa"/>
            <w:vAlign w:val="bottom"/>
          </w:tcPr>
          <w:p>
            <w:pPr>
              <w:spacing w:after="0"/>
              <w:rPr>
                <w:sz w:val="16"/>
                <w:szCs w:val="16"/>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5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9.4%</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5"/>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6"/>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155"/>
        </w:trPr>
        <w:tc>
          <w:tcPr>
            <w:tcW w:w="51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 from</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6"/>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(0.9%)</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6"/>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6"/>
              </w:rPr>
              <w:t>(0.2%)</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6"/>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6"/>
              </w:rPr>
              <w:t>(0.1%)</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0.0%</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Adjusted EBITDA and net income of our reportable segments for the three months ended September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 w:type="dxa"/>
            <w:vAlign w:val="bottom"/>
          </w:tcPr>
          <w:p>
            <w:pPr>
              <w:spacing w:after="0"/>
              <w:rPr>
                <w:sz w:val="16"/>
                <w:szCs w:val="16"/>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208,623</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203,209</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225,053</w:t>
            </w:r>
          </w:p>
        </w:tc>
        <w:tc>
          <w:tcPr>
            <w:tcW w:w="0" w:type="dxa"/>
            <w:vAlign w:val="bottom"/>
          </w:tcPr>
          <w:p>
            <w:pPr>
              <w:spacing w:after="0"/>
              <w:rPr>
                <w:sz w:val="1"/>
                <w:szCs w:val="1"/>
                <w:color w:val="auto"/>
              </w:rPr>
            </w:pPr>
          </w:p>
        </w:tc>
      </w:tr>
      <w:tr>
        <w:trPr>
          <w:trHeight w:val="250"/>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0" w:type="dxa"/>
            <w:vAlign w:val="bottom"/>
          </w:tcPr>
          <w:p>
            <w:pPr>
              <w:spacing w:after="0"/>
              <w:rPr>
                <w:sz w:val="1"/>
                <w:szCs w:val="1"/>
                <w:color w:val="auto"/>
              </w:rPr>
            </w:pPr>
          </w:p>
        </w:tc>
      </w:tr>
      <w:tr>
        <w:trPr>
          <w:trHeight w:val="257"/>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0" w:type="dxa"/>
            <w:vAlign w:val="bottom"/>
          </w:tcPr>
          <w:p>
            <w:pPr>
              <w:spacing w:after="0"/>
              <w:rPr>
                <w:sz w:val="1"/>
                <w:szCs w:val="1"/>
                <w:color w:val="auto"/>
              </w:rPr>
            </w:pPr>
          </w:p>
        </w:tc>
      </w:tr>
      <w:tr>
        <w:trPr>
          <w:trHeight w:val="256"/>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63"/>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57"/>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56"/>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266,747</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194,303</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27,556</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217,227</w:t>
            </w:r>
          </w:p>
        </w:tc>
        <w:tc>
          <w:tcPr>
            <w:tcW w:w="0" w:type="dxa"/>
            <w:vAlign w:val="bottom"/>
          </w:tcPr>
          <w:p>
            <w:pPr>
              <w:spacing w:after="0"/>
              <w:rPr>
                <w:sz w:val="1"/>
                <w:szCs w:val="1"/>
                <w:color w:val="auto"/>
              </w:rPr>
            </w:pPr>
          </w:p>
        </w:tc>
      </w:tr>
      <w:tr>
        <w:trPr>
          <w:trHeight w:val="250"/>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0" w:type="dxa"/>
            <w:vAlign w:val="bottom"/>
          </w:tcPr>
          <w:p>
            <w:pPr>
              <w:spacing w:after="0"/>
              <w:rPr>
                <w:sz w:val="1"/>
                <w:szCs w:val="1"/>
                <w:color w:val="auto"/>
              </w:rPr>
            </w:pPr>
          </w:p>
        </w:tc>
      </w:tr>
      <w:tr>
        <w:trPr>
          <w:trHeight w:val="257"/>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0" w:type="dxa"/>
            <w:vAlign w:val="bottom"/>
          </w:tcPr>
          <w:p>
            <w:pPr>
              <w:spacing w:after="0"/>
              <w:rPr>
                <w:sz w:val="1"/>
                <w:szCs w:val="1"/>
                <w:color w:val="auto"/>
              </w:rPr>
            </w:pPr>
          </w:p>
        </w:tc>
      </w:tr>
      <w:tr>
        <w:trPr>
          <w:trHeight w:val="256"/>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0" w:type="dxa"/>
            <w:vAlign w:val="bottom"/>
          </w:tcPr>
          <w:p>
            <w:pPr>
              <w:spacing w:after="0"/>
              <w:rPr>
                <w:sz w:val="1"/>
                <w:szCs w:val="1"/>
                <w:color w:val="auto"/>
              </w:rPr>
            </w:pPr>
          </w:p>
        </w:tc>
      </w:tr>
      <w:tr>
        <w:trPr>
          <w:trHeight w:val="257"/>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56"/>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56"/>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Operating Metrics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Operating Metrics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 Increase /</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Fiber strand miles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w w:val="95"/>
              </w:rPr>
              <w:t>5.1%</w:t>
            </w:r>
          </w:p>
        </w:tc>
        <w:tc>
          <w:tcPr>
            <w:tcW w:w="0" w:type="dxa"/>
            <w:vAlign w:val="bottom"/>
          </w:tcPr>
          <w:p>
            <w:pPr>
              <w:spacing w:after="0"/>
              <w:rPr>
                <w:sz w:val="1"/>
                <w:szCs w:val="1"/>
                <w:color w:val="auto"/>
              </w:rPr>
            </w:pPr>
          </w:p>
        </w:tc>
      </w:tr>
      <w:tr>
        <w:trPr>
          <w:trHeight w:val="229"/>
        </w:trPr>
        <w:tc>
          <w:tcPr>
            <w:tcW w:w="5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Copper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0.0%</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Fiber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9.7%</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Customer connections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w w:val="95"/>
              </w:rPr>
              <w:t>6.6%</w:t>
            </w:r>
          </w:p>
        </w:tc>
        <w:tc>
          <w:tcPr>
            <w:tcW w:w="0" w:type="dxa"/>
            <w:vAlign w:val="bottom"/>
          </w:tcPr>
          <w:p>
            <w:pPr>
              <w:spacing w:after="0"/>
              <w:rPr>
                <w:sz w:val="1"/>
                <w:szCs w:val="1"/>
                <w:color w:val="auto"/>
              </w:rPr>
            </w:pPr>
          </w:p>
        </w:tc>
      </w:tr>
      <w:tr>
        <w:trPr>
          <w:trHeight w:val="52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8"/>
              </w:rPr>
              <w:t>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8"/>
              </w:rPr>
              <w:t>74.8%</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color w:val="auto"/>
                <w:w w:val="98"/>
              </w:rPr>
              <w:t>26.3%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25.2%</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97"/>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266,747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revenues are primarily attributable to rental revenue from leasing our Distribution Systems to Windstream pursuant to the Windstream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2022 is $668.9 million and is subject to annual escalation at a rate of 0.5%. For a description of the Windstream Leases, see “Liquidity and Capital Resources—Windstream Master Lease and Windstream Leases” below.</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Master Lease and Windstream Leases.”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8"/>
              </w:rPr>
              <w:t>83.5%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revenue</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171,414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w w:val="98"/>
              </w:rPr>
              <w:t>83.5%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5"/>
              </w:rPr>
              <w:t>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5"/>
              </w:rPr>
              <w:t>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8.0%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8"/>
              </w:rPr>
              <w:t>91.8%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Leasing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TCI revenue is attributable to continued investment by Windstream. As of September 30, 2022 and 2021, the total amount invested in TCIs by Windstream since the inception of the Windstream Leases and Master Lease was $1.1 billion and $986.7 million,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GCI revenue is attributable to Uniti’s continued reimbursement of Growth Capital Improvements. During the three months ended September 30, 2022, Uniti reimbursed $66.4 million of Growth Capital Improvements. Subsequent to September 30, 2022, Windstream requested, and we reimbursed $27.4 million of qualifying Growth Capital Improvements. As of the date of this Quarterly Report on Form 10-Q, we have reimbursed a total of $491.7 million of Growth Capital Improvements.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recognized $20.4 million and $16.3 million of revenues from other services including non-Windstream triple-net leasing and dark fiber indefeasible rights of use (“IRU”) arrangements for the three months ended September 30, 2022 and 2021, respectively.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Additionally,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Windstream audited financial statements as of December 31, 2021, and for the year ended December 31, 2021, as of December 31, 2020 and for the period from September 22, 2020 to December 31, 2020 and for the period from January 1, 2020 to September 21, 2020 and for the year ended December 31, 2019 are included as an exhibit to our Annual Report. On September 22, 2020, Windstream filed a Form 15 to terminate all filing obligations under Section 12(g) and 15(d) under the Exchange Act. Windstream filings are not incorporated by reference in this Quarterly Report on Form 10-Q.</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Fiber Infrastructure revenues for the three months ended September 30, 2022 and 2021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5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Fiber Infrastructure 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w w:val="98"/>
              </w:rPr>
              <w:t>26.8%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28.8%</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8"/>
              </w:rPr>
              <w:t>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w w:val="98"/>
              </w:rPr>
              <w:t>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20.1%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8"/>
              </w:rPr>
              <w:t>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18.8%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Fiber Infrastructure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2022, Fiber Infrastructure revenues totaled $74.5 million as compared to $67.3 million for the three months ended September 30, 2021. Fiber Infrastructure revenues increased $7.2 million, primarily due to an increase in one-time early termination revenues of $4.0 million within dark fiber and small cells revenues and an increase of $2.4 million within Enterprise and Wholesale revenues primarily due to increased customer connections.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72"/>
              <w:spacing w:after="0" w:line="158" w:lineRule="exact"/>
              <w:rPr>
                <w:sz w:val="20"/>
                <w:szCs w:val="20"/>
                <w:color w:val="auto"/>
              </w:rPr>
            </w:pPr>
            <w:r>
              <w:rPr>
                <w:rFonts w:ascii="Times New Roman" w:cs="Times New Roman" w:eastAsia="Times New Roman" w:hAnsi="Times New Roman"/>
                <w:sz w:val="14"/>
                <w:szCs w:val="14"/>
                <w:b w:val="1"/>
                <w:bCs w:val="1"/>
                <w:color w:val="auto"/>
              </w:rPr>
              <w:t>% Increase /</w:t>
            </w: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30"/>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Tender premium payment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rate swap termination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6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6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6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increased $2.9 million compared to the three months ended September 30, 2021. The increase is primarily attributable to higher cash interest expense of $3.1 million, a $1.2 million decrease in accretion expense associated with the settlement payable, and a $0.8 million decrease in capitalized interest during the three months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74"/>
              <w:spacing w:after="0" w:line="158" w:lineRule="exact"/>
              <w:rPr>
                <w:sz w:val="20"/>
                <w:szCs w:val="20"/>
                <w:color w:val="auto"/>
              </w:rPr>
            </w:pPr>
            <w:r>
              <w:rPr>
                <w:rFonts w:ascii="Times New Roman" w:cs="Times New Roman" w:eastAsia="Times New Roman" w:hAnsi="Times New Roman"/>
                <w:sz w:val="14"/>
                <w:szCs w:val="14"/>
                <w:b w:val="1"/>
                <w:bCs w:val="1"/>
                <w:color w:val="auto"/>
              </w:rPr>
              <w:t>% Increase /</w:t>
            </w: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depreciation expense decreased $1.0 million for the three months ended September 30, 2022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is primarily attributable to an increase in fully depreciated Windstream Distribution System assets of $1.1 million, partially offset by a $0.2 million increase related to asset additions since September 30, 2021. During the three months ended September 30, 2021, $2.7 million was recorded as a benefit to amortization expense, and subsequently reclassified to revenue during the fourth quarter of 2021.</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Fiber Infrastructure depreciation expense increased $1.3 million for the three months ended September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2021. The increase in depreciation expense is primarily attributable to asset additions since September 30,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5"/>
              </w:rPr>
              <w:t>0.8%</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5.1%</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5"/>
              </w:rPr>
              <w:t>3.5%</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general and administrative expense increased $1.1 million for the three months ended September 30, 2022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The increase is primarily attributable to a $0.7 million increase in personnel expenses driven by incremental customer growth, a $0.1 million increase in legal fees, and a $0.3 million increase in other operating expenses.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Fiber Infrastructure general and administrative expense increased $1.4 million for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2021. This increase is primarily attributable to a $0.5 million increase in advertising expenses, a $0.4 million increase in regulatory and professional fees, a $0.2 million increase in personnel expenses driven by incremental customer growth, and a $0.3 million increase in other operating expenses.</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decreased $0.7 million for the three months ended September 30,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The decrease is primarily attributable to a $1.2 million decrease in personnel expenses, partially offset by a $0.2 million increase in computer software and maintenance expenses and a $0.1 increase in facility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expense for the three months ended September 30, 2022 increased by $2.1 million from the three months ended September 30, 2021. Operating expense for our reportable segments for the three months ended September 30, 2022 and 2021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1.9%</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w w:val="98"/>
              </w:rPr>
              <w:t>11.1%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10.9%</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w w:val="98"/>
              </w:rPr>
              <w:t>12.8%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operating expense decreased $0.5 million for the three months ended September 30, 2022 and as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is primarily driven by lower network related expenses of $0.6 million.</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Infrastructure operating expenses increased $2.6 million for the three months ended September 30,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Operating expense consists of network related costs, such as dark fiber and tower rents, lit service and maintenance expense and costs associated with our construction activities. The increase in operating expenses is primarily attributable to increases in personnel expense of $1.2 million, dark fiber early termination fees of $0.6 million, property taxes of $0.4 million, and unsplicing expenses of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-575310</wp:posOffset>
            </wp:positionV>
            <wp:extent cx="13716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As a result of macroeconomic and financial market factors, specifically increased interest rates impacting our discount rate, we concluded that it was more likely than not that the fair value of the Fiber Infrastructure reporting unit, estimated using a combination of the income approach and market approach, is less that its carrying amount. Accordingly, we recorded a $216.0 million goodwill impairment in the Fiber Infrastructure reporting unit during the three</w:t>
      </w:r>
    </w:p>
    <w:p>
      <w:pPr>
        <w:spacing w:after="0" w:line="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months ended September 30, 2022. See Note 2 of Notes to Condensed Consolidated Financial Statements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enterprise resource planning system. For the three months ended September 30, 2022, we incurred $2.4 million of transaction related and other costs, compared to $1.1 million of such costs during the three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recorded for the three months ended September 30, 2022 and 2021, respectively, is related to the tax impact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Pre-tax loss (Fiber Infrastructure)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 on sale of unconsolidated entity</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undistributed REIT taxable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REIT state and local taxes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300" w:type="dxa"/>
            <w:vAlign w:val="bottom"/>
          </w:tcPr>
          <w:p>
            <w:pPr>
              <w:spacing w:after="0"/>
              <w:rPr>
                <w:sz w:val="16"/>
                <w:szCs w:val="16"/>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73.2%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73.1%</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26.8%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8"/>
              </w:rPr>
              <w:t>26.9%</w:t>
            </w:r>
          </w:p>
        </w:tc>
        <w:tc>
          <w:tcPr>
            <w:tcW w:w="0" w:type="dxa"/>
            <w:vAlign w:val="bottom"/>
          </w:tcPr>
          <w:p>
            <w:pPr>
              <w:spacing w:after="0"/>
              <w:rPr>
                <w:sz w:val="1"/>
                <w:szCs w:val="1"/>
                <w:color w:val="auto"/>
              </w:rPr>
            </w:pPr>
          </w:p>
        </w:tc>
      </w:tr>
      <w:tr>
        <w:trPr>
          <w:trHeight w:val="223"/>
        </w:trPr>
        <w:tc>
          <w:tcPr>
            <w:tcW w:w="5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34.3%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42.3%</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25.7%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8"/>
              </w:rPr>
              <w:t>26.2%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12.8%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8"/>
              </w:rPr>
              <w:t>13.1%</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25.6%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8"/>
              </w:rPr>
              <w:t>89.2%</w:t>
            </w:r>
          </w:p>
        </w:tc>
        <w:tc>
          <w:tcPr>
            <w:tcW w:w="0" w:type="dxa"/>
            <w:vAlign w:val="bottom"/>
          </w:tcPr>
          <w:p>
            <w:pPr>
              <w:spacing w:after="0"/>
              <w:rPr>
                <w:sz w:val="1"/>
                <w:szCs w:val="1"/>
                <w:color w:val="auto"/>
              </w:rPr>
            </w:pPr>
          </w:p>
        </w:tc>
      </w:tr>
      <w:tr>
        <w:trPr>
          <w:trHeight w:val="156"/>
        </w:trPr>
        <w:tc>
          <w:tcPr>
            <w:tcW w:w="51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 from</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8"/>
              </w:rPr>
              <w:t>11.0%</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8"/>
              </w:rPr>
              <w:t>10.9%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Adjusted EBITDA and net income of our reportable segments for the nine months ended September 30, 2022 and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677,006</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217,276</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807,513</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211,165</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w w:val="98"/>
              </w:rPr>
              <w:t>73.2%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8"/>
              </w:rPr>
              <w:t>73.1%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w w:val="98"/>
              </w:rPr>
              <w:t>26.8%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26.9%</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845,112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w w:val="97"/>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revenues for the nine months ended September 30, 2022 and 2021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8"/>
              </w:rPr>
              <w:t>84.5%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revenue</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510,124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498,896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w w:val="98"/>
              </w:rPr>
              <w:t>84.5%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5"/>
              </w:rPr>
              <w:t>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5"/>
              </w:rPr>
              <w:t>1.3%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8"/>
              </w:rPr>
              <w:t>92.4%</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Leasing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618,878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590,478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TCI revenue is attributable to continued investment by Windstream. As of September 30, 2022 and 2021, the total amount invested in TCIs by Windstream since the inception of the Windstream Leases and Master Lease was $1.1 billion and $986.7 million,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GCI revenue is attributable to Uniti’s continued reimbursement of Growth Capital Improvements. During the nine months ended September 30, 2022, Uniti reimbursed $158.1 million of Growth Capital Improvements. Subsequent to September 30, 2022, Windstream requested, and we reimbursed $27.4 million of qualifying Growth Capital Improvements. As of the date of this Quarterly Report on Form 10-Q, we have reimbursed a total of $491.7 million of Growth Capital Improvements.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recognized $57.8 million and $44.7 million of revenues from non-Windstream triple-net leasing, dark fiber IRU arrangements, and other services for the nine months ended September 30, 2022 and 2021, respectively. The increase is primarily related to continued lease-up of our network to new customers.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Fiber Infrastructure revenues for the nine months ended September 30, 2022 and 2021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Fiber Infrastructure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29.1%</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22.5%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16.2%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w w:val="95"/>
              </w:rPr>
              <w:t>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Fiber Infrastructure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For the nine months ended September 30, 2022, Fiber Infrastructure revenues totaled $226.2 million as compared to $217.0 million for the nine months ended September 30, 2021. Fiber Infrastructure revenues increased $9.2 million, primarily due to an increase in one-time early termination revenues of $16.3 million within dark fiber and small cells revenues, partially offset by an $8.1 million decrease in Lit backhaul service revenues, primarily driven by the sale of our Uniti Fiber Northeast operations on May 28, 2021 and lit-to-dark fiber conversions.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8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272"/>
              <w:spacing w:after="0" w:line="158" w:lineRule="exact"/>
              <w:rPr>
                <w:sz w:val="20"/>
                <w:szCs w:val="20"/>
                <w:color w:val="auto"/>
              </w:rPr>
            </w:pPr>
            <w:r>
              <w:rPr>
                <w:rFonts w:ascii="Times New Roman" w:cs="Times New Roman" w:eastAsia="Times New Roman" w:hAnsi="Times New Roman"/>
                <w:sz w:val="14"/>
                <w:szCs w:val="14"/>
                <w:b w:val="1"/>
                <w:bCs w:val="1"/>
                <w:color w:val="auto"/>
              </w:rPr>
              <w:t>% Increase /</w:t>
            </w: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Tender premium payment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rate swap termination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6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(25,851)</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w:t>
            </w: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6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(25,631)</w:t>
            </w:r>
          </w:p>
        </w:tc>
      </w:tr>
      <w:tr>
        <w:trPr>
          <w:trHeight w:val="223"/>
        </w:trPr>
        <w:tc>
          <w:tcPr>
            <w:tcW w:w="6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(51,482)</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decreased $51.5 million compared to the nine months ended September 30, 2021. The decrease is primarily attributable to (i) the 2021 issuance of the 2029 Notes used to fund the redemption of the 2023 Notes and the 2021 issuance of the 2028 Secured Notes used to fund the redemption of the 2023 Secured Notes, which collectively resulted in $20.5 million of tender premium payments and the write off of $22.8 million of deferred financing costs, during the nine months ended September 30, 2021 and (ii) lower cash interest expense of $5.3 million, primarily associated with the 2029 Notes and 2028 Notes financing transactions, and a $4.3 million decrease in accretion expense associated with the settlement payable during the nine months ended September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8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274"/>
              <w:spacing w:after="0" w:line="158" w:lineRule="exact"/>
              <w:rPr>
                <w:sz w:val="20"/>
                <w:szCs w:val="20"/>
                <w:color w:val="auto"/>
              </w:rPr>
            </w:pPr>
            <w:r>
              <w:rPr>
                <w:rFonts w:ascii="Times New Roman" w:cs="Times New Roman" w:eastAsia="Times New Roman" w:hAnsi="Times New Roman"/>
                <w:sz w:val="14"/>
                <w:szCs w:val="14"/>
                <w:b w:val="1"/>
                <w:bCs w:val="1"/>
                <w:color w:val="auto"/>
              </w:rPr>
              <w:t>% Increase /</w:t>
            </w:r>
          </w:p>
        </w:tc>
      </w:tr>
      <w:tr>
        <w:trPr>
          <w:trHeight w:val="19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30"/>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229"/>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Fiber Infrastructure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depreciation expense decreased $4.4 million for the nine months ended September 30, 2022 as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decrease is primarily attributable to an increase in fully depreciated Windstream Distribution System assets of $5.2 million, partially offset by a $0.9 million increase in depreciation related to asset additions since September 30, 2021. During the nine months ended September 30, 2021, $8.0</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was recorded as a benefit to amortization expense, and subsequently reclassified to revenue during the fourth quarter of 2021.</w:t>
      </w:r>
    </w:p>
    <w:p>
      <w:pPr>
        <w:spacing w:after="0" w:line="22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Fiber Infrastructure depreciation expense increased $2.6 million for the nine months ended September 30, 2022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The increase in depreciation expense is primarily attributable to asset additions since September 30,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5"/>
              </w:rPr>
              <w:t>0.9%</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5.1%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5"/>
              </w:rPr>
              <w:t>3.4%</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general and administrative expense increased $2.5 million for the nine months ended September 30, 2022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The increase is primarily attributable to a $1.7 million increase in personnel expenses and a $0.8 million increase in other operating expense.</w:t>
      </w:r>
    </w:p>
    <w:p>
      <w:pPr>
        <w:spacing w:after="0" w:line="17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Fiber Infrastructure general and administrative expense decreased $0.6 million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2021. This decrease is primarily attributable to a $0.2 million decrease in personnel expenses, a $0.2 million decrease in facility expenses, and a $0.1 million decrease in other operating expenses.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decreased $1.9 million for the nine months ended September 30, 2022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The decrease is attributable to reductions in personnel expenses of $2.4 million and insurance expenses of $1.7 million, partially offset by increases in professional and legal expenses of $1.5 million, computer software and maintenance of $0.4 million, and facility expense of $0.3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expense for the nine months ended September 30, 2022 increased by $2.7 million from the nine months ended September 30, 2021, which was primarily attributable to a $2.3 million increase in Leasing operating expenses and a $0.4 million increase in Fiber Infrastructure operating expenses discussed below. Operating expense for our reportable segments for the nine months ended September 30, 2022 and 2021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1.5%</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w w:val="98"/>
              </w:rPr>
              <w:t>11.1%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11.6%</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w w:val="98"/>
              </w:rPr>
              <w:t>12.8%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8"/>
              </w:rPr>
              <w:t>13.1%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operating expense increased $2.3 million for the nine months ended September 30, 2022 compared to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The increase is primarily driven by a $1.9 million increase in other operating expense resulting from incremental customer growth and increased network related expense of $0.5 million.</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Infrastructure operating expenses increased $0.4 million for the nine months ended September 30, 2022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Operating expense consists of network related costs, such as dark fiber and tower rents, lit service and maintenance expense, and costs associated with our construction activities. The increase in operating expenses is primarily attributable to to increases in dark fiber early termination fees of $2.4 million, property taxes of $1.6 million, personnel expense of $1.4 million, and unsplicing expenses of $1.4 million, partially offset by decreases in construction expenses of $2.0 million, non-recurring equipment and installation expenses of $1.6 million, and expenses related to the Uniti Fiber Northeast operations sold on May 28, 2021 of $1.5 million, right of way expense of $0.9 million, and network maintenance and repair expenses of $0.5 million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-982980</wp:posOffset>
            </wp:positionV>
            <wp:extent cx="13716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As a result of macroeconomic and financial market factors, specifically increased interest rates impacting our discount rate, we concluded that it was more likely than not that the fair value of the Fiber Infrastructure reporting unit, estimated using a combination of the income approach and market approach, is less that its carrying amount. Accordingly, we recorded a $216.0 million goodwill impairment in the Fiber Infrastructure reporting unit during the nine</w:t>
      </w:r>
    </w:p>
    <w:p>
      <w:pPr>
        <w:spacing w:after="0" w:line="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months ended September 30, 2022. See Note 2 of Notes to Condensed Consolidated Financial Statements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enterprise resource planning system. For the nine months ended September 30, 2022, we incurred $7.3 million of transaction related and other costs, compared to $5.6 million of such costs during the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income tax (benefit) expense recorded for the nine months ended September 30, 2022 and 2021, respectively, is related to the tax impact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Pre-tax loss (Fiber Infrastructure)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30"/>
        </w:trPr>
        <w:tc>
          <w:tcPr>
            <w:tcW w:w="8180" w:type="dxa"/>
            <w:vAlign w:val="bottom"/>
            <w:gridSpan w:val="2"/>
          </w:tcPr>
          <w:p>
            <w:pPr>
              <w:jc w:val="right"/>
              <w:ind w:right="5260"/>
              <w:spacing w:after="0"/>
              <w:rPr>
                <w:sz w:val="20"/>
                <w:szCs w:val="20"/>
                <w:color w:val="auto"/>
              </w:rPr>
            </w:pPr>
            <w:r>
              <w:rPr>
                <w:rFonts w:ascii="Times New Roman" w:cs="Times New Roman" w:eastAsia="Times New Roman" w:hAnsi="Times New Roman"/>
                <w:sz w:val="18"/>
                <w:szCs w:val="18"/>
                <w:color w:val="auto"/>
              </w:rPr>
              <w:t>Gain on sale of unconsolidated entity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undistributed REIT taxable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REIT state and local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8180" w:type="dxa"/>
            <w:vAlign w:val="bottom"/>
            <w:gridSpan w:val="2"/>
          </w:tcPr>
          <w:p>
            <w:pPr>
              <w:jc w:val="right"/>
              <w:ind w:right="526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as defined by GAAP and should not be considered an alternative to those measures in evaluating our liquidity or operating performance</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reconciliation of our net (loss) income to EBITDA and Adjusted EBITDA and of our net (loss) income attributable to common shareholders to FFO and AFFO for the three and nine months ended September 30, 2022 and 2021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88,819</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341,762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642,029</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159,175</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 assets, net of tax</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175"/>
        </w:trPr>
        <w:tc>
          <w:tcPr>
            <w:tcW w:w="5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Real estate depreciation and amortization from unconsolidated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FFO attributable to common shareholders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244,797</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unconsolidated entity, net of tax</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Straight-line revenues and amortization of below-market lease</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AFFO attributable to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316,296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$215.4 million of the $490.1 million due to Windstream under the settlement agreement, including $92.9 million that we pre-paid on October 14, 2021, $78.0 million of which was funded from a portion of the proceeds of the 2030 Notes.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and are limited to $225 million per year in 2022 through 2024; $175 million per year in 2025 and 2026; and $125 million per year in 2027 through 2029.</w:t>
      </w:r>
    </w:p>
    <w:p>
      <w:pPr>
        <w:spacing w:after="0" w:line="19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 and collateral agent (the “Credit Agreement”), and proceeds from the issuance of debt and equity securities.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2022, we had cash and cash equivalents of $43.4 million and approximately $225.0 million of borrowing availability under our Revolving Credit Facility under the Credit Agreement. Subsequent to September 30, 2022, other than $27.4 million of Growth Capital Improvements (see </w:t>
      </w:r>
      <w:r>
        <w:rPr>
          <w:rFonts w:ascii="Times New Roman" w:cs="Times New Roman" w:eastAsia="Times New Roman" w:hAnsi="Times New Roman"/>
          <w:sz w:val="18"/>
          <w:szCs w:val="18"/>
          <w:i w:val="1"/>
          <w:iCs w:val="1"/>
          <w:color w:val="auto"/>
        </w:rPr>
        <w:t xml:space="preserve">“Result of Operations—Revenues” </w:t>
      </w:r>
      <w:r>
        <w:rPr>
          <w:rFonts w:ascii="Times New Roman" w:cs="Times New Roman" w:eastAsia="Times New Roman" w:hAnsi="Times New Roman"/>
          <w:sz w:val="18"/>
          <w:szCs w:val="18"/>
          <w:color w:val="auto"/>
        </w:rPr>
        <w:t>above), there have been no material outlays of funds outside of our scheduled interest and dividend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285,107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353,353</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$285.1 million and $353.4 million for the nine months ended September 30, 2022 and 2021, respectively. The decrease in net cash provided by operating activities during the nine months ended September 30, 2022 is primarily attributable to the timing of the upfront IRU payments received in connection with the sale of the Uniti Fiber Northeast operations on May 28,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(276,010)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unconsolidated entity (see Note 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sale of real estate, net of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operations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$258.7 million for the nine months ended September 30, 2022, primarily driven by capital expenditures ($292.7 million), partially offset by proceeds received from the sale of the Harmoni investment ($32.5 million). Net cash used in investing activities was $211.7 million for the nine months ended September 30, 2021, primarily driven by capital expenditures ($276.0 million), partially offset by proceeds from the May 28, 2021 sale of the Uniti Fiber Northeast operations ($62.1 million). Capital expenditures are primarily related to our Uniti Fiber and Uniti Leasing businesses for deployment of network assets, as described under “—Capital Expenditures.”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of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settlement payable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Distributions paid to noncontrolling interest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56"/>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 for exchange of noncontrolling interest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payments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tender premium</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2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Net cash used in financing activities was $41.9 million for the nine months ended September 30, 2022, which was primarily related to </w:t>
      </w:r>
      <w:r>
        <w:rPr>
          <w:rFonts w:ascii="Times New Roman" w:cs="Times New Roman" w:eastAsia="Times New Roman" w:hAnsi="Times New Roman"/>
          <w:sz w:val="18"/>
          <w:szCs w:val="18"/>
          <w:color w:val="212529"/>
        </w:rPr>
        <w:t>dividend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$107.4 million, net borrowings under the Revolving Credit Facility of $75.0 million, payment for an exchange of noncontrolling interest of $4.6 million, and payments related to tax withholding for stock-based compensation of $4.4 million. Net c</w:t>
      </w:r>
      <w:r>
        <w:rPr>
          <w:rFonts w:ascii="Times New Roman" w:cs="Times New Roman" w:eastAsia="Times New Roman" w:hAnsi="Times New Roman"/>
          <w:sz w:val="18"/>
          <w:szCs w:val="18"/>
          <w:color w:val="000000"/>
        </w:rPr>
        <w:t>ash used in financing activities was $149.4 million for the nine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months ended September 30, 2021, which was primarily driven by the repayment of the 2023 Notes and 2023 Secured Notes ($1.66 billion), net payments under the Revolving Credit Facility ($70.0 million), dividend payments ($105.9 million), payments for financing costs ($25.8 million), payment of settlement obligation ($73.5 million), 2023 Notes tender premium payment ($17.6 million), 2023 Secured Notes early redemption payment ($8.3 million) and contingent consideration payments ($3.0 million), partially offset by proceeds from the issuance of the 2029 Notes and 2028 Secured Notes ($1.68 billion)</w:t>
      </w:r>
      <w:r>
        <w:rPr>
          <w:rFonts w:ascii="Times New Roman" w:cs="Times New Roman" w:eastAsia="Times New Roman" w:hAnsi="Times New Roman"/>
          <w:sz w:val="18"/>
          <w:szCs w:val="18"/>
          <w:color w:val="212529"/>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Master Lease and Windstream Leases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18, 2020, in connection with Windstream’s emergence from bankruptcy and the implementation of the Settlement, Uniti and Windstream bifurcated the Master Lease and entered into the Windstream Leases that each expires on April 30, 2030. The aggregate initial annual rent under the Windstream Leases is equal to the annual rent under the Master Lease previously in effect.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and are limited to $225 million per year in 2022 through 2024; $175 million per year in 2025 and 2026; and $125 million per year in 2027 through 2029. If the costs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$250.0 million in any calendar year.</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Common Stock Offering Program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three and nine months ended September 30, 2022, we did not make any sales under the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Outlook</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September 30, 2022, we had $225.0 million in borrowing availability under our Revolving Credit Facility (subject to customary borrowing conditions),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Success Based</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Non-Network</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Growth capital improvements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158,086</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114,599</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3"/>
        </w:trPr>
        <w:tc>
          <w:tcPr>
            <w:tcW w:w="3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292,666</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Uniti’s total annual reimbursement commitments to Windstream for the Growth Capital Improvements is discussed above in this Part I, Item 2 “Management’s Discussion and Analysis of Financial Condition and Results of Operations” in “Liquidity and Capital Resources—Windstream Master Lease and Windstream Leases.” Growth Capital Improvements are treated as success-based capital improvements based on the rents paid with respect to such amounts.</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success-based 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below sets out details regarding our cash dividends on our common stock:</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Payment Date</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Cash Dividend Per</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Record Date</w:t>
            </w:r>
          </w:p>
        </w:tc>
        <w:tc>
          <w:tcPr>
            <w:tcW w:w="0" w:type="dxa"/>
            <w:vAlign w:val="bottom"/>
          </w:tcPr>
          <w:p>
            <w:pPr>
              <w:spacing w:after="0"/>
              <w:rPr>
                <w:sz w:val="1"/>
                <w:szCs w:val="1"/>
                <w:color w:val="auto"/>
              </w:rPr>
            </w:pPr>
          </w:p>
        </w:tc>
      </w:tr>
      <w:tr>
        <w:trPr>
          <w:trHeight w:val="193"/>
        </w:trPr>
        <w:tc>
          <w:tcPr>
            <w:tcW w:w="532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Share</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2021 - December 31, 2021</w:t>
            </w:r>
          </w:p>
        </w:tc>
        <w:tc>
          <w:tcPr>
            <w:tcW w:w="8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3, 2022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17, 2021</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2022 - March 31, 2022</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April 15, 2022</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June 30, 2022</w:t>
            </w:r>
          </w:p>
        </w:tc>
        <w:tc>
          <w:tcPr>
            <w:tcW w:w="2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July 1, 2022</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0" w:type="dxa"/>
            <w:vAlign w:val="bottom"/>
          </w:tcPr>
          <w:p>
            <w:pPr>
              <w:spacing w:after="0"/>
              <w:rPr>
                <w:sz w:val="1"/>
                <w:szCs w:val="1"/>
                <w:color w:val="auto"/>
              </w:rPr>
            </w:pPr>
          </w:p>
        </w:tc>
      </w:tr>
      <w:tr>
        <w:trPr>
          <w:trHeight w:val="257"/>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 2022 - September 30, 2022</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23, 2022</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highlight w:val="white"/>
        </w:rPr>
        <w:t>—As of September 30, 2022 and December 31, 2021, all of our goodwill is included in our Fiber Infrastructure segment. Goodwill is recognized</w:t>
      </w:r>
      <w:r>
        <w:rPr>
          <w:rFonts w:ascii="Times New Roman" w:cs="Times New Roman" w:eastAsia="Times New Roman" w:hAnsi="Times New Roman"/>
          <w:sz w:val="18"/>
          <w:szCs w:val="18"/>
          <w:color w:val="auto"/>
        </w:rPr>
        <w:t xml:space="preserve"> for the excess of purchase price over the fair value of net assets of businesses acquired. Goodwill is reviewed for impairment on an annual basis during the fourth quarter. Application of the goodwill impairment test requires significant judgment, including: the identification of reporting units; assignment of assets and liabilities to reporting units; and assignment of goodwill to reporting units. In accordance with ASC 350-20,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w:t>
      </w:r>
    </w:p>
    <w:p>
      <w:pPr>
        <w:spacing w:after="0" w:line="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compared with its carrying value.</w:t>
      </w:r>
    </w:p>
    <w:p>
      <w:pPr>
        <w:spacing w:after="0" w:line="18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performing the quantitative assessment of goodwill, we estimate the fair value of our fiber reporting unit using a combination of an income approach based on the present value of estimated future cash flows and a market approach based on market data of comparable businesses, and acquisition multiples paid in recent transactions. Inherent in our preparation of cash flow projections are significant assumptions and estimates derived from a review of our operating results and business plans, which include expected revenue and expense growth rates, capital expenditure plans and discount rate.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interest rates, impacting our discount rate.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(Loss) Income not to exceed the carrying amount of goodwill.</w:t>
      </w:r>
    </w:p>
    <w:p>
      <w:pPr>
        <w:spacing w:after="0" w:line="197"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Financial Statements for the three and nine months ended September 30, 2022, the Company identified a Triggering Event and, therefore, performed a qualitative and quantitative goodwill impairment test. The Triggering Event was a</w:t>
      </w:r>
    </w:p>
    <w:p>
      <w:pPr>
        <w:ind w:right="120"/>
        <w:spacing w:after="0" w:line="245" w:lineRule="auto"/>
        <w:rPr>
          <w:sz w:val="20"/>
          <w:szCs w:val="20"/>
          <w:color w:val="auto"/>
        </w:rPr>
      </w:pPr>
      <w:r>
        <w:rPr>
          <w:rFonts w:ascii="Times New Roman" w:cs="Times New Roman" w:eastAsia="Times New Roman" w:hAnsi="Times New Roman"/>
          <w:sz w:val="18"/>
          <w:szCs w:val="18"/>
          <w:color w:val="auto"/>
        </w:rPr>
        <w:t>result of macroeconomic and financial market factors, specifically increased interest rates, impacting our discount rate. As a result of this interim assessment of goodwill, we concluded that the fair value of the Fiber Infrastructure reporting unit, estimated using a combination of the income approach and market approach, is less than its carrying amount. Accordingly, we recorded a $216.0 million goodwill impairment charge in the Fiber Infrastructure reporting unit during the three months ended September 30, 2022.</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September 30, 2022, there has been no material change to these estimates other than discussion above on goodwill.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New accounting rules and disclosures can impact our reported results and comparability of our financial statements. See Note 2 of Notes to Condensed Consolidated Financial Statements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2022, and based on this evaluation, our principal executive officer and principal financial officer concluded that our disclosure controls and procedures were effective as of September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that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description of legal proceedings can be found in Note 13 - Commitments and Contingencies to our Condensed Consolidated Financial Statements, included in this report at Part I, Item 1-Financial Statements, and is incorporated by reference into this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discussed in Part I, “Item 1A. Risk Factors” in our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8"/>
                <w:szCs w:val="18"/>
                <w:b w:val="1"/>
                <w:bCs w:val="1"/>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to July 31, 2022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to August 31,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to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firstLine="8"/>
        <w:spacing w:after="0" w:line="229" w:lineRule="auto"/>
        <w:tabs>
          <w:tab w:leader="none" w:pos="208"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average price paid per share is the weighted average of the fair market prices at which we calculated the number of shares withheld to cover tax withholdings for the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380" w:type="dxa"/>
            <w:vAlign w:val="bottom"/>
            <w:gridSpan w:val="6"/>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640" w:type="dxa"/>
            <w:vAlign w:val="bottom"/>
            <w:tcBorders>
              <w:top w:val="single" w:sz="8" w:color="0000EE"/>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580" w:type="dxa"/>
            <w:vAlign w:val="bottom"/>
            <w:tcBorders>
              <w:top w:val="single" w:sz="8" w:color="0000EE"/>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220" w:type="dxa"/>
            <w:vAlign w:val="bottom"/>
            <w:tcBorders>
              <w:top w:val="single" w:sz="8" w:color="0000EE"/>
            </w:tcBorders>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160" w:type="dxa"/>
            <w:vAlign w:val="bottom"/>
            <w:tcBorders>
              <w:top w:val="single" w:sz="8" w:color="0000EE"/>
            </w:tcBorders>
            <w:gridSpan w:val="2"/>
          </w:tcPr>
          <w:p>
            <w:pPr>
              <w:spacing w:after="0"/>
              <w:rPr>
                <w:sz w:val="15"/>
                <w:szCs w:val="15"/>
                <w:color w:val="auto"/>
              </w:rPr>
            </w:pPr>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97" w:lineRule="exact"/>
        <w:rPr>
          <w:sz w:val="20"/>
          <w:szCs w:val="20"/>
          <w:color w:val="auto"/>
        </w:rPr>
      </w:pPr>
    </w:p>
    <w:p>
      <w:pPr>
        <w:ind w:left="20"/>
        <w:spacing w:after="0"/>
        <w:tabs>
          <w:tab w:leader="none" w:pos="90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2022</w:t>
      </w:r>
      <w:r>
        <w:rPr>
          <w:sz w:val="20"/>
          <w:szCs w:val="20"/>
          <w:color w:val="auto"/>
        </w:rPr>
        <w:tab/>
      </w:r>
      <w:r>
        <w:rPr>
          <w:rFonts w:ascii="Times New Roman" w:cs="Times New Roman" w:eastAsia="Times New Roman" w:hAnsi="Times New Roman"/>
          <w:sz w:val="18"/>
          <w:szCs w:val="18"/>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4071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ind w:left="4840"/>
        <w:spacing w:after="0" w:line="219" w:lineRule="auto"/>
        <w:rPr>
          <w:sz w:val="20"/>
          <w:szCs w:val="20"/>
          <w:color w:val="auto"/>
        </w:rPr>
      </w:pPr>
      <w:r>
        <w:rPr>
          <w:rFonts w:ascii="Times New Roman" w:cs="Times New Roman" w:eastAsia="Times New Roman" w:hAnsi="Times New Roman"/>
          <w:sz w:val="18"/>
          <w:szCs w:val="18"/>
          <w:b w:val="1"/>
          <w:bCs w:val="1"/>
          <w:color w:val="auto"/>
        </w:rPr>
        <w:t>Senior Vice President – Chief Financial Officer and Treasurer</w:t>
      </w:r>
    </w:p>
    <w:p>
      <w:pPr>
        <w:ind w:left="4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73" w:lineRule="exact"/>
        <w:rPr>
          <w:sz w:val="20"/>
          <w:szCs w:val="20"/>
          <w:color w:val="auto"/>
        </w:rPr>
      </w:pPr>
    </w:p>
    <w:p>
      <w:pPr>
        <w:ind w:left="20"/>
        <w:spacing w:after="0"/>
        <w:tabs>
          <w:tab w:leader="none" w:pos="90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2022</w:t>
      </w:r>
      <w:r>
        <w:rPr>
          <w:sz w:val="20"/>
          <w:szCs w:val="20"/>
          <w:color w:val="auto"/>
        </w:rPr>
        <w:tab/>
      </w:r>
      <w:r>
        <w:rPr>
          <w:rFonts w:ascii="Times New Roman" w:cs="Times New Roman" w:eastAsia="Times New Roman" w:hAnsi="Times New Roman"/>
          <w:sz w:val="17"/>
          <w:szCs w:val="17"/>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4071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Travis T. Black</w:t>
      </w:r>
    </w:p>
    <w:p>
      <w:pPr>
        <w:ind w:left="4840"/>
        <w:spacing w:after="0" w:line="219" w:lineRule="auto"/>
        <w:rPr>
          <w:sz w:val="20"/>
          <w:szCs w:val="20"/>
          <w:color w:val="auto"/>
        </w:rPr>
      </w:pPr>
      <w:r>
        <w:rPr>
          <w:rFonts w:ascii="Times New Roman" w:cs="Times New Roman" w:eastAsia="Times New Roman" w:hAnsi="Times New Roman"/>
          <w:sz w:val="18"/>
          <w:szCs w:val="18"/>
          <w:b w:val="1"/>
          <w:bCs w:val="1"/>
          <w:color w:val="auto"/>
        </w:rPr>
        <w:t>Vice President – Chief Accounting Officer</w:t>
      </w:r>
    </w:p>
    <w:p>
      <w:pPr>
        <w:ind w:left="48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320" w:top="337" w:right="3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50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1240"/>
          </w:cols>
          <w:pgMar w:left="320" w:top="119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September 30, 2022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460" w:hanging="966"/>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460" w:right="120" w:hanging="966"/>
        <w:spacing w:after="0" w:line="282" w:lineRule="auto"/>
        <w:tabs>
          <w:tab w:leader="none" w:pos="14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360" w:val="left"/>
          <w:tab w:leader="none" w:pos="746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September 30, 2022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620" w:hanging="964"/>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220" w:hanging="964"/>
        <w:spacing w:after="0" w:line="282" w:lineRule="auto"/>
        <w:tabs>
          <w:tab w:leader="none" w:pos="16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5"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Senior Vice President – Chief Financial Officer</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2022-11-07T07:26:44Z</dcterms:created>
  <dcterms:modified xsi:type="dcterms:W3CDTF">2022-11-07T07:26:44Z</dcterms:modified>
</cp:coreProperties>
</file>