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494665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520700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49"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1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80" w:right="240" w:hanging="454"/>
        <w:spacing w:after="0" w:line="256" w:lineRule="auto"/>
        <w:tabs>
          <w:tab w:leader="none" w:pos="4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7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480" w:right="220" w:hanging="454"/>
        <w:spacing w:after="0" w:line="269" w:lineRule="auto"/>
        <w:tabs>
          <w:tab w:leader="none" w:pos="4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001-36708</w:t>
      </w:r>
    </w:p>
    <w:p>
      <w:pPr>
        <w:spacing w:after="0" w:line="2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Uniti Group Inc.</w:t>
      </w:r>
    </w:p>
    <w:p>
      <w:pPr>
        <w:spacing w:after="0" w:line="64"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ectPr>
          <w:pgSz w:w="11900" w:h="16838" w:orient="portrait"/>
          <w:cols w:equalWidth="0" w:num="1">
            <w:col w:w="11220"/>
          </w:cols>
          <w:pgMar w:left="320" w:top="233" w:right="359" w:bottom="1440" w:gutter="0" w:footer="0" w:header="0"/>
        </w:sectPr>
      </w:pPr>
    </w:p>
    <w:p>
      <w:pPr>
        <w:spacing w:after="0" w:line="32" w:lineRule="exact"/>
        <w:rPr>
          <w:sz w:val="24"/>
          <w:szCs w:val="24"/>
          <w:color w:val="auto"/>
        </w:rPr>
      </w:pPr>
    </w:p>
    <w:p>
      <w:pPr>
        <w:ind w:left="2440"/>
        <w:spacing w:after="0"/>
        <w:rPr>
          <w:sz w:val="20"/>
          <w:szCs w:val="20"/>
          <w:color w:val="auto"/>
        </w:rPr>
      </w:pPr>
      <w:r>
        <w:rPr>
          <w:rFonts w:ascii="Arial" w:cs="Arial" w:eastAsia="Arial" w:hAnsi="Arial"/>
          <w:sz w:val="17"/>
          <w:szCs w:val="17"/>
          <w:b w:val="1"/>
          <w:bCs w:val="1"/>
          <w:color w:val="auto"/>
        </w:rPr>
        <w:t>Maryland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46-5230630</w:t>
      </w:r>
    </w:p>
    <w:p>
      <w:pPr>
        <w:spacing w:after="0" w:line="68" w:lineRule="exact"/>
        <w:rPr>
          <w:sz w:val="24"/>
          <w:szCs w:val="24"/>
          <w:color w:val="auto"/>
        </w:rPr>
      </w:pPr>
    </w:p>
    <w:p>
      <w:pPr>
        <w:sectPr>
          <w:pgSz w:w="11900" w:h="16838" w:orient="portrait"/>
          <w:cols w:equalWidth="0" w:num="2">
            <w:col w:w="7280" w:space="720"/>
            <w:col w:w="3220"/>
          </w:cols>
          <w:pgMar w:left="320" w:top="233" w:right="35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3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25"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28" w:lineRule="exact"/>
        <w:rPr>
          <w:sz w:val="24"/>
          <w:szCs w:val="24"/>
          <w:color w:val="auto"/>
        </w:rPr>
      </w:pPr>
    </w:p>
    <w:p>
      <w:pPr>
        <w:sectPr>
          <w:pgSz w:w="11900" w:h="16838" w:orient="portrait"/>
          <w:cols w:equalWidth="0" w:num="2">
            <w:col w:w="7140" w:space="720"/>
            <w:col w:w="3360"/>
          </w:cols>
          <w:pgMar w:left="320" w:top="233" w:right="359" w:bottom="1440" w:gutter="0" w:footer="0" w:header="0"/>
          <w:type w:val="continuous"/>
        </w:sectPr>
      </w:pPr>
    </w:p>
    <w:p>
      <w:pPr>
        <w:jc w:val="center"/>
        <w:ind w:right="1840"/>
        <w:spacing w:after="0"/>
        <w:rPr>
          <w:sz w:val="20"/>
          <w:szCs w:val="20"/>
          <w:color w:val="auto"/>
        </w:rPr>
      </w:pPr>
      <w:r>
        <w:rPr>
          <w:rFonts w:ascii="Arial" w:cs="Arial" w:eastAsia="Arial" w:hAnsi="Arial"/>
          <w:sz w:val="16"/>
          <w:szCs w:val="16"/>
          <w:b w:val="1"/>
          <w:bCs w:val="1"/>
          <w:color w:val="auto"/>
        </w:rPr>
        <w:t>2101 Riverfront Drive, Suite A</w:t>
      </w:r>
    </w:p>
    <w:p>
      <w:pPr>
        <w:spacing w:after="0" w:line="50" w:lineRule="exact"/>
        <w:rPr>
          <w:sz w:val="24"/>
          <w:szCs w:val="24"/>
          <w:color w:val="auto"/>
        </w:rPr>
      </w:pPr>
    </w:p>
    <w:p>
      <w:pPr>
        <w:jc w:val="center"/>
        <w:ind w:right="1840"/>
        <w:spacing w:after="0"/>
        <w:rPr>
          <w:sz w:val="20"/>
          <w:szCs w:val="20"/>
          <w:color w:val="auto"/>
        </w:rPr>
      </w:pPr>
      <w:r>
        <w:rPr>
          <w:rFonts w:ascii="Arial" w:cs="Arial" w:eastAsia="Arial" w:hAnsi="Arial"/>
          <w:sz w:val="18"/>
          <w:szCs w:val="18"/>
          <w:b w:val="1"/>
          <w:bCs w:val="1"/>
          <w:color w:val="auto"/>
        </w:rPr>
        <w:t>Little Rock, Arkansas</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72202</w:t>
      </w:r>
    </w:p>
    <w:p>
      <w:pPr>
        <w:spacing w:after="0" w:line="67" w:lineRule="exact"/>
        <w:rPr>
          <w:sz w:val="24"/>
          <w:szCs w:val="24"/>
          <w:color w:val="auto"/>
        </w:rPr>
      </w:pPr>
    </w:p>
    <w:p>
      <w:pPr>
        <w:sectPr>
          <w:pgSz w:w="11900" w:h="16838" w:orient="portrait"/>
          <w:cols w:equalWidth="0" w:num="2">
            <w:col w:w="7480" w:space="720"/>
            <w:col w:w="3020"/>
          </w:cols>
          <w:pgMar w:left="320" w:top="233" w:right="359" w:bottom="1440" w:gutter="0" w:footer="0" w:header="0"/>
          <w:type w:val="continuous"/>
        </w:sectPr>
      </w:pPr>
    </w:p>
    <w:p>
      <w:pPr>
        <w:ind w:left="162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7380" w:space="720"/>
            <w:col w:w="3120"/>
          </w:cols>
          <w:pgMar w:left="320" w:top="233" w:right="359" w:bottom="1440" w:gutter="0" w:footer="0" w:header="0"/>
          <w:type w:val="continuous"/>
        </w:sectPr>
      </w:pP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2"/>
          <w:szCs w:val="12"/>
          <w:b w:val="1"/>
          <w:bCs w:val="1"/>
          <w:color w:val="auto"/>
        </w:rPr>
        <w:t>Registrant’s telephone number, including area code: (501) 850-0820</w:t>
      </w:r>
    </w:p>
    <w:p>
      <w:pPr>
        <w:spacing w:after="0" w:line="51" w:lineRule="exact"/>
        <w:rPr>
          <w:sz w:val="24"/>
          <w:szCs w:val="24"/>
          <w:color w:val="auto"/>
        </w:rPr>
      </w:pPr>
    </w:p>
    <w:p>
      <w:pPr>
        <w:ind w:left="3920"/>
        <w:spacing w:after="0"/>
        <w:rPr>
          <w:sz w:val="20"/>
          <w:szCs w:val="20"/>
          <w:color w:val="auto"/>
        </w:rPr>
      </w:pPr>
      <w:r>
        <w:rPr>
          <w:rFonts w:ascii="Arial" w:cs="Arial" w:eastAsia="Arial" w:hAnsi="Arial"/>
          <w:sz w:val="11"/>
          <w:szCs w:val="11"/>
          <w:color w:val="auto"/>
        </w:rPr>
        <w:t>_______________________________________________________________</w:t>
      </w:r>
    </w:p>
    <w:p>
      <w:pPr>
        <w:spacing w:after="0" w:line="58" w:lineRule="exact"/>
        <w:rPr>
          <w:sz w:val="24"/>
          <w:szCs w:val="24"/>
          <w:color w:val="auto"/>
        </w:rPr>
      </w:pPr>
    </w:p>
    <w:p>
      <w:pPr>
        <w:ind w:left="380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20"/>
          </w:cols>
          <w:pgMar w:left="320" w:top="233" w:right="359" w:bottom="1440" w:gutter="0" w:footer="0" w:header="0"/>
          <w:type w:val="continuous"/>
        </w:sectPr>
      </w:pPr>
    </w:p>
    <w:p>
      <w:pPr>
        <w:spacing w:after="0" w:line="86" w:lineRule="exact"/>
        <w:rPr>
          <w:sz w:val="24"/>
          <w:szCs w:val="24"/>
          <w:color w:val="auto"/>
        </w:rPr>
      </w:pPr>
    </w:p>
    <w:p>
      <w:pPr>
        <w:ind w:left="122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73" w:lineRule="exact"/>
        <w:rPr>
          <w:sz w:val="24"/>
          <w:szCs w:val="24"/>
          <w:color w:val="auto"/>
        </w:rPr>
      </w:pPr>
    </w:p>
    <w:p>
      <w:pPr>
        <w:sectPr>
          <w:pgSz w:w="11900" w:h="16838" w:orient="portrait"/>
          <w:cols w:equalWidth="0" w:num="3">
            <w:col w:w="4220" w:space="720"/>
            <w:col w:w="2100" w:space="720"/>
            <w:col w:w="3460"/>
          </w:cols>
          <w:pgMar w:left="320" w:top="233" w:right="35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UNIT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Global Select Market</w:t>
      </w:r>
    </w:p>
    <w:p>
      <w:pPr>
        <w:spacing w:after="0" w:line="207" w:lineRule="exact"/>
        <w:rPr>
          <w:sz w:val="24"/>
          <w:szCs w:val="24"/>
          <w:color w:val="auto"/>
        </w:rPr>
      </w:pPr>
    </w:p>
    <w:p>
      <w:pPr>
        <w:sectPr>
          <w:pgSz w:w="11900" w:h="16838" w:orient="portrait"/>
          <w:cols w:equalWidth="0" w:num="3">
            <w:col w:w="4680" w:space="720"/>
            <w:col w:w="1920" w:space="720"/>
            <w:col w:w="3180"/>
          </w:cols>
          <w:pgMar w:left="320" w:top="233" w:right="359" w:bottom="1440" w:gutter="0" w:footer="0" w:header="0"/>
          <w:type w:val="continuous"/>
        </w:sect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35" w:lineRule="exact"/>
        <w:rPr>
          <w:sz w:val="24"/>
          <w:szCs w:val="24"/>
          <w:color w:val="auto"/>
        </w:rPr>
      </w:pPr>
    </w:p>
    <w:p>
      <w:pPr>
        <w:ind w:right="40" w:firstLine="486"/>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35" w:lineRule="exact"/>
        <w:rPr>
          <w:sz w:val="24"/>
          <w:szCs w:val="24"/>
          <w:color w:val="auto"/>
        </w:rPr>
      </w:pPr>
    </w:p>
    <w:p>
      <w:pPr>
        <w:ind w:right="20" w:firstLine="486"/>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x</w:t>
            </w:r>
          </w:p>
        </w:tc>
        <w:tc>
          <w:tcPr>
            <w:tcW w:w="482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310"/>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560"/>
              <w:spacing w:after="0"/>
              <w:rPr>
                <w:sz w:val="20"/>
                <w:szCs w:val="20"/>
                <w:color w:val="auto"/>
              </w:rPr>
            </w:pPr>
            <w:r>
              <w:rPr>
                <w:rFonts w:ascii="Arial" w:cs="Arial" w:eastAsia="Arial" w:hAnsi="Arial"/>
                <w:sz w:val="18"/>
                <w:szCs w:val="18"/>
                <w:color w:val="auto"/>
              </w:rPr>
              <w:t>o</w:t>
            </w:r>
          </w:p>
        </w:tc>
        <w:tc>
          <w:tcPr>
            <w:tcW w:w="482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r>
        <w:trPr>
          <w:trHeight w:val="256"/>
        </w:trPr>
        <w:tc>
          <w:tcPr>
            <w:tcW w:w="2200" w:type="dxa"/>
            <w:vAlign w:val="bottom"/>
          </w:tcPr>
          <w:p>
            <w:pPr>
              <w:spacing w:after="0"/>
              <w:rPr>
                <w:sz w:val="22"/>
                <w:szCs w:val="22"/>
                <w:color w:val="auto"/>
              </w:rPr>
            </w:pPr>
          </w:p>
        </w:tc>
        <w:tc>
          <w:tcPr>
            <w:tcW w:w="2920" w:type="dxa"/>
            <w:vAlign w:val="bottom"/>
          </w:tcPr>
          <w:p>
            <w:pPr>
              <w:spacing w:after="0"/>
              <w:rPr>
                <w:sz w:val="22"/>
                <w:szCs w:val="22"/>
                <w:color w:val="auto"/>
              </w:rPr>
            </w:pPr>
          </w:p>
        </w:tc>
        <w:tc>
          <w:tcPr>
            <w:tcW w:w="4820" w:type="dxa"/>
            <w:vAlign w:val="bottom"/>
          </w:tcPr>
          <w:p>
            <w:pPr>
              <w:ind w:left="2240"/>
              <w:spacing w:after="0"/>
              <w:rPr>
                <w:sz w:val="20"/>
                <w:szCs w:val="20"/>
                <w:color w:val="auto"/>
              </w:rPr>
            </w:pPr>
            <w:r>
              <w:rPr>
                <w:rFonts w:ascii="Arial" w:cs="Arial" w:eastAsia="Arial" w:hAnsi="Arial"/>
                <w:sz w:val="18"/>
                <w:szCs w:val="18"/>
                <w:color w:val="auto"/>
              </w:rPr>
              <w:t>Emerging growth company</w:t>
            </w:r>
          </w:p>
        </w:tc>
        <w:tc>
          <w:tcPr>
            <w:tcW w:w="720" w:type="dxa"/>
            <w:vAlign w:val="bottom"/>
          </w:tcPr>
          <w:p>
            <w:pPr>
              <w:ind w:left="620"/>
              <w:spacing w:after="0"/>
              <w:rPr>
                <w:sz w:val="20"/>
                <w:szCs w:val="20"/>
                <w:color w:val="auto"/>
              </w:rPr>
            </w:pPr>
            <w:r>
              <w:rPr>
                <w:rFonts w:ascii="Arial" w:cs="Arial" w:eastAsia="Arial" w:hAnsi="Arial"/>
                <w:sz w:val="18"/>
                <w:szCs w:val="18"/>
                <w:color w:val="auto"/>
                <w:w w:val="79"/>
              </w:rPr>
              <w:t>o</w:t>
            </w:r>
          </w:p>
        </w:tc>
      </w:tr>
    </w:tbl>
    <w:p>
      <w:pPr>
        <w:spacing w:after="0" w:line="161" w:lineRule="exact"/>
        <w:rPr>
          <w:sz w:val="24"/>
          <w:szCs w:val="24"/>
          <w:color w:val="auto"/>
        </w:rPr>
      </w:pPr>
    </w:p>
    <w:p>
      <w:pPr>
        <w:ind w:firstLine="486"/>
        <w:spacing w:after="0" w:line="270"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right="1640" w:firstLine="486"/>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As of April 27, 2023, the registrant had 238,583,101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entered into with Windstream Holdings, Inc. (together with Windstream Holdings II, LLC, its successor in interest, and its subsidiaries, “Windstream”); the future prospects and financial health of Windstream;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effect of tax-related legislation on our tax position; our expectations regarding the future growth and demand of the telecommunication industry, future financing plans, business strategies, growth prospects, operating and financial performance, and our future liquidity needs and access to capital;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and expectations regarding the payment of dividends.</w:t>
      </w:r>
    </w:p>
    <w:p>
      <w:pPr>
        <w:spacing w:after="0" w:line="17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70"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prospects of our largest customer, Windstream, following its emergence from bankruptcy;</w:t>
      </w:r>
    </w:p>
    <w:p>
      <w:pPr>
        <w:spacing w:after="0" w:line="117" w:lineRule="exact"/>
        <w:rPr>
          <w:rFonts w:ascii="Arial" w:cs="Arial" w:eastAsia="Arial" w:hAnsi="Arial"/>
          <w:sz w:val="18"/>
          <w:szCs w:val="18"/>
          <w:color w:val="auto"/>
        </w:rPr>
      </w:pPr>
    </w:p>
    <w:p>
      <w:pPr>
        <w:ind w:left="1300" w:right="50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inflation and higher interest rates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300" w:right="34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300" w:hanging="644"/>
        <w:spacing w:after="0" w:line="286" w:lineRule="auto"/>
        <w:tabs>
          <w:tab w:leader="none" w:pos="1295"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and willingness of our customers to renew their leases with us upon their expiration, our ability to reach agreement on the price of such renewal or ability to obtain a satisfactory renewal rent from an independent appraisal, and the ability to reposition our properties on the same or better terms in the event of nonrenewal or in the event we replace an existing tenant;</w:t>
      </w:r>
    </w:p>
    <w:p>
      <w:pPr>
        <w:spacing w:after="0" w:line="57" w:lineRule="exact"/>
        <w:rPr>
          <w:rFonts w:ascii="Arial" w:cs="Arial" w:eastAsia="Arial" w:hAnsi="Arial"/>
          <w:sz w:val="17"/>
          <w:szCs w:val="17"/>
          <w:color w:val="auto"/>
        </w:rPr>
      </w:pPr>
    </w:p>
    <w:p>
      <w:pPr>
        <w:ind w:left="1300" w:right="76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generate sufficient cash flows to service our outstanding indebtedness and fund our capital funding commitments;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status as a REIT;</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cyber-attacks or terrorist attacks for which our insurance may not provide adequate coverage;</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300" w:right="300" w:hanging="644"/>
        <w:spacing w:after="0" w:line="277"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300" w:hanging="644"/>
        <w:spacing w:after="0" w:line="259" w:lineRule="auto"/>
        <w:tabs>
          <w:tab w:leader="none" w:pos="129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as well as those described from time to time in our future reports filed with the U.S. Securities and Exchange Commission (the “SEC”).</w:t>
      </w:r>
    </w:p>
    <w:p>
      <w:pPr>
        <w:spacing w:after="0" w:line="18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on Form 10-Q.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4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4"/>
              </w:rPr>
              <w:t>Uniti Group Inc.</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4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89"/>
              </w:rPr>
              <w:t>Table of Contents</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1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8840" w:type="dxa"/>
            <w:vAlign w:val="bottom"/>
            <w:gridSpan w:val="33"/>
            <w:vMerge w:val="restart"/>
          </w:tcPr>
          <w:p>
            <w:pPr>
              <w:spacing w:after="0"/>
              <w:rPr>
                <w:sz w:val="20"/>
                <w:szCs w:val="20"/>
                <w:color w:val="auto"/>
              </w:rPr>
            </w:pPr>
            <w:r>
              <w:rPr>
                <w:rFonts w:ascii="Arial" w:cs="Arial" w:eastAsia="Arial" w:hAnsi="Arial"/>
                <w:sz w:val="18"/>
                <w:szCs w:val="18"/>
                <w:b w:val="1"/>
                <w:bCs w:val="1"/>
                <w:color w:val="0000FF"/>
              </w:rPr>
              <w:t>FINANCIAL INFORMATION</w:t>
            </w: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360" w:type="dxa"/>
            <w:vAlign w:val="bottom"/>
            <w:gridSpan w:val="2"/>
            <w:vMerge w:val="continue"/>
          </w:tcPr>
          <w:p>
            <w:pPr>
              <w:spacing w:after="0"/>
              <w:rPr>
                <w:sz w:val="15"/>
                <w:szCs w:val="15"/>
                <w:color w:val="auto"/>
              </w:rPr>
            </w:pPr>
          </w:p>
        </w:tc>
        <w:tc>
          <w:tcPr>
            <w:tcW w:w="8840" w:type="dxa"/>
            <w:vAlign w:val="bottom"/>
            <w:gridSpan w:val="33"/>
            <w:vMerge w:val="continue"/>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42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9"/>
              </w:rPr>
              <w:t>Financial Statements (Unaudited)</w:t>
            </w:r>
          </w:p>
        </w:tc>
        <w:tc>
          <w:tcPr>
            <w:tcW w:w="642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7"/>
        </w:trPr>
        <w:tc>
          <w:tcPr>
            <w:tcW w:w="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40" w:type="dxa"/>
            <w:vAlign w:val="bottom"/>
            <w:gridSpan w:val="33"/>
          </w:tcPr>
          <w:p>
            <w:pPr>
              <w:spacing w:after="0"/>
              <w:rPr>
                <w:sz w:val="20"/>
                <w:szCs w:val="20"/>
                <w:color w:val="auto"/>
              </w:rPr>
            </w:pPr>
            <w:r>
              <w:rPr>
                <w:rFonts w:ascii="Arial" w:cs="Arial" w:eastAsia="Arial" w:hAnsi="Arial"/>
                <w:sz w:val="18"/>
                <w:szCs w:val="18"/>
                <w:b w:val="1"/>
                <w:bCs w:val="1"/>
                <w:color w:val="auto"/>
              </w:rPr>
              <w:t>Uniti Group Inc.</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40" w:type="dxa"/>
            <w:vAlign w:val="bottom"/>
            <w:gridSpan w:val="33"/>
          </w:tcPr>
          <w:p>
            <w:pPr>
              <w:spacing w:after="0"/>
              <w:rPr>
                <w:sz w:val="20"/>
                <w:szCs w:val="20"/>
                <w:color w:val="auto"/>
              </w:rPr>
            </w:pPr>
            <w:r>
              <w:rPr>
                <w:rFonts w:ascii="Arial" w:cs="Arial" w:eastAsia="Arial" w:hAnsi="Arial"/>
                <w:sz w:val="18"/>
                <w:szCs w:val="18"/>
                <w:color w:val="0000FF"/>
              </w:rPr>
              <w:t>Condensed Consolidated Balance Sheets</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spacing w:after="0"/>
              <w:rPr>
                <w:sz w:val="20"/>
                <w:szCs w:val="20"/>
                <w:color w:val="auto"/>
              </w:rPr>
            </w:pPr>
            <w:r>
              <w:rPr>
                <w:rFonts w:ascii="Arial" w:cs="Arial" w:eastAsia="Arial" w:hAnsi="Arial"/>
                <w:sz w:val="18"/>
                <w:szCs w:val="18"/>
                <w:color w:val="0000FF"/>
              </w:rPr>
              <w:t>Condensed Consolidated Statements of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spacing w:after="0"/>
              <w:rPr>
                <w:sz w:val="20"/>
                <w:szCs w:val="20"/>
                <w:color w:val="auto"/>
              </w:rPr>
            </w:pPr>
            <w:r>
              <w:rPr>
                <w:rFonts w:ascii="Arial" w:cs="Arial" w:eastAsia="Arial" w:hAnsi="Arial"/>
                <w:sz w:val="18"/>
                <w:szCs w:val="18"/>
                <w:color w:val="0000FF"/>
              </w:rPr>
              <w:t>Condensed Consolidated Statements of Comprehensive Income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80" w:type="dxa"/>
            <w:vAlign w:val="bottom"/>
            <w:tcBorders>
              <w:top w:val="single" w:sz="8" w:color="0000FF"/>
            </w:tcBorders>
            <w:gridSpan w:val="30"/>
          </w:tcPr>
          <w:p>
            <w:pPr>
              <w:spacing w:after="0"/>
              <w:rPr>
                <w:sz w:val="20"/>
                <w:szCs w:val="20"/>
                <w:color w:val="auto"/>
              </w:rPr>
            </w:pPr>
            <w:r>
              <w:rPr>
                <w:rFonts w:ascii="Arial" w:cs="Arial" w:eastAsia="Arial" w:hAnsi="Arial"/>
                <w:sz w:val="18"/>
                <w:szCs w:val="18"/>
                <w:color w:val="0000FF"/>
              </w:rPr>
              <w:t>Condensed Consolidated Statements of Shareholders’ Deficit</w:t>
            </w:r>
          </w:p>
        </w:tc>
        <w:tc>
          <w:tcPr>
            <w:tcW w:w="3760" w:type="dxa"/>
            <w:vAlign w:val="bottom"/>
            <w:gridSpan w:val="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700" w:type="dxa"/>
            <w:vAlign w:val="bottom"/>
            <w:tcBorders>
              <w:top w:val="single" w:sz="8" w:color="0000FF"/>
              <w:bottom w:val="single" w:sz="8" w:color="0000FF"/>
            </w:tcBorders>
            <w:gridSpan w:val="24"/>
          </w:tcPr>
          <w:p>
            <w:pPr>
              <w:spacing w:after="0"/>
              <w:rPr>
                <w:sz w:val="20"/>
                <w:szCs w:val="20"/>
                <w:color w:val="auto"/>
              </w:rPr>
            </w:pPr>
            <w:r>
              <w:rPr>
                <w:rFonts w:ascii="Arial" w:cs="Arial" w:eastAsia="Arial" w:hAnsi="Arial"/>
                <w:sz w:val="18"/>
                <w:szCs w:val="18"/>
                <w:color w:val="0000FF"/>
                <w:w w:val="87"/>
              </w:rPr>
              <w:t>Condensed Consolidated Statements of Cash Flows</w:t>
            </w:r>
          </w:p>
        </w:tc>
        <w:tc>
          <w:tcPr>
            <w:tcW w:w="700" w:type="dxa"/>
            <w:vAlign w:val="bottom"/>
            <w:tcBorders>
              <w:top w:val="single" w:sz="8" w:color="0000FF"/>
            </w:tcBorders>
            <w:gridSpan w:val="5"/>
          </w:tcPr>
          <w:p>
            <w:pPr>
              <w:spacing w:after="0"/>
              <w:rPr>
                <w:sz w:val="20"/>
                <w:szCs w:val="20"/>
                <w:color w:val="auto"/>
              </w:rPr>
            </w:pPr>
          </w:p>
        </w:tc>
        <w:tc>
          <w:tcPr>
            <w:tcW w:w="4440" w:type="dxa"/>
            <w:vAlign w:val="bottom"/>
            <w:gridSpan w:val="4"/>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40" w:type="dxa"/>
            <w:vAlign w:val="bottom"/>
            <w:gridSpan w:val="33"/>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980" w:type="dxa"/>
            <w:vAlign w:val="bottom"/>
            <w:tcBorders>
              <w:top w:val="single" w:sz="8" w:color="0000FF"/>
            </w:tcBorders>
            <w:gridSpan w:val="26"/>
          </w:tcPr>
          <w:p>
            <w:pPr>
              <w:ind w:left="220"/>
              <w:spacing w:after="0"/>
              <w:rPr>
                <w:sz w:val="20"/>
                <w:szCs w:val="20"/>
                <w:color w:val="auto"/>
              </w:rPr>
            </w:pPr>
            <w:r>
              <w:rPr>
                <w:rFonts w:ascii="Arial" w:cs="Arial" w:eastAsia="Arial" w:hAnsi="Arial"/>
                <w:sz w:val="18"/>
                <w:szCs w:val="18"/>
                <w:color w:val="0000FF"/>
              </w:rPr>
              <w:t>1.Organization and Description of Business</w:t>
            </w:r>
          </w:p>
        </w:tc>
        <w:tc>
          <w:tcPr>
            <w:tcW w:w="4860" w:type="dxa"/>
            <w:vAlign w:val="bottom"/>
            <w:gridSpan w:val="7"/>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2.Basis of Presentation and Summary of Significant Accounting Policies</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3.Revenues</w:t>
            </w: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4.Leases</w:t>
            </w: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5.Investments in Unconsolidated Entities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6.Fair Value of Financial Instruments</w:t>
            </w: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7.Property Plant and Equipment</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8.Derivative Instruments and Hedging Activities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9.Goodwill and Intangible Assets and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10.Notes and Other Debt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11.Earnings Per Share</w:t>
            </w: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12.Segment Information</w:t>
            </w: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13.Commitments and Contingencies</w:t>
            </w: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220"/>
              <w:spacing w:after="0"/>
              <w:rPr>
                <w:sz w:val="20"/>
                <w:szCs w:val="20"/>
                <w:color w:val="auto"/>
              </w:rPr>
            </w:pPr>
            <w:r>
              <w:rPr>
                <w:rFonts w:ascii="Arial" w:cs="Arial" w:eastAsia="Arial" w:hAnsi="Arial"/>
                <w:sz w:val="18"/>
                <w:szCs w:val="18"/>
                <w:color w:val="0000FF"/>
              </w:rPr>
              <w:t>14.Accumulated Other Comprehensive Loss</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5"/>
            <w:shd w:val="clear" w:color="auto" w:fill="0000FF"/>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32"/>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160"/>
              <w:spacing w:after="0"/>
              <w:rPr>
                <w:sz w:val="20"/>
                <w:szCs w:val="20"/>
                <w:color w:val="auto"/>
              </w:rPr>
            </w:pPr>
            <w:r>
              <w:rPr>
                <w:rFonts w:ascii="Arial" w:cs="Arial" w:eastAsia="Arial" w:hAnsi="Arial"/>
                <w:sz w:val="18"/>
                <w:szCs w:val="18"/>
                <w:color w:val="0000FF"/>
              </w:rPr>
              <w:t>1.Overview</w:t>
            </w: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160"/>
              <w:spacing w:after="0"/>
              <w:rPr>
                <w:sz w:val="20"/>
                <w:szCs w:val="20"/>
                <w:color w:val="auto"/>
              </w:rPr>
            </w:pPr>
            <w:r>
              <w:rPr>
                <w:rFonts w:ascii="Arial" w:cs="Arial" w:eastAsia="Arial" w:hAnsi="Arial"/>
                <w:sz w:val="18"/>
                <w:szCs w:val="18"/>
                <w:color w:val="0000FF"/>
              </w:rPr>
              <w:t>2.Results of Operations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160"/>
              <w:spacing w:after="0"/>
              <w:rPr>
                <w:sz w:val="20"/>
                <w:szCs w:val="20"/>
                <w:color w:val="auto"/>
              </w:rPr>
            </w:pPr>
            <w:r>
              <w:rPr>
                <w:rFonts w:ascii="Arial" w:cs="Arial" w:eastAsia="Arial" w:hAnsi="Arial"/>
                <w:sz w:val="18"/>
                <w:szCs w:val="18"/>
                <w:color w:val="0000FF"/>
              </w:rPr>
              <w:t>3.Non-GAAP Financial Measures</w:t>
            </w:r>
          </w:p>
        </w:tc>
        <w:tc>
          <w:tcPr>
            <w:tcW w:w="10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40" w:type="dxa"/>
            <w:vAlign w:val="bottom"/>
            <w:gridSpan w:val="33"/>
          </w:tcPr>
          <w:p>
            <w:pPr>
              <w:ind w:left="160"/>
              <w:spacing w:after="0"/>
              <w:rPr>
                <w:sz w:val="20"/>
                <w:szCs w:val="20"/>
                <w:color w:val="auto"/>
              </w:rPr>
            </w:pPr>
            <w:r>
              <w:rPr>
                <w:rFonts w:ascii="Arial" w:cs="Arial" w:eastAsia="Arial" w:hAnsi="Arial"/>
                <w:sz w:val="18"/>
                <w:szCs w:val="18"/>
                <w:color w:val="0000FF"/>
              </w:rPr>
              <w:t>4.Liquidity and Capital Resources</w:t>
            </w: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4"/>
            <w:shd w:val="clear" w:color="auto" w:fill="0000FF"/>
          </w:tcPr>
          <w:p>
            <w:pPr>
              <w:spacing w:after="0" w:line="20" w:lineRule="exact"/>
              <w:rPr>
                <w:sz w:val="1"/>
                <w:szCs w:val="1"/>
                <w:color w:val="auto"/>
              </w:rPr>
            </w:pPr>
          </w:p>
        </w:tc>
        <w:tc>
          <w:tcPr>
            <w:tcW w:w="17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4480" w:type="dxa"/>
            <w:vAlign w:val="bottom"/>
            <w:gridSpan w:val="5"/>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40" w:type="dxa"/>
            <w:vAlign w:val="bottom"/>
            <w:gridSpan w:val="33"/>
          </w:tcPr>
          <w:p>
            <w:pPr>
              <w:spacing w:after="0"/>
              <w:rPr>
                <w:sz w:val="20"/>
                <w:szCs w:val="20"/>
                <w:color w:val="auto"/>
              </w:rPr>
            </w:pPr>
            <w:r>
              <w:rPr>
                <w:rFonts w:ascii="Arial" w:cs="Arial" w:eastAsia="Arial" w:hAnsi="Arial"/>
                <w:sz w:val="18"/>
                <w:szCs w:val="18"/>
                <w:color w:val="0000FF"/>
              </w:rPr>
              <w:t>Controls and Procedures</w:t>
            </w: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9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b w:val="1"/>
                <w:bCs w:val="1"/>
                <w:color w:val="0000FF"/>
                <w:w w:val="99"/>
              </w:rPr>
              <w:t>OTHER INFORMATION</w:t>
            </w:r>
          </w:p>
        </w:tc>
        <w:tc>
          <w:tcPr>
            <w:tcW w:w="6860" w:type="dxa"/>
            <w:vAlign w:val="bottom"/>
            <w:gridSpan w:val="20"/>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13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8840" w:type="dxa"/>
            <w:vAlign w:val="bottom"/>
            <w:gridSpan w:val="33"/>
          </w:tcPr>
          <w:p>
            <w:pPr>
              <w:spacing w:after="0"/>
              <w:rPr>
                <w:sz w:val="20"/>
                <w:szCs w:val="20"/>
                <w:color w:val="auto"/>
              </w:rPr>
            </w:pPr>
            <w:r>
              <w:rPr>
                <w:rFonts w:ascii="Arial" w:cs="Arial" w:eastAsia="Arial" w:hAnsi="Arial"/>
                <w:sz w:val="18"/>
                <w:szCs w:val="18"/>
                <w:color w:val="0000FF"/>
              </w:rPr>
              <w:t>Legal Proceedings</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Risk Factors</w:t>
            </w:r>
          </w:p>
        </w:tc>
        <w:tc>
          <w:tcPr>
            <w:tcW w:w="7520" w:type="dxa"/>
            <w:vAlign w:val="bottom"/>
            <w:gridSpan w:val="23"/>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gridSpan w:val="5"/>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960" w:type="dxa"/>
            <w:vAlign w:val="bottom"/>
            <w:gridSpan w:val="13"/>
          </w:tcPr>
          <w:p>
            <w:pPr>
              <w:spacing w:after="0" w:line="20" w:lineRule="exact"/>
              <w:rPr>
                <w:sz w:val="1"/>
                <w:szCs w:val="1"/>
                <w:color w:val="auto"/>
              </w:rPr>
            </w:pPr>
          </w:p>
        </w:tc>
        <w:tc>
          <w:tcPr>
            <w:tcW w:w="450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840" w:type="dxa"/>
            <w:vAlign w:val="bottom"/>
            <w:gridSpan w:val="33"/>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8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91"/>
              </w:rPr>
              <w:t>Defaults Upon Senior Securities</w:t>
            </w:r>
          </w:p>
        </w:tc>
        <w:tc>
          <w:tcPr>
            <w:tcW w:w="1960" w:type="dxa"/>
            <w:vAlign w:val="bottom"/>
            <w:tcBorders>
              <w:top w:val="single" w:sz="8" w:color="0000FF"/>
            </w:tcBorders>
            <w:gridSpan w:val="13"/>
          </w:tcPr>
          <w:p>
            <w:pPr>
              <w:spacing w:after="0"/>
              <w:rPr>
                <w:sz w:val="20"/>
                <w:szCs w:val="20"/>
                <w:color w:val="auto"/>
              </w:rPr>
            </w:pPr>
          </w:p>
        </w:tc>
        <w:tc>
          <w:tcPr>
            <w:tcW w:w="4500" w:type="dxa"/>
            <w:vAlign w:val="bottom"/>
            <w:gridSpan w:val="6"/>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7"/>
        </w:trPr>
        <w:tc>
          <w:tcPr>
            <w:tcW w:w="13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840" w:type="dxa"/>
            <w:vAlign w:val="bottom"/>
            <w:gridSpan w:val="33"/>
          </w:tcPr>
          <w:p>
            <w:pPr>
              <w:spacing w:after="0"/>
              <w:rPr>
                <w:sz w:val="20"/>
                <w:szCs w:val="20"/>
                <w:color w:val="auto"/>
              </w:rPr>
            </w:pPr>
            <w:r>
              <w:rPr>
                <w:rFonts w:ascii="Arial" w:cs="Arial" w:eastAsia="Arial" w:hAnsi="Arial"/>
                <w:sz w:val="18"/>
                <w:szCs w:val="18"/>
                <w:color w:val="0000FF"/>
              </w:rPr>
              <w:t>Mine Safety Disclosures</w:t>
            </w: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rPr>
              <w:t>Other Information</w:t>
            </w:r>
          </w:p>
        </w:tc>
        <w:tc>
          <w:tcPr>
            <w:tcW w:w="7080" w:type="dxa"/>
            <w:vAlign w:val="bottom"/>
            <w:gridSpan w:val="22"/>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6"/>
        </w:trPr>
        <w:tc>
          <w:tcPr>
            <w:tcW w:w="13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Exhibits</w:t>
            </w:r>
          </w:p>
        </w:tc>
        <w:tc>
          <w:tcPr>
            <w:tcW w:w="7540" w:type="dxa"/>
            <w:vAlign w:val="bottom"/>
            <w:gridSpan w:val="24"/>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99"/>
        </w:trPr>
        <w:tc>
          <w:tcPr>
            <w:tcW w:w="136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ind w:left="20"/>
              <w:spacing w:after="0"/>
              <w:rPr>
                <w:sz w:val="20"/>
                <w:szCs w:val="20"/>
                <w:color w:val="auto"/>
              </w:rPr>
            </w:pPr>
            <w:r>
              <w:rPr>
                <w:rFonts w:ascii="Arial" w:cs="Arial" w:eastAsia="Arial" w:hAnsi="Arial"/>
                <w:sz w:val="14"/>
                <w:szCs w:val="14"/>
                <w:color w:val="auto"/>
              </w:rPr>
              <w:t>(Thousands, except par value)</w:t>
            </w:r>
          </w:p>
        </w:tc>
        <w:tc>
          <w:tcPr>
            <w:tcW w:w="24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March 31, 2023</w:t>
            </w:r>
          </w:p>
        </w:tc>
        <w:tc>
          <w:tcPr>
            <w:tcW w:w="180" w:type="dxa"/>
            <w:vAlign w:val="bottom"/>
          </w:tcPr>
          <w:p>
            <w:pPr>
              <w:spacing w:after="0"/>
              <w:rPr>
                <w:sz w:val="18"/>
                <w:szCs w:val="18"/>
                <w:color w:val="auto"/>
              </w:rPr>
            </w:pPr>
          </w:p>
        </w:tc>
        <w:tc>
          <w:tcPr>
            <w:tcW w:w="1520" w:type="dxa"/>
            <w:vAlign w:val="bottom"/>
          </w:tcPr>
          <w:p>
            <w:pPr>
              <w:jc w:val="right"/>
              <w:ind w:right="179"/>
              <w:spacing w:after="0"/>
              <w:rPr>
                <w:sz w:val="20"/>
                <w:szCs w:val="20"/>
                <w:color w:val="auto"/>
              </w:rPr>
            </w:pPr>
            <w:r>
              <w:rPr>
                <w:rFonts w:ascii="Arial" w:cs="Arial" w:eastAsia="Arial" w:hAnsi="Arial"/>
                <w:sz w:val="14"/>
                <w:szCs w:val="14"/>
                <w:b w:val="1"/>
                <w:bCs w:val="1"/>
                <w:color w:val="auto"/>
                <w:w w:val="98"/>
              </w:rPr>
              <w:t>December 31, 2022</w:t>
            </w:r>
          </w:p>
        </w:tc>
        <w:tc>
          <w:tcPr>
            <w:tcW w:w="0" w:type="dxa"/>
            <w:vAlign w:val="bottom"/>
          </w:tcPr>
          <w:p>
            <w:pPr>
              <w:spacing w:after="0"/>
              <w:rPr>
                <w:sz w:val="1"/>
                <w:szCs w:val="1"/>
                <w:color w:val="auto"/>
              </w:rPr>
            </w:pPr>
          </w:p>
        </w:tc>
      </w:tr>
      <w:tr>
        <w:trPr>
          <w:trHeight w:val="26"/>
        </w:trPr>
        <w:tc>
          <w:tcPr>
            <w:tcW w:w="7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3,855,189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3,754,547</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70,346</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43,803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Accounts receivable,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53,594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42,631</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361,378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361,378</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327,402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334,846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Straight-line revenue receivable</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74,654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68,595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Operating lease right-of-use assets, net</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85,551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88,545</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78,364</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77,597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Investment in unconsolidated entities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38,337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38,656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 assets,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43,384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40,631</w:t>
            </w:r>
          </w:p>
        </w:tc>
        <w:tc>
          <w:tcPr>
            <w:tcW w:w="0" w:type="dxa"/>
            <w:vAlign w:val="bottom"/>
          </w:tcPr>
          <w:p>
            <w:pPr>
              <w:spacing w:after="0"/>
              <w:rPr>
                <w:sz w:val="1"/>
                <w:szCs w:val="1"/>
                <w:color w:val="auto"/>
              </w:rPr>
            </w:pPr>
          </w:p>
        </w:tc>
      </w:tr>
      <w:tr>
        <w:trPr>
          <w:trHeight w:val="203"/>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4,988,199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20"/>
              <w:spacing w:after="0" w:line="178" w:lineRule="exact"/>
              <w:rPr>
                <w:sz w:val="20"/>
                <w:szCs w:val="20"/>
                <w:color w:val="auto"/>
              </w:rPr>
            </w:pPr>
            <w:r>
              <w:rPr>
                <w:rFonts w:ascii="Arial" w:cs="Arial" w:eastAsia="Arial" w:hAnsi="Arial"/>
                <w:sz w:val="16"/>
                <w:szCs w:val="16"/>
                <w:b w:val="1"/>
                <w:bCs w:val="1"/>
                <w:color w:val="auto"/>
              </w:rPr>
              <w:t>Liabilities and Shareholders'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Accounts payable, accrued expenses and other liabilities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125,832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122,195</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Settlement payable (Note 13)</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229,610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251,098</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Intangible liabilities, net</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164,418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167,092</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Accrued interest payable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72,726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121,316</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1,226,389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1,190,041</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Dividends payable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35,855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64,045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66,356</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Finance lease obligations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16,186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15,520</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Notes and other debt, net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5,377,313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5,188,815</w:t>
            </w:r>
          </w:p>
        </w:tc>
        <w:tc>
          <w:tcPr>
            <w:tcW w:w="0" w:type="dxa"/>
            <w:vAlign w:val="bottom"/>
          </w:tcPr>
          <w:p>
            <w:pPr>
              <w:spacing w:after="0"/>
              <w:rPr>
                <w:sz w:val="1"/>
                <w:szCs w:val="1"/>
                <w:color w:val="auto"/>
              </w:rPr>
            </w:pPr>
          </w:p>
        </w:tc>
      </w:tr>
      <w:tr>
        <w:trPr>
          <w:trHeight w:val="203"/>
        </w:trPr>
        <w:tc>
          <w:tcPr>
            <w:tcW w:w="7740" w:type="dxa"/>
            <w:vAlign w:val="bottom"/>
            <w:gridSpan w:val="2"/>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7,312,374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7,122,435</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7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Shareholders' Deficit:</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Preferred stock, $0.0001 par value, 50,000 shares authorized; no shares issued and outstanding</w:t>
            </w:r>
          </w:p>
        </w:tc>
        <w:tc>
          <w:tcPr>
            <w:tcW w:w="24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Common stock, $0.0001 par value, 500,000 shares authorized; issued and outstanding: 236,427 shares at</w:t>
            </w:r>
          </w:p>
        </w:tc>
        <w:tc>
          <w:tcPr>
            <w:tcW w:w="2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6"/>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March 31, 2023 and 235,829 at December 31, 2022</w:t>
            </w:r>
          </w:p>
        </w:tc>
        <w:tc>
          <w:tcPr>
            <w:tcW w:w="24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1,212,137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1,210,033</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Distributions in excess of accumulated earnings</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(3,538,683)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(3,483,634)</w:t>
            </w:r>
          </w:p>
        </w:tc>
        <w:tc>
          <w:tcPr>
            <w:tcW w:w="0" w:type="dxa"/>
            <w:vAlign w:val="bottom"/>
          </w:tcPr>
          <w:p>
            <w:pPr>
              <w:spacing w:after="0"/>
              <w:rPr>
                <w:sz w:val="1"/>
                <w:szCs w:val="1"/>
                <w:color w:val="auto"/>
              </w:rPr>
            </w:pPr>
          </w:p>
        </w:tc>
      </w:tr>
      <w:tr>
        <w:trPr>
          <w:trHeight w:val="33"/>
        </w:trPr>
        <w:tc>
          <w:tcPr>
            <w:tcW w:w="7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7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Total Uniti shareholders' deficit</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(2,326,522)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(2,273,577)</w:t>
            </w:r>
          </w:p>
        </w:tc>
        <w:tc>
          <w:tcPr>
            <w:tcW w:w="0" w:type="dxa"/>
            <w:vAlign w:val="bottom"/>
          </w:tcPr>
          <w:p>
            <w:pPr>
              <w:spacing w:after="0"/>
              <w:rPr>
                <w:sz w:val="1"/>
                <w:szCs w:val="1"/>
                <w:color w:val="auto"/>
              </w:rPr>
            </w:pPr>
          </w:p>
        </w:tc>
      </w:tr>
      <w:tr>
        <w:trPr>
          <w:trHeight w:val="210"/>
        </w:trPr>
        <w:tc>
          <w:tcPr>
            <w:tcW w:w="7740" w:type="dxa"/>
            <w:vAlign w:val="bottom"/>
            <w:gridSpan w:val="2"/>
          </w:tcPr>
          <w:p>
            <w:pPr>
              <w:ind w:left="180"/>
              <w:spacing w:after="0"/>
              <w:rPr>
                <w:sz w:val="20"/>
                <w:szCs w:val="20"/>
                <w:color w:val="auto"/>
              </w:rPr>
            </w:pPr>
            <w:r>
              <w:rPr>
                <w:rFonts w:ascii="Arial" w:cs="Arial" w:eastAsia="Arial" w:hAnsi="Arial"/>
                <w:sz w:val="16"/>
                <w:szCs w:val="16"/>
                <w:color w:val="auto"/>
              </w:rPr>
              <w:t>Noncontrolling interests:</w:t>
            </w: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6"/>
                <w:szCs w:val="16"/>
                <w:color w:val="auto"/>
              </w:rPr>
              <w:t>Operating partnership units</w:t>
            </w:r>
          </w:p>
        </w:tc>
        <w:tc>
          <w:tcPr>
            <w:tcW w:w="2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2,121</w:t>
            </w:r>
          </w:p>
        </w:tc>
        <w:tc>
          <w:tcPr>
            <w:tcW w:w="0" w:type="dxa"/>
            <w:vAlign w:val="bottom"/>
          </w:tcPr>
          <w:p>
            <w:pPr>
              <w:spacing w:after="0"/>
              <w:rPr>
                <w:sz w:val="1"/>
                <w:szCs w:val="1"/>
                <w:color w:val="auto"/>
              </w:rPr>
            </w:pPr>
          </w:p>
        </w:tc>
      </w:tr>
      <w:tr>
        <w:trPr>
          <w:trHeight w:val="193"/>
        </w:trPr>
        <w:tc>
          <w:tcPr>
            <w:tcW w:w="7740" w:type="dxa"/>
            <w:vAlign w:val="bottom"/>
            <w:gridSpan w:val="2"/>
          </w:tcPr>
          <w:p>
            <w:pPr>
              <w:ind w:left="360"/>
              <w:spacing w:after="0"/>
              <w:rPr>
                <w:sz w:val="20"/>
                <w:szCs w:val="20"/>
                <w:color w:val="auto"/>
              </w:rPr>
            </w:pPr>
            <w:r>
              <w:rPr>
                <w:rFonts w:ascii="Arial" w:cs="Arial" w:eastAsia="Arial" w:hAnsi="Arial"/>
                <w:sz w:val="16"/>
                <w:szCs w:val="16"/>
                <w:color w:val="auto"/>
              </w:rPr>
              <w:t>Cumulative non-voting convertible preferred stock, $0.01 par value, 6 shares authorized, 3 issued and</w:t>
            </w:r>
          </w:p>
        </w:tc>
        <w:tc>
          <w:tcPr>
            <w:tcW w:w="240" w:type="dxa"/>
            <w:vAlign w:val="bottom"/>
          </w:tcPr>
          <w:p>
            <w:pPr>
              <w:spacing w:after="0"/>
              <w:rPr>
                <w:sz w:val="16"/>
                <w:szCs w:val="16"/>
                <w:color w:val="auto"/>
              </w:rPr>
            </w:pPr>
          </w:p>
        </w:tc>
        <w:tc>
          <w:tcPr>
            <w:tcW w:w="146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restart"/>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19"/>
        </w:trPr>
        <w:tc>
          <w:tcPr>
            <w:tcW w:w="7740" w:type="dxa"/>
            <w:vAlign w:val="bottom"/>
            <w:tcBorders>
              <w:bottom w:val="single" w:sz="8" w:color="CCEEFF"/>
            </w:tcBorders>
            <w:gridSpan w:val="2"/>
          </w:tcPr>
          <w:p>
            <w:pPr>
              <w:ind w:left="360"/>
              <w:spacing w:after="0"/>
              <w:rPr>
                <w:sz w:val="20"/>
                <w:szCs w:val="20"/>
                <w:color w:val="auto"/>
              </w:rPr>
            </w:pPr>
            <w:r>
              <w:rPr>
                <w:rFonts w:ascii="Arial" w:cs="Arial" w:eastAsia="Arial" w:hAnsi="Arial"/>
                <w:sz w:val="16"/>
                <w:szCs w:val="16"/>
                <w:color w:val="auto"/>
              </w:rPr>
              <w:t>outstanding</w:t>
            </w: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74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color w:val="auto"/>
              </w:rPr>
              <w:t>Total shareholders' deficit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(2,324,175)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(2,271,206)</w:t>
            </w:r>
          </w:p>
        </w:tc>
        <w:tc>
          <w:tcPr>
            <w:tcW w:w="0" w:type="dxa"/>
            <w:vAlign w:val="bottom"/>
          </w:tcPr>
          <w:p>
            <w:pPr>
              <w:spacing w:after="0"/>
              <w:rPr>
                <w:sz w:val="1"/>
                <w:szCs w:val="1"/>
                <w:color w:val="auto"/>
              </w:rPr>
            </w:pPr>
          </w:p>
        </w:tc>
      </w:tr>
      <w:tr>
        <w:trPr>
          <w:trHeight w:val="203"/>
        </w:trPr>
        <w:tc>
          <w:tcPr>
            <w:tcW w:w="774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Liabilities and Shareholders' Deficit</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4,988,199</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4,851,229</w:t>
            </w:r>
          </w:p>
        </w:tc>
        <w:tc>
          <w:tcPr>
            <w:tcW w:w="0" w:type="dxa"/>
            <w:vAlign w:val="bottom"/>
          </w:tcPr>
          <w:p>
            <w:pPr>
              <w:spacing w:after="0"/>
              <w:rPr>
                <w:sz w:val="1"/>
                <w:szCs w:val="1"/>
                <w:color w:val="auto"/>
              </w:rPr>
            </w:pPr>
          </w:p>
        </w:tc>
      </w:tr>
      <w:tr>
        <w:trPr>
          <w:trHeight w:val="33"/>
        </w:trPr>
        <w:tc>
          <w:tcPr>
            <w:tcW w:w="7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9" w:lineRule="exact"/>
        <w:rPr>
          <w:sz w:val="20"/>
          <w:szCs w:val="20"/>
          <w:color w:val="auto"/>
        </w:rPr>
      </w:pPr>
    </w:p>
    <w:p>
      <w:pPr>
        <w:jc w:val="center"/>
        <w:ind w:right="-79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656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56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Pr>
          <w:p>
            <w:pPr>
              <w:spacing w:after="0"/>
              <w:rPr>
                <w:sz w:val="16"/>
                <w:szCs w:val="16"/>
                <w:color w:val="auto"/>
              </w:rPr>
            </w:pPr>
          </w:p>
        </w:tc>
        <w:tc>
          <w:tcPr>
            <w:tcW w:w="1180" w:type="dxa"/>
            <w:vAlign w:val="bottom"/>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6"/>
        </w:trPr>
        <w:tc>
          <w:tcPr>
            <w:tcW w:w="6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Leasing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210,808</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204,641</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Fiber Infrastructure</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0" w:type="dxa"/>
            <w:vAlign w:val="bottom"/>
          </w:tcPr>
          <w:p>
            <w:pPr>
              <w:spacing w:after="0"/>
              <w:rPr>
                <w:sz w:val="1"/>
                <w:szCs w:val="1"/>
                <w:color w:val="auto"/>
              </w:rPr>
            </w:pPr>
          </w:p>
        </w:tc>
      </w:tr>
      <w:tr>
        <w:trPr>
          <w:trHeight w:val="243"/>
        </w:trPr>
        <w:tc>
          <w:tcPr>
            <w:tcW w:w="6560" w:type="dxa"/>
            <w:vAlign w:val="bottom"/>
            <w:gridSpan w:val="2"/>
          </w:tcPr>
          <w:p>
            <w:pPr>
              <w:ind w:left="420"/>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289,822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278,034</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148,863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71,457</w:t>
            </w:r>
          </w:p>
        </w:tc>
        <w:tc>
          <w:tcPr>
            <w:tcW w:w="0" w:type="dxa"/>
            <w:vAlign w:val="bottom"/>
          </w:tcPr>
          <w:p>
            <w:pPr>
              <w:spacing w:after="0"/>
              <w:rPr>
                <w:sz w:val="1"/>
                <w:szCs w:val="1"/>
                <w:color w:val="auto"/>
              </w:rPr>
            </w:pPr>
          </w:p>
        </w:tc>
      </w:tr>
      <w:tr>
        <w:trPr>
          <w:trHeight w:val="25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General and administrative expense</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28,433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23,870</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expense (exclusive of depreciation and amortization)</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0" w:type="dxa"/>
            <w:vAlign w:val="bottom"/>
          </w:tcPr>
          <w:p>
            <w:pPr>
              <w:spacing w:after="0"/>
              <w:rPr>
                <w:sz w:val="1"/>
                <w:szCs w:val="1"/>
                <w:color w:val="auto"/>
              </w:rPr>
            </w:pPr>
          </w:p>
        </w:tc>
      </w:tr>
      <w:tr>
        <w:trPr>
          <w:trHeight w:val="25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Transaction related and other costs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2,788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43"/>
        </w:trPr>
        <w:tc>
          <w:tcPr>
            <w:tcW w:w="6560" w:type="dxa"/>
            <w:vAlign w:val="bottom"/>
            <w:tcBorders>
              <w:bottom w:val="single" w:sz="8" w:color="CCEEFF"/>
            </w:tcBorders>
            <w:gridSpan w:val="2"/>
          </w:tcPr>
          <w:p>
            <w:pPr>
              <w:ind w:left="420"/>
              <w:spacing w:after="0"/>
              <w:rPr>
                <w:sz w:val="20"/>
                <w:szCs w:val="20"/>
                <w:color w:val="auto"/>
              </w:rPr>
            </w:pPr>
            <w:r>
              <w:rPr>
                <w:rFonts w:ascii="Arial" w:cs="Arial" w:eastAsia="Arial" w:hAnsi="Arial"/>
                <w:sz w:val="18"/>
                <w:szCs w:val="18"/>
                <w:color w:val="auto"/>
              </w:rPr>
              <w:t>Total costs and expenses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312,106</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227,791</w:t>
            </w:r>
          </w:p>
        </w:tc>
        <w:tc>
          <w:tcPr>
            <w:tcW w:w="0" w:type="dxa"/>
            <w:vAlign w:val="bottom"/>
          </w:tcPr>
          <w:p>
            <w:pPr>
              <w:spacing w:after="0"/>
              <w:rPr>
                <w:sz w:val="1"/>
                <w:szCs w:val="1"/>
                <w:color w:val="auto"/>
              </w:rPr>
            </w:pPr>
          </w:p>
        </w:tc>
      </w:tr>
      <w:tr>
        <w:trPr>
          <w:trHeight w:val="257"/>
        </w:trPr>
        <w:tc>
          <w:tcPr>
            <w:tcW w:w="6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(Loss) income before income taxes and equity in earnings from unconsolidated</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entities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(22,284)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50,243</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Income tax benefit</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Equity in earnings from unconsolidated entities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57"/>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56"/>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shareholders</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52,730</w:t>
            </w:r>
          </w:p>
        </w:tc>
        <w:tc>
          <w:tcPr>
            <w:tcW w:w="0" w:type="dxa"/>
            <w:vAlign w:val="bottom"/>
          </w:tcPr>
          <w:p>
            <w:pPr>
              <w:spacing w:after="0"/>
              <w:rPr>
                <w:sz w:val="1"/>
                <w:szCs w:val="1"/>
                <w:color w:val="auto"/>
              </w:rPr>
            </w:pPr>
          </w:p>
        </w:tc>
      </w:tr>
      <w:tr>
        <w:trPr>
          <w:trHeight w:val="250"/>
        </w:trPr>
        <w:tc>
          <w:tcPr>
            <w:tcW w:w="6560" w:type="dxa"/>
            <w:vAlign w:val="bottom"/>
            <w:gridSpan w:val="2"/>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63"/>
        </w:trPr>
        <w:tc>
          <w:tcPr>
            <w:tcW w:w="6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4"/>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(19,454)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52,394</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60" w:type="dxa"/>
            <w:vAlign w:val="bottom"/>
            <w:gridSpan w:val="2"/>
          </w:tcPr>
          <w:p>
            <w:pPr>
              <w:ind w:left="20"/>
              <w:spacing w:after="0"/>
              <w:rPr>
                <w:sz w:val="20"/>
                <w:szCs w:val="20"/>
                <w:color w:val="auto"/>
              </w:rPr>
            </w:pPr>
            <w:r>
              <w:rPr>
                <w:rFonts w:ascii="Arial" w:cs="Arial" w:eastAsia="Arial" w:hAnsi="Arial"/>
                <w:sz w:val="18"/>
                <w:szCs w:val="18"/>
                <w:b w:val="1"/>
                <w:bCs w:val="1"/>
                <w:color w:val="auto"/>
              </w:rPr>
              <w:t>(Loss) income per common share: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6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gridSpan w:val="2"/>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6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Weighted-average number of common shares outstanding:</w:t>
      </w:r>
    </w:p>
    <w:p>
      <w:pPr>
        <w:spacing w:after="0" w:line="47" w:lineRule="exact"/>
        <w:rPr>
          <w:sz w:val="20"/>
          <w:szCs w:val="20"/>
          <w:color w:val="auto"/>
        </w:rPr>
      </w:pPr>
    </w:p>
    <w:tbl>
      <w:tblPr>
        <w:tblLayout w:type="fixed"/>
        <w:tblInd w:w="800" w:type="dxa"/>
        <w:tblCellMar>
          <w:top w:w="0" w:type="dxa"/>
          <w:left w:w="0" w:type="dxa"/>
          <w:bottom w:w="0" w:type="dxa"/>
          <w:right w:w="0" w:type="dxa"/>
        </w:tblCellMar>
      </w:tblPr>
      <w:tr>
        <w:trPr>
          <w:trHeight w:val="275"/>
        </w:trPr>
        <w:tc>
          <w:tcPr>
            <w:tcW w:w="6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236,090</w:t>
            </w:r>
          </w:p>
        </w:tc>
        <w:tc>
          <w:tcPr>
            <w:tcW w:w="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235,046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Diluted</w:t>
            </w: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60" w:type="dxa"/>
            <w:vAlign w:val="bottom"/>
            <w:vMerge w:val="continue"/>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236,090</w:t>
            </w:r>
          </w:p>
        </w:tc>
        <w:tc>
          <w:tcPr>
            <w:tcW w:w="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267,304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40"/>
          </w:cols>
          <w:pgMar w:left="320" w:top="125" w:right="11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759"/>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65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65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6"/>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52,858</w:t>
            </w:r>
          </w:p>
        </w:tc>
      </w:tr>
      <w:tr>
        <w:trPr>
          <w:trHeight w:val="250"/>
        </w:trPr>
        <w:tc>
          <w:tcPr>
            <w:tcW w:w="65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63"/>
        </w:trPr>
        <w:tc>
          <w:tcPr>
            <w:tcW w:w="65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rate swap termination</w:t>
            </w:r>
          </w:p>
        </w:tc>
        <w:tc>
          <w:tcPr>
            <w:tcW w:w="32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43"/>
        </w:trPr>
        <w:tc>
          <w:tcPr>
            <w:tcW w:w="65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57"/>
        </w:trPr>
        <w:tc>
          <w:tcPr>
            <w:tcW w:w="6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3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55,688</w:t>
            </w:r>
          </w:p>
        </w:tc>
      </w:tr>
      <w:tr>
        <w:trPr>
          <w:trHeight w:val="250"/>
        </w:trPr>
        <w:tc>
          <w:tcPr>
            <w:tcW w:w="65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Comprehensive (loss) income attributable to noncontrolling interest</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75"/>
        </w:trPr>
        <w:tc>
          <w:tcPr>
            <w:tcW w:w="65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 income attributable to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55,553</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25" w:right="109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7"/>
          </w:tcPr>
          <w:p>
            <w:pPr>
              <w:ind w:left="40"/>
              <w:spacing w:after="0"/>
              <w:rPr>
                <w:sz w:val="20"/>
                <w:szCs w:val="20"/>
                <w:color w:val="auto"/>
              </w:rPr>
            </w:pPr>
            <w:r>
              <w:rPr>
                <w:rFonts w:ascii="Arial" w:cs="Arial" w:eastAsia="Arial" w:hAnsi="Arial"/>
                <w:sz w:val="14"/>
                <w:szCs w:val="14"/>
                <w:b w:val="1"/>
                <w:bCs w:val="1"/>
                <w:color w:val="auto"/>
              </w:rPr>
              <w:t>For the three months ended March 31,</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64"/>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6"/>
              </w:rPr>
              <w:t>Distributions</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Accumulated</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rPr>
              <w:t>in</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color w:val="auto"/>
              </w:rPr>
              <w:t>Interest - Non-</w:t>
            </w:r>
          </w:p>
        </w:tc>
        <w:tc>
          <w:tcPr>
            <w:tcW w:w="820" w:type="dxa"/>
            <w:vAlign w:val="bottom"/>
          </w:tcPr>
          <w:p>
            <w:pPr>
              <w:spacing w:after="0"/>
              <w:rPr>
                <w:sz w:val="14"/>
                <w:szCs w:val="14"/>
                <w:color w:val="auto"/>
              </w:rPr>
            </w:pP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Additional</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Other</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Excess of</w:t>
            </w:r>
          </w:p>
        </w:tc>
        <w:tc>
          <w:tcPr>
            <w:tcW w:w="1000" w:type="dxa"/>
            <w:vAlign w:val="bottom"/>
            <w:gridSpan w:val="3"/>
          </w:tcPr>
          <w:p>
            <w:pPr>
              <w:ind w:left="20"/>
              <w:spacing w:after="0"/>
              <w:rPr>
                <w:sz w:val="20"/>
                <w:szCs w:val="20"/>
                <w:color w:val="auto"/>
              </w:rPr>
            </w:pPr>
            <w:r>
              <w:rPr>
                <w:rFonts w:ascii="Arial" w:cs="Arial" w:eastAsia="Arial" w:hAnsi="Arial"/>
                <w:sz w:val="14"/>
                <w:szCs w:val="14"/>
                <w:color w:val="auto"/>
              </w:rPr>
              <w:t>Noncontrolling</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voting</w:t>
            </w: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Total</w:t>
            </w:r>
          </w:p>
        </w:tc>
      </w:tr>
      <w:tr>
        <w:trPr>
          <w:trHeight w:val="162"/>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Paid-in</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color w:val="auto"/>
                <w:w w:val="91"/>
              </w:rPr>
              <w:t>Comprehensive</w:t>
            </w:r>
          </w:p>
        </w:tc>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Accumulated</w:t>
            </w:r>
          </w:p>
        </w:tc>
        <w:tc>
          <w:tcPr>
            <w:tcW w:w="8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w w:val="90"/>
              </w:rPr>
              <w:t>Interest - OP</w:t>
            </w:r>
          </w:p>
        </w:tc>
        <w:tc>
          <w:tcPr>
            <w:tcW w:w="14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Preferred</w:t>
            </w:r>
          </w:p>
        </w:tc>
        <w:tc>
          <w:tcPr>
            <w:tcW w:w="820" w:type="dxa"/>
            <w:vAlign w:val="bottom"/>
          </w:tcPr>
          <w:p>
            <w:pPr>
              <w:jc w:val="center"/>
              <w:spacing w:after="0"/>
              <w:rPr>
                <w:sz w:val="20"/>
                <w:szCs w:val="20"/>
                <w:color w:val="auto"/>
              </w:rPr>
            </w:pPr>
            <w:r>
              <w:rPr>
                <w:rFonts w:ascii="Arial" w:cs="Arial" w:eastAsia="Arial" w:hAnsi="Arial"/>
                <w:sz w:val="14"/>
                <w:szCs w:val="14"/>
                <w:color w:val="auto"/>
                <w:w w:val="90"/>
              </w:rPr>
              <w:t>Shareholders'</w:t>
            </w:r>
          </w:p>
        </w:tc>
      </w:tr>
      <w:tr>
        <w:trPr>
          <w:trHeight w:val="196"/>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(Thousands, except share data)</w:t>
            </w:r>
          </w:p>
        </w:tc>
        <w:tc>
          <w:tcPr>
            <w:tcW w:w="1440" w:type="dxa"/>
            <w:vAlign w:val="bottom"/>
            <w:gridSpan w:val="5"/>
          </w:tcPr>
          <w:p>
            <w:pPr>
              <w:ind w:left="220"/>
              <w:spacing w:after="0"/>
              <w:rPr>
                <w:sz w:val="20"/>
                <w:szCs w:val="20"/>
                <w:color w:val="auto"/>
              </w:rPr>
            </w:pPr>
            <w:r>
              <w:rPr>
                <w:rFonts w:ascii="Arial" w:cs="Arial" w:eastAsia="Arial" w:hAnsi="Arial"/>
                <w:sz w:val="14"/>
                <w:szCs w:val="14"/>
                <w:color w:val="auto"/>
              </w:rPr>
              <w:t>Preferred Stock</w:t>
            </w:r>
          </w:p>
        </w:tc>
        <w:tc>
          <w:tcPr>
            <w:tcW w:w="1620" w:type="dxa"/>
            <w:vAlign w:val="bottom"/>
            <w:gridSpan w:val="5"/>
          </w:tcPr>
          <w:p>
            <w:pPr>
              <w:ind w:left="320"/>
              <w:spacing w:after="0"/>
              <w:rPr>
                <w:sz w:val="20"/>
                <w:szCs w:val="20"/>
                <w:color w:val="auto"/>
              </w:rPr>
            </w:pPr>
            <w:r>
              <w:rPr>
                <w:rFonts w:ascii="Arial" w:cs="Arial" w:eastAsia="Arial" w:hAnsi="Arial"/>
                <w:sz w:val="14"/>
                <w:szCs w:val="14"/>
                <w:color w:val="auto"/>
              </w:rPr>
              <w:t>Common Stock</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color w:val="auto"/>
                <w:w w:val="91"/>
              </w:rPr>
              <w:t>Capital</w:t>
            </w:r>
          </w:p>
        </w:tc>
        <w:tc>
          <w:tcPr>
            <w:tcW w:w="100" w:type="dxa"/>
            <w:vAlign w:val="bottom"/>
          </w:tcPr>
          <w:p>
            <w:pPr>
              <w:spacing w:after="0"/>
              <w:rPr>
                <w:sz w:val="17"/>
                <w:szCs w:val="17"/>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87"/>
              </w:rPr>
              <w:t>Loss</w:t>
            </w:r>
          </w:p>
        </w:tc>
        <w:tc>
          <w:tcPr>
            <w:tcW w:w="900" w:type="dxa"/>
            <w:vAlign w:val="bottom"/>
            <w:gridSpan w:val="2"/>
          </w:tcPr>
          <w:p>
            <w:pPr>
              <w:jc w:val="center"/>
              <w:ind w:right="80"/>
              <w:spacing w:after="0"/>
              <w:rPr>
                <w:sz w:val="20"/>
                <w:szCs w:val="20"/>
                <w:color w:val="auto"/>
              </w:rPr>
            </w:pPr>
            <w:r>
              <w:rPr>
                <w:rFonts w:ascii="Arial" w:cs="Arial" w:eastAsia="Arial" w:hAnsi="Arial"/>
                <w:sz w:val="14"/>
                <w:szCs w:val="14"/>
                <w:color w:val="auto"/>
                <w:w w:val="90"/>
              </w:rPr>
              <w:t>Earnings</w:t>
            </w:r>
          </w:p>
        </w:tc>
        <w:tc>
          <w:tcPr>
            <w:tcW w:w="80" w:type="dxa"/>
            <w:vAlign w:val="bottom"/>
          </w:tcPr>
          <w:p>
            <w:pPr>
              <w:spacing w:after="0"/>
              <w:rPr>
                <w:sz w:val="17"/>
                <w:szCs w:val="17"/>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4"/>
                <w:szCs w:val="14"/>
                <w:color w:val="auto"/>
              </w:rPr>
              <w:t>Units</w:t>
            </w:r>
          </w:p>
        </w:tc>
        <w:tc>
          <w:tcPr>
            <w:tcW w:w="140" w:type="dxa"/>
            <w:vAlign w:val="bottom"/>
          </w:tcPr>
          <w:p>
            <w:pPr>
              <w:spacing w:after="0"/>
              <w:rPr>
                <w:sz w:val="17"/>
                <w:szCs w:val="17"/>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color w:val="auto"/>
                <w:w w:val="85"/>
              </w:rPr>
              <w:t>Shares</w:t>
            </w:r>
          </w:p>
        </w:tc>
        <w:tc>
          <w:tcPr>
            <w:tcW w:w="820" w:type="dxa"/>
            <w:vAlign w:val="bottom"/>
          </w:tcPr>
          <w:p>
            <w:pPr>
              <w:jc w:val="center"/>
              <w:spacing w:after="0"/>
              <w:rPr>
                <w:sz w:val="20"/>
                <w:szCs w:val="20"/>
                <w:color w:val="auto"/>
              </w:rPr>
            </w:pPr>
            <w:r>
              <w:rPr>
                <w:rFonts w:ascii="Arial" w:cs="Arial" w:eastAsia="Arial" w:hAnsi="Arial"/>
                <w:sz w:val="14"/>
                <w:szCs w:val="14"/>
                <w:color w:val="auto"/>
              </w:rPr>
              <w:t>Deficit</w:t>
            </w:r>
          </w:p>
        </w:tc>
      </w:tr>
      <w:tr>
        <w:trPr>
          <w:trHeight w:val="26"/>
        </w:trPr>
        <w:tc>
          <w:tcPr>
            <w:tcW w:w="2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900" w:type="dxa"/>
            <w:vAlign w:val="bottom"/>
            <w:gridSpan w:val="2"/>
          </w:tcPr>
          <w:p>
            <w:pPr>
              <w:ind w:left="22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6"/>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r>
      <w:tr>
        <w:trPr>
          <w:trHeight w:val="189"/>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2021</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234,779,247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1,214,830</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(9,164)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(3,333,481)</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13,893</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(2,113,774)</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52,730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52,858</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2,823</w:t>
            </w:r>
          </w:p>
        </w:tc>
        <w:tc>
          <w:tcPr>
            <w:tcW w:w="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2,830</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($0.15 per share)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(35,905)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(35,905)</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Cumulative non-voting convertible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preferred stock</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Exchange of noncontrolling interest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157,733</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(3,158)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(1,525)</w:t>
            </w:r>
          </w:p>
        </w:tc>
      </w:tr>
      <w:tr>
        <w:trPr>
          <w:trHeight w:val="26"/>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331,686</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3,312</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Issuance of common stock - employee</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 purchase plan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29,324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264</w:t>
            </w:r>
          </w:p>
        </w:tc>
      </w:tr>
      <w:tr>
        <w:trPr>
          <w:trHeight w:val="26"/>
        </w:trPr>
        <w:tc>
          <w:tcPr>
            <w:tcW w:w="23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29"/>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Balance at March 31 2022</w:t>
            </w: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5"/>
              </w:rPr>
              <w:t>235,297,990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1,220,039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(6,341)</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(3,316,781)</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10,788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(2,092,022)</w:t>
            </w: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163"/>
        </w:trPr>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6"/>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Balance at December 31, 2022</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235,829,485</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1,210,033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(3,483,634)</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2,121</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(2,271,206)</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(19,202)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(19,211)</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Common stock dividends declared</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($0.15 per share)</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(35,847)</w:t>
            </w: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(35,847)</w:t>
            </w:r>
          </w:p>
        </w:tc>
      </w:tr>
      <w:tr>
        <w:trPr>
          <w:trHeight w:val="17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Distributions to noncontrolling interest</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2"/>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declared</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 for settlement of common</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warrant</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19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Termination of bond hedge option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Payments related to tax withholding for</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(1,343)</w:t>
            </w:r>
          </w:p>
        </w:tc>
      </w:tr>
      <w:tr>
        <w:trPr>
          <w:trHeight w:val="191"/>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7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530,861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3,130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3,130</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17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Issuance of common stock - employee</w:t>
            </w: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stock purchase plan</w:t>
            </w:r>
          </w:p>
        </w:tc>
        <w:tc>
          <w:tcPr>
            <w:tcW w:w="70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66,904</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314</w:t>
            </w:r>
          </w:p>
        </w:tc>
      </w:tr>
      <w:tr>
        <w:trPr>
          <w:trHeight w:val="210"/>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Balance at March 31, 2023</w:t>
            </w:r>
          </w:p>
        </w:tc>
        <w:tc>
          <w:tcPr>
            <w:tcW w:w="6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5"/>
              </w:rPr>
              <w:t>236,427,250</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1,212,137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(3,538,683)</w:t>
            </w: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2,097</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3"/>
              </w:rPr>
              <w:t>$ (2,324,175)</w:t>
            </w:r>
          </w:p>
        </w:tc>
      </w:tr>
      <w:tr>
        <w:trPr>
          <w:trHeight w:val="20"/>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80" w:type="dxa"/>
            <w:vAlign w:val="bottom"/>
            <w:gridSpan w:val="4"/>
          </w:tcPr>
          <w:p>
            <w:pPr>
              <w:jc w:val="right"/>
              <w:ind w:right="571"/>
              <w:spacing w:after="0"/>
              <w:rPr>
                <w:sz w:val="20"/>
                <w:szCs w:val="20"/>
                <w:color w:val="auto"/>
              </w:rPr>
            </w:pPr>
            <w:r>
              <w:rPr>
                <w:rFonts w:ascii="Arial" w:cs="Arial" w:eastAsia="Arial" w:hAnsi="Arial"/>
                <w:sz w:val="13"/>
                <w:szCs w:val="13"/>
                <w:b w:val="1"/>
                <w:bCs w:val="1"/>
                <w:color w:val="auto"/>
              </w:rPr>
              <w:t>Three Months Ended March 31,</w:t>
            </w:r>
          </w:p>
        </w:tc>
      </w:tr>
      <w:tr>
        <w:trPr>
          <w:trHeight w:val="29"/>
        </w:trPr>
        <w:tc>
          <w:tcPr>
            <w:tcW w:w="8180" w:type="dxa"/>
            <w:vAlign w:val="bottom"/>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67"/>
        </w:trPr>
        <w:tc>
          <w:tcPr>
            <w:tcW w:w="8180" w:type="dxa"/>
            <w:vAlign w:val="bottom"/>
            <w:gridSpan w:val="2"/>
          </w:tcPr>
          <w:p>
            <w:pPr>
              <w:ind w:left="20"/>
              <w:spacing w:after="0"/>
              <w:rPr>
                <w:sz w:val="20"/>
                <w:szCs w:val="20"/>
                <w:color w:val="auto"/>
              </w:rPr>
            </w:pPr>
            <w:r>
              <w:rPr>
                <w:rFonts w:ascii="Arial" w:cs="Arial" w:eastAsia="Arial" w:hAnsi="Arial"/>
                <w:sz w:val="13"/>
                <w:szCs w:val="13"/>
                <w:color w:val="auto"/>
              </w:rPr>
              <w:t>(Thousands)</w:t>
            </w:r>
          </w:p>
        </w:tc>
        <w:tc>
          <w:tcPr>
            <w:tcW w:w="380" w:type="dxa"/>
            <w:vAlign w:val="bottom"/>
          </w:tcPr>
          <w:p>
            <w:pPr>
              <w:spacing w:after="0"/>
              <w:rPr>
                <w:sz w:val="14"/>
                <w:szCs w:val="14"/>
                <w:color w:val="auto"/>
              </w:rPr>
            </w:pPr>
          </w:p>
        </w:tc>
        <w:tc>
          <w:tcPr>
            <w:tcW w:w="1120" w:type="dxa"/>
            <w:vAlign w:val="bottom"/>
          </w:tcPr>
          <w:p>
            <w:pPr>
              <w:jc w:val="right"/>
              <w:ind w:right="531"/>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jc w:val="right"/>
              <w:ind w:right="511"/>
              <w:spacing w:after="0"/>
              <w:rPr>
                <w:sz w:val="20"/>
                <w:szCs w:val="20"/>
                <w:color w:val="auto"/>
              </w:rPr>
            </w:pPr>
            <w:r>
              <w:rPr>
                <w:rFonts w:ascii="Arial" w:cs="Arial" w:eastAsia="Arial" w:hAnsi="Arial"/>
                <w:sz w:val="13"/>
                <w:szCs w:val="13"/>
                <w:b w:val="1"/>
                <w:bCs w:val="1"/>
                <w:color w:val="auto"/>
              </w:rPr>
              <w:t>2022</w:t>
            </w:r>
          </w:p>
        </w:tc>
      </w:tr>
      <w:tr>
        <w:trPr>
          <w:trHeight w:val="29"/>
        </w:trPr>
        <w:tc>
          <w:tcPr>
            <w:tcW w:w="80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3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Net (loss) income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(19,211)</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52,858</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76,775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71,457</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Loss on extinguishment of debt, net</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31,187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rate swap termination</w:t>
            </w:r>
          </w:p>
        </w:tc>
        <w:tc>
          <w:tcPr>
            <w:tcW w:w="3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(2,754)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Equity in earnings of unconsolidated entities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Distributions of cumulative earnings from unconsolidated entities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 rate swap settlement</w:t>
            </w:r>
          </w:p>
        </w:tc>
        <w:tc>
          <w:tcPr>
            <w:tcW w:w="3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Straight-line revenues and amortization of below-market lease intangibles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(9,427)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(11,022)</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Loss (gain) on asset disposals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663</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Accretion of settlement obligation</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8180" w:type="dxa"/>
            <w:vAlign w:val="bottom"/>
            <w:gridSpan w:val="2"/>
          </w:tcPr>
          <w:p>
            <w:pPr>
              <w:ind w:left="36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(10,963)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(2,814)</w:t>
            </w:r>
          </w:p>
        </w:tc>
      </w:tr>
      <w:tr>
        <w:trPr>
          <w:trHeight w:val="263"/>
        </w:trPr>
        <w:tc>
          <w:tcPr>
            <w:tcW w:w="8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50"/>
        </w:trPr>
        <w:tc>
          <w:tcPr>
            <w:tcW w:w="818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(68,605)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(54,920)</w:t>
            </w:r>
          </w:p>
        </w:tc>
      </w:tr>
      <w:tr>
        <w:trPr>
          <w:trHeight w:val="257"/>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63,221</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(114,981)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(94,728)</w:t>
            </w:r>
          </w:p>
        </w:tc>
      </w:tr>
      <w:tr>
        <w:trPr>
          <w:trHeight w:val="250"/>
        </w:trPr>
        <w:tc>
          <w:tcPr>
            <w:tcW w:w="818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Proceeds from sale of other equipment</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(114,374)</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(94,349)</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3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(2,263,662)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notes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2,600,000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Dividends paid</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Payments of settlement payable</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(24,505)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Borrowings under revolving credit facility</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Payments under revolving credit facility</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(253,000)</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(60,000)</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Finance lease payments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Payments for financing costs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(26,688)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 for settlement of common stock warrant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Termination of bond hedge option</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Costs related to the early repayment of debt</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8180" w:type="dxa"/>
            <w:vAlign w:val="bottom"/>
            <w:gridSpan w:val="2"/>
          </w:tcPr>
          <w:p>
            <w:pPr>
              <w:ind w:left="180"/>
              <w:spacing w:after="0"/>
              <w:rPr>
                <w:sz w:val="20"/>
                <w:szCs w:val="20"/>
                <w:color w:val="auto"/>
              </w:rPr>
            </w:pPr>
            <w:r>
              <w:rPr>
                <w:rFonts w:ascii="Arial" w:cs="Arial" w:eastAsia="Arial" w:hAnsi="Arial"/>
                <w:sz w:val="18"/>
                <w:szCs w:val="18"/>
                <w:color w:val="auto"/>
              </w:rPr>
              <w:t>Employee stock purchase program</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264</w:t>
            </w:r>
          </w:p>
        </w:tc>
      </w:tr>
      <w:tr>
        <w:trPr>
          <w:trHeight w:val="263"/>
        </w:trPr>
        <w:tc>
          <w:tcPr>
            <w:tcW w:w="81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related to tax withholding for stock-based compensation</w:t>
            </w:r>
          </w:p>
        </w:tc>
        <w:tc>
          <w:tcPr>
            <w:tcW w:w="3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44"/>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126,355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23,354</w:t>
            </w:r>
          </w:p>
        </w:tc>
      </w:tr>
      <w:tr>
        <w:trPr>
          <w:trHeight w:val="256"/>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26,543</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(7,774)</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43,803</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58,903</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70,346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51,129</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62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Non-cash investing and financing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80" w:type="dxa"/>
            <w:vAlign w:val="bottom"/>
          </w:tcPr>
          <w:p>
            <w:pPr>
              <w:ind w:left="180"/>
              <w:spacing w:after="0"/>
              <w:rPr>
                <w:sz w:val="20"/>
                <w:szCs w:val="20"/>
                <w:color w:val="auto"/>
              </w:rPr>
            </w:pPr>
            <w:r>
              <w:rPr>
                <w:rFonts w:ascii="Arial" w:cs="Arial" w:eastAsia="Arial" w:hAnsi="Arial"/>
                <w:sz w:val="18"/>
                <w:szCs w:val="18"/>
                <w:color w:val="auto"/>
              </w:rPr>
              <w:t>Property and equipment acquired but not yet paid</w:t>
            </w:r>
          </w:p>
        </w:tc>
        <w:tc>
          <w:tcPr>
            <w:tcW w:w="27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13,049</w:t>
            </w:r>
          </w:p>
        </w:tc>
        <w:tc>
          <w:tcPr>
            <w:tcW w:w="5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13,338</w:t>
            </w:r>
          </w:p>
        </w:tc>
      </w:tr>
      <w:tr>
        <w:trPr>
          <w:trHeight w:val="26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Tenant capital improvements</w:t>
            </w:r>
          </w:p>
        </w:tc>
        <w:tc>
          <w:tcPr>
            <w:tcW w:w="27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81,592</w:t>
            </w:r>
          </w:p>
        </w:tc>
        <w:tc>
          <w:tcPr>
            <w:tcW w:w="58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38,669</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Uniti Group Inc. (the “Company,” “Uniti,” “we,” “us,” or “our”) was incorporated in the state of Maryland on September 4, 2014. We are an independent internally managed real estate investment trust (“REIT”) engaged in the acquisition, construction and leasing of mission critical infrastructure in the communications industry. We are principally focused on acquiring and constructing fiber optic, copper and coaxial broadband networks and data centers. We manage our operations focused on our two primary lines of business: Uniti Fiber and Uniti Leasing.</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The up-REIT structure is intended to facilitate future acquisition opportunities by providing the Company with the ability to use common units of the Operating Partnership as a tax-efficient acquisition currency. As of March 31, 2023, we are the sole general partner of the Operating Partnership and own approximately 99.96% of the partnership interests in the Operating Partnership.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20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filed with the SEC on February 28, 2023, as amended by Amendment No. 1 thereto filed on Form 10-K/A with the SEC on March 29, 2023 (the “Annual Report”). Accordingly, significant accounting policies and other disclosures normally provided have been omitted from the accompanying Condensed Consolidated Financial Statements and related notes since such items are disclosed in our Annual Report.</w:t>
      </w:r>
    </w:p>
    <w:p>
      <w:pPr>
        <w:spacing w:after="0" w:line="16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u w:val="single" w:color="auto"/>
          <w:color w:val="auto"/>
        </w:rPr>
        <w:t>Concentration of Credit Risks</w:t>
      </w:r>
      <w:r>
        <w:rPr>
          <w:rFonts w:ascii="Arial" w:cs="Arial" w:eastAsia="Arial" w:hAnsi="Arial"/>
          <w:sz w:val="18"/>
          <w:szCs w:val="18"/>
          <w:color w:val="auto"/>
        </w:rPr>
        <w:t>—Prior to September 2020, we were party to a long-term exclusive triple-net lease (the “Master Lease”) with Windstream Holdings, Inc. (together with Windstream Holdings II, LLC, its successor in interest, and its subsidiaries, “Windstream”) pursuant to which a substantial portion of our real property was leased to Windstream and from which a substantial portion of our leasing revenues were derived. On September 18, 2020, Uniti and Windstream</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consumer competitive local exchange carrier ("CLEC") operations. Revenue under the Windstream Leases provided 66.0% and 66.9% of our revenue for the three months ended March 31, 2023 and 2022, respectively. Because a substantial portion of our revenue and cash flows are derived from lease payments by Windstream pursuant to the Windstream Leases, there could be a material adverse impact on our consolidated results of operations, liquidity, financial condition and/or ability to pay dividends and service debt if Windstream were to default under the Windstream Leases or otherwise experiences operating or liquidity difficulties and becomes unable to generate sufficient cash to make payments to us.</w:t>
      </w:r>
    </w:p>
    <w:p>
      <w:pPr>
        <w:spacing w:after="0" w:line="16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news reports regarding Windstream and 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the date of this Quarterly Report on Form 10-Q, Windstream is current on all lease payments. We note that in August 2020, Moody’s Investor Service assigned a B3 corporate family rating with a stable outlook to Windstream in connection with its post-emergence exit financing. At the same time, S&amp;P Global Ratings assigned Windstream a B- issuer rating with a stable outlook. Both ratings remain current as of the date of this filing. In order to assist us in our continuing assessment of Windstream’s creditworthiness, we periodically receive certain confidential financial information and metrics from Windstream.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In March 2022, the FASB issued Accounting Standards Update ("ASU") 2022-02, </w:t>
      </w:r>
      <w:r>
        <w:rPr>
          <w:rFonts w:ascii="Arial" w:cs="Arial" w:eastAsia="Arial" w:hAnsi="Arial"/>
          <w:sz w:val="17"/>
          <w:szCs w:val="17"/>
          <w:i w:val="1"/>
          <w:iCs w:val="1"/>
          <w:color w:val="auto"/>
        </w:rPr>
        <w:t>Financial Instruments—Credit Losses (Topic 326)</w:t>
      </w:r>
      <w:r>
        <w:rPr>
          <w:rFonts w:ascii="Arial" w:cs="Arial" w:eastAsia="Arial" w:hAnsi="Arial"/>
          <w:sz w:val="17"/>
          <w:szCs w:val="17"/>
          <w:color w:val="auto"/>
        </w:rPr>
        <w:t>: Troubled Debt Restructurings and Vintage Disclosures ("ASU 2022-02"), which eliminates the accounting guidance for troubled debt restructurings and requires the disclosure of current-period gross write-offs of financing receivables and net investment in leases by year of origination. The Company adopted ASU 2022-02 on January 1, 2023, and the adoption had no impact on the Company's consolidated financial statements.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In December 2022, the FASB issued Accounting Standards Update ("ASU") 2022-06, </w:t>
      </w:r>
      <w:r>
        <w:rPr>
          <w:rFonts w:ascii="Arial" w:cs="Arial" w:eastAsia="Arial" w:hAnsi="Arial"/>
          <w:sz w:val="18"/>
          <w:szCs w:val="18"/>
          <w:i w:val="1"/>
          <w:iCs w:val="1"/>
          <w:color w:val="auto"/>
        </w:rPr>
        <w:t>Reference Rate Reform (Topic 848)</w:t>
      </w:r>
      <w:r>
        <w:rPr>
          <w:rFonts w:ascii="Arial" w:cs="Arial" w:eastAsia="Arial" w:hAnsi="Arial"/>
          <w:sz w:val="18"/>
          <w:szCs w:val="18"/>
          <w:color w:val="auto"/>
        </w:rPr>
        <w:t>: Deferral of the Sunset Date of Topic 848 ("ASU 2022-06"), which provides additional relief for contract modifications completed after the December 31, 2022 LIBOR sunset date. The amendment allows for a deferral until December 31, 2024. The Company adopted ASU 2022-06 at issuance, and the adoption had no impact on the Company's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Disaggregation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revenue stream.</w:t>
      </w: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8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00" w:type="dxa"/>
            <w:vAlign w:val="bottom"/>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r>
      <w:tr>
        <w:trPr>
          <w:trHeight w:val="186"/>
        </w:trPr>
        <w:tc>
          <w:tcPr>
            <w:tcW w:w="8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6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March 31,</w:t>
            </w:r>
          </w:p>
        </w:tc>
        <w:tc>
          <w:tcPr>
            <w:tcW w:w="1040" w:type="dxa"/>
            <w:vAlign w:val="bottom"/>
          </w:tcPr>
          <w:p>
            <w:pPr>
              <w:spacing w:after="0"/>
              <w:rPr>
                <w:sz w:val="16"/>
                <w:szCs w:val="16"/>
                <w:color w:val="auto"/>
              </w:rPr>
            </w:pPr>
          </w:p>
        </w:tc>
      </w:tr>
      <w:tr>
        <w:trPr>
          <w:trHeight w:val="26"/>
        </w:trPr>
        <w:tc>
          <w:tcPr>
            <w:tcW w:w="8140" w:type="dxa"/>
            <w:vAlign w:val="bottom"/>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4"/>
        </w:trPr>
        <w:tc>
          <w:tcPr>
            <w:tcW w:w="81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8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 disaggregated by revenue stream</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r>
      <w:tr>
        <w:trPr>
          <w:trHeight w:val="25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Revenue from contracts with customers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8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Fiber Infrastructure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Lit backhaul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19,438</w:t>
            </w:r>
          </w:p>
        </w:tc>
      </w:tr>
      <w:tr>
        <w:trPr>
          <w:trHeight w:val="263"/>
        </w:trPr>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Enterprise and wholesale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w:t>
            </w:r>
          </w:p>
        </w:tc>
      </w:tr>
      <w:tr>
        <w:trPr>
          <w:trHeight w:val="250"/>
        </w:trPr>
        <w:tc>
          <w:tcPr>
            <w:tcW w:w="8140" w:type="dxa"/>
            <w:vAlign w:val="bottom"/>
            <w:gridSpan w:val="2"/>
          </w:tcPr>
          <w:p>
            <w:pPr>
              <w:ind w:left="340"/>
              <w:spacing w:after="0"/>
              <w:rPr>
                <w:sz w:val="20"/>
                <w:szCs w:val="20"/>
                <w:color w:val="auto"/>
              </w:rPr>
            </w:pPr>
            <w:r>
              <w:rPr>
                <w:rFonts w:ascii="Arial" w:cs="Arial" w:eastAsia="Arial" w:hAnsi="Arial"/>
                <w:sz w:val="18"/>
                <w:szCs w:val="18"/>
                <w:color w:val="auto"/>
              </w:rPr>
              <w:t>E-Rate and government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13,891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14,276</w:t>
            </w:r>
          </w:p>
        </w:tc>
      </w:tr>
      <w:tr>
        <w:trPr>
          <w:trHeight w:val="263"/>
        </w:trPr>
        <w:tc>
          <w:tcPr>
            <w:tcW w:w="81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43"/>
        </w:trPr>
        <w:tc>
          <w:tcPr>
            <w:tcW w:w="8140" w:type="dxa"/>
            <w:vAlign w:val="bottom"/>
            <w:gridSpan w:val="2"/>
          </w:tcPr>
          <w:p>
            <w:pPr>
              <w:ind w:left="100"/>
              <w:spacing w:after="0"/>
              <w:rPr>
                <w:sz w:val="20"/>
                <w:szCs w:val="20"/>
                <w:color w:val="auto"/>
              </w:rPr>
            </w:pPr>
            <w:r>
              <w:rPr>
                <w:rFonts w:ascii="Arial" w:cs="Arial" w:eastAsia="Arial" w:hAnsi="Arial"/>
                <w:sz w:val="18"/>
                <w:szCs w:val="18"/>
                <w:color w:val="auto"/>
              </w:rPr>
              <w:t>Fiber Infrastructure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56,737</w:t>
            </w:r>
          </w:p>
        </w:tc>
        <w:tc>
          <w:tcPr>
            <w:tcW w:w="10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55,310</w:t>
            </w:r>
          </w:p>
        </w:tc>
      </w:tr>
      <w:tr>
        <w:trPr>
          <w:trHeight w:val="263"/>
        </w:trPr>
        <w:tc>
          <w:tcPr>
            <w:tcW w:w="8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Leasing</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57,902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56,469</w:t>
            </w:r>
          </w:p>
        </w:tc>
      </w:tr>
      <w:tr>
        <w:trPr>
          <w:trHeight w:val="26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 accounted for under leasing guidance</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8140" w:type="dxa"/>
            <w:vAlign w:val="bottom"/>
            <w:gridSpan w:val="2"/>
          </w:tcPr>
          <w:p>
            <w:pPr>
              <w:ind w:left="100"/>
              <w:spacing w:after="0"/>
              <w:rPr>
                <w:sz w:val="20"/>
                <w:szCs w:val="20"/>
                <w:color w:val="auto"/>
              </w:rPr>
            </w:pPr>
            <w:r>
              <w:rPr>
                <w:rFonts w:ascii="Arial" w:cs="Arial" w:eastAsia="Arial" w:hAnsi="Arial"/>
                <w:sz w:val="18"/>
                <w:szCs w:val="18"/>
                <w:color w:val="auto"/>
              </w:rPr>
              <w:t>Leasing</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209,643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203,482</w:t>
            </w:r>
          </w:p>
        </w:tc>
      </w:tr>
      <w:tr>
        <w:trPr>
          <w:trHeight w:val="263"/>
        </w:trPr>
        <w:tc>
          <w:tcPr>
            <w:tcW w:w="81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Fiber Infrastructure</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18,083</w:t>
            </w:r>
          </w:p>
        </w:tc>
      </w:tr>
      <w:tr>
        <w:trPr>
          <w:trHeight w:val="243"/>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revenue accounted for under leasing guidance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231,920</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221,565</w:t>
            </w:r>
          </w:p>
        </w:tc>
      </w:tr>
      <w:tr>
        <w:trPr>
          <w:trHeight w:val="275"/>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289,822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March 31, 2023 and December 31, 2022, lease receivables were $35.5 million and $26.2 million, respectively, and receivables from contracts with customers were $17.9 million and $16.1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Contract assets primarily consist of unbilled construction revenue where we are utilizing our costs incurred as the measure of progress of satisfying our performance obligation. Contract assets are reported within accounts receivable, net on our Condensed Consolidated Balance Sheets.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months ended March 31, 2023, we recognized revenues of $0.6 million which was included in the December 31, 2022 contract liabilities balance.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ASC 606.</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80" w:type="dxa"/>
            <w:vAlign w:val="bottom"/>
          </w:tcPr>
          <w:p>
            <w:pPr>
              <w:ind w:left="20"/>
              <w:spacing w:after="0"/>
              <w:rPr>
                <w:sz w:val="20"/>
                <w:szCs w:val="20"/>
                <w:color w:val="auto"/>
              </w:rPr>
            </w:pPr>
            <w:r>
              <w:rPr>
                <w:rFonts w:ascii="Arial" w:cs="Arial" w:eastAsia="Arial" w:hAnsi="Arial"/>
                <w:sz w:val="14"/>
                <w:szCs w:val="14"/>
                <w:color w:val="auto"/>
              </w:rPr>
              <w:t>(Thousands)</w:t>
            </w:r>
          </w:p>
        </w:tc>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Contract Assets</w:t>
            </w:r>
          </w:p>
        </w:tc>
        <w:tc>
          <w:tcPr>
            <w:tcW w:w="120" w:type="dxa"/>
            <w:vAlign w:val="bottom"/>
          </w:tcPr>
          <w:p>
            <w:pPr>
              <w:spacing w:after="0"/>
              <w:rPr>
                <w:sz w:val="16"/>
                <w:szCs w:val="16"/>
                <w:color w:val="auto"/>
              </w:rPr>
            </w:pPr>
          </w:p>
        </w:tc>
        <w:tc>
          <w:tcPr>
            <w:tcW w:w="1360" w:type="dxa"/>
            <w:vAlign w:val="bottom"/>
          </w:tcPr>
          <w:p>
            <w:pPr>
              <w:jc w:val="right"/>
              <w:ind w:right="56"/>
              <w:spacing w:after="0"/>
              <w:rPr>
                <w:sz w:val="20"/>
                <w:szCs w:val="20"/>
                <w:color w:val="auto"/>
              </w:rPr>
            </w:pPr>
            <w:r>
              <w:rPr>
                <w:rFonts w:ascii="Arial" w:cs="Arial" w:eastAsia="Arial" w:hAnsi="Arial"/>
                <w:sz w:val="14"/>
                <w:szCs w:val="14"/>
                <w:b w:val="1"/>
                <w:bCs w:val="1"/>
                <w:color w:val="auto"/>
                <w:w w:val="95"/>
              </w:rPr>
              <w:t>Contract Liabilities</w:t>
            </w:r>
          </w:p>
        </w:tc>
        <w:tc>
          <w:tcPr>
            <w:tcW w:w="0" w:type="dxa"/>
            <w:vAlign w:val="bottom"/>
          </w:tcPr>
          <w:p>
            <w:pPr>
              <w:spacing w:after="0"/>
              <w:rPr>
                <w:sz w:val="1"/>
                <w:szCs w:val="1"/>
                <w:color w:val="auto"/>
              </w:rPr>
            </w:pPr>
          </w:p>
        </w:tc>
      </w:tr>
      <w:tr>
        <w:trPr>
          <w:trHeight w:val="25"/>
        </w:trPr>
        <w:tc>
          <w:tcPr>
            <w:tcW w:w="388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4300" w:type="dxa"/>
            <w:vAlign w:val="bottom"/>
            <w:gridSpan w:val="2"/>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w:t>
            </w:r>
          </w:p>
        </w:tc>
        <w:tc>
          <w:tcPr>
            <w:tcW w:w="0" w:type="dxa"/>
            <w:vAlign w:val="bottom"/>
          </w:tcPr>
          <w:p>
            <w:pPr>
              <w:spacing w:after="0"/>
              <w:rPr>
                <w:sz w:val="1"/>
                <w:szCs w:val="1"/>
                <w:color w:val="auto"/>
              </w:rPr>
            </w:pPr>
          </w:p>
        </w:tc>
      </w:tr>
      <w:tr>
        <w:trPr>
          <w:trHeight w:val="244"/>
        </w:trPr>
        <w:tc>
          <w:tcPr>
            <w:tcW w:w="3880" w:type="dxa"/>
            <w:vAlign w:val="bottom"/>
          </w:tcPr>
          <w:p>
            <w:pPr>
              <w:ind w:left="20"/>
              <w:spacing w:after="0"/>
              <w:rPr>
                <w:sz w:val="20"/>
                <w:szCs w:val="20"/>
                <w:color w:val="auto"/>
              </w:rPr>
            </w:pPr>
            <w:r>
              <w:rPr>
                <w:rFonts w:ascii="Arial" w:cs="Arial" w:eastAsia="Arial" w:hAnsi="Arial"/>
                <w:sz w:val="18"/>
                <w:szCs w:val="18"/>
                <w:color w:val="auto"/>
              </w:rPr>
              <w:t>Balance at March 31, 2023</w:t>
            </w:r>
          </w:p>
        </w:tc>
        <w:tc>
          <w:tcPr>
            <w:tcW w:w="4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10,217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200" w:type="dxa"/>
            <w:vAlign w:val="bottom"/>
            <w:vMerge w:val="restart"/>
          </w:tcPr>
          <w:p>
            <w:pPr>
              <w:jc w:val="right"/>
              <w:ind w:right="227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
                <w:szCs w:val="2"/>
                <w:color w:val="auto"/>
              </w:rPr>
            </w:pPr>
          </w:p>
        </w:tc>
        <w:tc>
          <w:tcPr>
            <w:tcW w:w="18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98"/>
        </w:trPr>
        <w:tc>
          <w:tcPr>
            <w:tcW w:w="388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880" w:type="dxa"/>
            <w:vAlign w:val="bottom"/>
            <w:tcBorders>
              <w:bottom w:val="single" w:sz="8" w:color="9A9A9A"/>
            </w:tcBorders>
          </w:tcPr>
          <w:p>
            <w:pPr>
              <w:spacing w:after="0"/>
              <w:rPr>
                <w:sz w:val="8"/>
                <w:szCs w:val="8"/>
                <w:color w:val="auto"/>
              </w:rPr>
            </w:pPr>
          </w:p>
        </w:tc>
        <w:tc>
          <w:tcPr>
            <w:tcW w:w="4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March 31, 2023, our future revenues (i.e., transaction price related to remaining performance obligations) under contract accounted for under ASC 606 totaled $544.4 million, of which $461.1 million is related to contracts that are currently being invoiced and have an average remaining contract term of 2.3 years, while $83.3 million represents our backlog for sales bookings which</w:t>
      </w:r>
    </w:p>
    <w:p>
      <w:pPr>
        <w:spacing w:after="0" w:line="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have yet to be installed and have an average contract term of 5.4 years. We do not disclose the value of unsatisfied performance obligations for contracts that have an original expected duration of one year or less.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We lease communications towers, ground space, colocation space and dark fiber to tenants under operating leases. Our leases have initial lease terms ranging from less than one year to 35 years, most of which include options to extend or renew the leases for less than one year to 20 years (based on the satisfaction of certain conditions as defined in the lease agreements), and some of which may include options to terminate the leases within one to six</w:t>
      </w:r>
    </w:p>
    <w:p>
      <w:pPr>
        <w:ind w:right="380"/>
        <w:spacing w:after="0" w:line="259" w:lineRule="auto"/>
        <w:rPr>
          <w:sz w:val="20"/>
          <w:szCs w:val="20"/>
          <w:color w:val="auto"/>
        </w:rPr>
      </w:pPr>
      <w:r>
        <w:rPr>
          <w:rFonts w:ascii="Arial" w:cs="Arial" w:eastAsia="Arial" w:hAnsi="Arial"/>
          <w:sz w:val="18"/>
          <w:szCs w:val="18"/>
          <w:color w:val="auto"/>
        </w:rPr>
        <w:t>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months ended March 31, 2023 and 2022 respectively, are as follows: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6"/>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income - operating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231,920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221,565</w:t>
            </w: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March 31, 2023 are as follows:</w:t>
      </w:r>
    </w:p>
    <w:p>
      <w:pPr>
        <w:spacing w:after="0" w:line="193"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0"/>
                <w:szCs w:val="20"/>
                <w:color w:val="auto"/>
              </w:rPr>
            </w:pPr>
          </w:p>
        </w:tc>
        <w:tc>
          <w:tcPr>
            <w:tcW w:w="1320" w:type="dxa"/>
            <w:vAlign w:val="bottom"/>
          </w:tcPr>
          <w:p>
            <w:pPr>
              <w:jc w:val="right"/>
              <w:ind w:right="112"/>
              <w:spacing w:after="0" w:line="161" w:lineRule="exact"/>
              <w:rPr>
                <w:sz w:val="20"/>
                <w:szCs w:val="20"/>
                <w:color w:val="auto"/>
              </w:rPr>
            </w:pPr>
            <w:r>
              <w:rPr>
                <w:rFonts w:ascii="Arial" w:cs="Arial" w:eastAsia="Arial" w:hAnsi="Arial"/>
                <w:sz w:val="14"/>
                <w:szCs w:val="14"/>
                <w:b w:val="1"/>
                <w:bCs w:val="1"/>
                <w:color w:val="auto"/>
                <w:w w:val="99"/>
              </w:rPr>
              <w:t>March 31, 2023</w:t>
            </w:r>
            <w:r>
              <w:rPr>
                <w:rFonts w:ascii="MS PGothic" w:cs="MS PGothic" w:eastAsia="MS PGothic" w:hAnsi="MS PGothic"/>
                <w:sz w:val="14"/>
                <w:szCs w:val="14"/>
                <w:color w:val="auto"/>
                <w:w w:val="99"/>
              </w:rPr>
              <w:t>⁽</w:t>
            </w:r>
            <w:r>
              <w:rPr>
                <w:rFonts w:ascii="Arial" w:cs="Arial" w:eastAsia="Arial" w:hAnsi="Arial"/>
                <w:sz w:val="14"/>
                <w:szCs w:val="14"/>
                <w:b w:val="1"/>
                <w:bCs w:val="1"/>
                <w:color w:val="auto"/>
                <w:w w:val="99"/>
              </w:rPr>
              <w:t>¹</w:t>
            </w:r>
            <w:r>
              <w:rPr>
                <w:rFonts w:ascii="MS PGothic" w:cs="MS PGothic" w:eastAsia="MS PGothic" w:hAnsi="MS PGothic"/>
                <w:sz w:val="14"/>
                <w:szCs w:val="14"/>
                <w:color w:val="auto"/>
                <w:w w:val="99"/>
              </w:rPr>
              <w:t>⁾</w:t>
            </w:r>
          </w:p>
        </w:tc>
      </w:tr>
      <w:tr>
        <w:trPr>
          <w:trHeight w:val="255"/>
        </w:trPr>
        <w:tc>
          <w:tcPr>
            <w:tcW w:w="9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583,407</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797,561</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799,672</w:t>
            </w:r>
          </w:p>
        </w:tc>
      </w:tr>
      <w:tr>
        <w:trPr>
          <w:trHeight w:val="250"/>
        </w:trPr>
        <w:tc>
          <w:tcPr>
            <w:tcW w:w="9300" w:type="dxa"/>
            <w:vAlign w:val="bottom"/>
          </w:tcPr>
          <w:p>
            <w:pPr>
              <w:ind w:left="20"/>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801,051</w:t>
            </w:r>
          </w:p>
        </w:tc>
      </w:tr>
      <w:tr>
        <w:trPr>
          <w:trHeight w:val="26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801,727</w:t>
            </w:r>
          </w:p>
        </w:tc>
      </w:tr>
      <w:tr>
        <w:trPr>
          <w:trHeight w:val="250"/>
        </w:trPr>
        <w:tc>
          <w:tcPr>
            <w:tcW w:w="9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2,318,910</w:t>
            </w:r>
          </w:p>
        </w:tc>
      </w:tr>
      <w:tr>
        <w:trPr>
          <w:trHeight w:val="275"/>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receivables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6,102,328</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6809740</wp:posOffset>
            </wp:positionH>
            <wp:positionV relativeFrom="paragraph">
              <wp:posOffset>-1318895</wp:posOffset>
            </wp:positionV>
            <wp:extent cx="94615" cy="749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615" cy="74930"/>
                    </a:xfrm>
                    <a:prstGeom prst="rect">
                      <a:avLst/>
                    </a:prstGeom>
                    <a:noFill/>
                  </pic:spPr>
                </pic:pic>
              </a:graphicData>
            </a:graphic>
          </wp:anchor>
        </w:drawing>
      </w:r>
    </w:p>
    <w:p>
      <w:pPr>
        <w:ind w:left="380" w:hanging="179"/>
        <w:spacing w:after="0" w:line="228" w:lineRule="auto"/>
        <w:tabs>
          <w:tab w:leader="none" w:pos="380"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Total future minimum lease payments to be received include $5.2 billion relating to the Windstream Leases.</w:t>
      </w:r>
    </w:p>
    <w:p>
      <w:pPr>
        <w:spacing w:after="0" w:line="200" w:lineRule="exact"/>
        <w:rPr>
          <w:rFonts w:ascii="Arial" w:cs="Arial" w:eastAsia="Arial" w:hAnsi="Arial"/>
          <w:sz w:val="21"/>
          <w:szCs w:val="21"/>
          <w:color w:val="auto"/>
          <w:vertAlign w:val="superscript"/>
        </w:rPr>
      </w:pPr>
    </w:p>
    <w:p>
      <w:pPr>
        <w:spacing w:after="0" w:line="200" w:lineRule="exact"/>
        <w:rPr>
          <w:rFonts w:ascii="Arial" w:cs="Arial" w:eastAsia="Arial" w:hAnsi="Arial"/>
          <w:sz w:val="21"/>
          <w:szCs w:val="21"/>
          <w:color w:val="auto"/>
          <w:vertAlign w:val="superscript"/>
        </w:rPr>
      </w:pPr>
    </w:p>
    <w:p>
      <w:pPr>
        <w:spacing w:after="0" w:line="287" w:lineRule="exact"/>
        <w:rPr>
          <w:rFonts w:ascii="Arial" w:cs="Arial" w:eastAsia="Arial" w:hAnsi="Arial"/>
          <w:sz w:val="21"/>
          <w:szCs w:val="21"/>
          <w:color w:val="auto"/>
          <w:vertAlign w:val="superscript"/>
        </w:rPr>
      </w:pPr>
    </w:p>
    <w:p>
      <w:pPr>
        <w:ind w:left="5540"/>
        <w:spacing w:after="0"/>
        <w:rPr>
          <w:rFonts w:ascii="Arial" w:cs="Arial" w:eastAsia="Arial" w:hAnsi="Arial"/>
          <w:sz w:val="21"/>
          <w:szCs w:val="21"/>
          <w:color w:val="auto"/>
          <w:vertAlign w:val="superscript"/>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60" w:type="dxa"/>
            <w:vAlign w:val="bottom"/>
          </w:tcPr>
          <w:p>
            <w:pPr>
              <w:jc w:val="right"/>
              <w:ind w:right="71"/>
              <w:spacing w:after="0"/>
              <w:rPr>
                <w:sz w:val="20"/>
                <w:szCs w:val="20"/>
                <w:color w:val="auto"/>
              </w:rPr>
            </w:pPr>
            <w:r>
              <w:rPr>
                <w:rFonts w:ascii="Arial" w:cs="Arial" w:eastAsia="Arial" w:hAnsi="Arial"/>
                <w:sz w:val="14"/>
                <w:szCs w:val="14"/>
                <w:b w:val="1"/>
                <w:bCs w:val="1"/>
                <w:color w:val="auto"/>
                <w:w w:val="93"/>
              </w:rPr>
              <w:t>December 31, 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26,549</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346,636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346,093</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3,638,160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3,529,835</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3,972,704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3,964,439</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r>
      <w:tr>
        <w:trPr>
          <w:trHeight w:val="25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1,397</w:t>
            </w:r>
          </w:p>
        </w:tc>
      </w:tr>
      <w:tr>
        <w:trPr>
          <w:trHeight w:val="263"/>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28,126</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10,434</w:t>
            </w:r>
          </w:p>
        </w:tc>
      </w:tr>
      <w:tr>
        <w:trPr>
          <w:trHeight w:val="256"/>
        </w:trPr>
        <w:tc>
          <w:tcPr>
            <w:tcW w:w="8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8,414,205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8,294,214</w:t>
            </w: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(5,586,881)</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(5,542,726)</w:t>
            </w: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Underlying assets under operating leases,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2,827,324</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2,751,488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months ended March 31, 2023 and 2022, respectively, is summarized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2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5"/>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 for underlying assets under operating leases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45,206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43,187</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have commitments under operating leases for communications towers, ground space, colocation space, dark fiber and buildings. We also have finance leases for dark fiber and automobiles. Our leases have initial lease terms ranging from less than one year to 30 years, most of which include options to</w:t>
      </w:r>
    </w:p>
    <w:p>
      <w:pPr>
        <w:ind w:right="120"/>
        <w:spacing w:after="0" w:line="246" w:lineRule="auto"/>
        <w:rPr>
          <w:sz w:val="20"/>
          <w:szCs w:val="20"/>
          <w:color w:val="auto"/>
        </w:rPr>
      </w:pPr>
      <w:r>
        <w:rPr>
          <w:rFonts w:ascii="Arial" w:cs="Arial" w:eastAsia="Arial" w:hAnsi="Arial"/>
          <w:sz w:val="18"/>
          <w:szCs w:val="18"/>
          <w:color w:val="auto"/>
        </w:rPr>
        <w:t>extend or renew the leases for less than one year to 20 years</w:t>
      </w:r>
      <w:r>
        <w:rPr>
          <w:rFonts w:ascii="Arial" w:cs="Arial" w:eastAsia="Arial" w:hAnsi="Arial"/>
          <w:sz w:val="21"/>
          <w:szCs w:val="21"/>
          <w:color w:val="auto"/>
        </w:rPr>
        <w:t>,</w:t>
      </w:r>
      <w:r>
        <w:rPr>
          <w:rFonts w:ascii="Arial" w:cs="Arial" w:eastAsia="Arial" w:hAnsi="Arial"/>
          <w:sz w:val="18"/>
          <w:szCs w:val="18"/>
          <w:color w:val="auto"/>
        </w:rPr>
        <w:t xml:space="preserve"> and some of which may include options to terminate the leases within one to six months</w:t>
      </w:r>
      <w:r>
        <w:rPr>
          <w:rFonts w:ascii="Arial" w:cs="Arial" w:eastAsia="Arial" w:hAnsi="Arial"/>
          <w:sz w:val="21"/>
          <w:szCs w:val="21"/>
          <w:color w:val="auto"/>
        </w:rPr>
        <w:t>.</w:t>
      </w:r>
      <w:r>
        <w:rPr>
          <w:rFonts w:ascii="Arial" w:cs="Arial" w:eastAsia="Arial" w:hAnsi="Arial"/>
          <w:sz w:val="18"/>
          <w:szCs w:val="18"/>
          <w:color w:val="auto"/>
        </w:rPr>
        <w:t xml:space="preserve"> Certain lease agreements contain provisions for future rent increases. Payments due under the lease contracts include fixed payments plus, for some of our leases, variable payments.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we have short term lease commitments amounting to approximately $3.1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lease payments under non-cancellable leases as of March 31, 2023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4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Operating Leases</w:t>
            </w:r>
          </w:p>
        </w:tc>
        <w:tc>
          <w:tcPr>
            <w:tcW w:w="180" w:type="dxa"/>
            <w:vAlign w:val="bottom"/>
          </w:tcPr>
          <w:p>
            <w:pPr>
              <w:spacing w:after="0"/>
              <w:rPr>
                <w:sz w:val="16"/>
                <w:szCs w:val="16"/>
                <w:color w:val="auto"/>
              </w:rPr>
            </w:pPr>
          </w:p>
        </w:tc>
        <w:tc>
          <w:tcPr>
            <w:tcW w:w="1300" w:type="dxa"/>
            <w:vAlign w:val="bottom"/>
          </w:tcPr>
          <w:p>
            <w:pPr>
              <w:jc w:val="right"/>
              <w:ind w:right="192"/>
              <w:spacing w:after="0"/>
              <w:rPr>
                <w:sz w:val="20"/>
                <w:szCs w:val="20"/>
                <w:color w:val="auto"/>
              </w:rPr>
            </w:pPr>
            <w:r>
              <w:rPr>
                <w:rFonts w:ascii="Arial" w:cs="Arial" w:eastAsia="Arial" w:hAnsi="Arial"/>
                <w:sz w:val="14"/>
                <w:szCs w:val="14"/>
                <w:b w:val="1"/>
                <w:bCs w:val="1"/>
                <w:color w:val="auto"/>
                <w:w w:val="95"/>
              </w:rPr>
              <w:t>Finance Leases</w:t>
            </w:r>
          </w:p>
        </w:tc>
        <w:tc>
          <w:tcPr>
            <w:tcW w:w="0" w:type="dxa"/>
            <w:vAlign w:val="bottom"/>
          </w:tcPr>
          <w:p>
            <w:pPr>
              <w:spacing w:after="0"/>
              <w:rPr>
                <w:sz w:val="1"/>
                <w:szCs w:val="1"/>
                <w:color w:val="auto"/>
              </w:rPr>
            </w:pPr>
          </w:p>
        </w:tc>
      </w:tr>
      <w:tr>
        <w:trPr>
          <w:trHeight w:val="25"/>
        </w:trPr>
        <w:tc>
          <w:tcPr>
            <w:tcW w:w="404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2024</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14,031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50"/>
        </w:trPr>
        <w:tc>
          <w:tcPr>
            <w:tcW w:w="4040" w:type="dxa"/>
            <w:vAlign w:val="bottom"/>
          </w:tcPr>
          <w:p>
            <w:pPr>
              <w:ind w:left="20"/>
              <w:spacing w:after="0"/>
              <w:rPr>
                <w:sz w:val="20"/>
                <w:szCs w:val="20"/>
                <w:color w:val="auto"/>
              </w:rPr>
            </w:pPr>
            <w:r>
              <w:rPr>
                <w:rFonts w:ascii="Arial" w:cs="Arial" w:eastAsia="Arial" w:hAnsi="Arial"/>
                <w:sz w:val="18"/>
                <w:szCs w:val="18"/>
                <w:color w:val="auto"/>
              </w:rPr>
              <w:t>2026</w:t>
            </w:r>
          </w:p>
        </w:tc>
        <w:tc>
          <w:tcPr>
            <w:tcW w:w="4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8,663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r>
        <w:trPr>
          <w:trHeight w:val="263"/>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45,502</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12,708</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undiscounted lease payments</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24,995</w:t>
            </w:r>
          </w:p>
        </w:tc>
        <w:tc>
          <w:tcPr>
            <w:tcW w:w="0" w:type="dxa"/>
            <w:vAlign w:val="bottom"/>
          </w:tcPr>
          <w:p>
            <w:pPr>
              <w:spacing w:after="0"/>
              <w:rPr>
                <w:sz w:val="1"/>
                <w:szCs w:val="1"/>
                <w:color w:val="auto"/>
              </w:rPr>
            </w:pPr>
          </w:p>
        </w:tc>
      </w:tr>
      <w:tr>
        <w:trPr>
          <w:trHeight w:val="25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40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(33,940)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43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64,045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404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4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Investments in Unconsolidated Entities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12529"/>
        </w:rPr>
        <w:t>Fiber Holdings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212529"/>
        </w:rPr>
        <w:t>BB Fiber Holdings LLC (</w:t>
      </w:r>
      <w:r>
        <w:rPr>
          <w:rFonts w:ascii="Arial" w:cs="Arial" w:eastAsia="Arial" w:hAnsi="Arial"/>
          <w:sz w:val="17"/>
          <w:szCs w:val="17"/>
          <w:color w:val="000000"/>
        </w:rPr>
        <w:t>“Fiber Holdings”</w:t>
      </w:r>
      <w:r>
        <w:rPr>
          <w:rFonts w:ascii="Arial" w:cs="Arial" w:eastAsia="Arial" w:hAnsi="Arial"/>
          <w:sz w:val="17"/>
          <w:szCs w:val="17"/>
          <w:color w:val="212529"/>
        </w:rPr>
        <w:t xml:space="preserve">) </w:t>
      </w:r>
      <w:r>
        <w:rPr>
          <w:rFonts w:ascii="Arial" w:cs="Arial" w:eastAsia="Arial" w:hAnsi="Arial"/>
          <w:sz w:val="17"/>
          <w:szCs w:val="17"/>
          <w:color w:val="000000"/>
        </w:rPr>
        <w:t>was primarily established to develop fiber networks as real estate property for long-term investment. On</w:t>
      </w:r>
    </w:p>
    <w:p>
      <w:pPr>
        <w:spacing w:after="0" w:line="3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July 1, 2020, the Company completed the sale of an ownership stake in the entity that controls the Company’s Midwest fiber network assets (the “Propco”). Fiber Holdings has a 47.5% ownership in the Propco that is under a long-term, triple net lease with our joint venture partner. Our ownership interest in Fiber Holdings represents approximately a 20% economic interest in the Propco. The Company’s current investment and maximum exposure to loss as a result of its involvement with </w:t>
      </w:r>
      <w:r>
        <w:rPr>
          <w:rFonts w:ascii="Arial" w:cs="Arial" w:eastAsia="Arial" w:hAnsi="Arial"/>
          <w:sz w:val="18"/>
          <w:szCs w:val="18"/>
          <w:color w:val="212529"/>
        </w:rPr>
        <w:t>Fiber Holdings, an equity method unconsolidated entity,</w:t>
      </w:r>
      <w:r>
        <w:rPr>
          <w:rFonts w:ascii="Arial" w:cs="Arial" w:eastAsia="Arial" w:hAnsi="Arial"/>
          <w:sz w:val="18"/>
          <w:szCs w:val="18"/>
          <w:color w:val="auto"/>
        </w:rPr>
        <w:t xml:space="preserve"> was approximately $38.3 million as of March 31, 2023. The Company has not provided financial support to </w:t>
      </w:r>
      <w:r>
        <w:rPr>
          <w:rFonts w:ascii="Arial" w:cs="Arial" w:eastAsia="Arial" w:hAnsi="Arial"/>
          <w:sz w:val="18"/>
          <w:szCs w:val="18"/>
          <w:color w:val="212529"/>
        </w:rPr>
        <w:t>Fiber Holdings.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our outstanding notes and other debt, settlement payable,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March 31, 2023 and December 31, 2022:</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5"/>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March 31, 2023</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- 10.50%, due February 15, 2028</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2,531,945</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2,531,945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444,560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444,560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Convertible senior notes - 7.50% due December 1, 2027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230,215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230,215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- 6.50%, due February 15, 2029</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680,003</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415,342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415,342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4"/>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10,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74,992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211,725</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211,725</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0"/>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4,700,533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4,700,533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 in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Prices with Other</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9"/>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Active</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Observable</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1"/>
              </w:rPr>
              <w:t>Prices with</w:t>
            </w:r>
          </w:p>
        </w:tc>
      </w:tr>
      <w:tr>
        <w:trPr>
          <w:trHeight w:val="175"/>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Markets</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Inputs</w:t>
            </w:r>
          </w:p>
        </w:tc>
        <w:tc>
          <w:tcPr>
            <w:tcW w:w="180" w:type="dxa"/>
            <w:vAlign w:val="bottom"/>
          </w:tcPr>
          <w:p>
            <w:pPr>
              <w:spacing w:after="0"/>
              <w:rPr>
                <w:sz w:val="15"/>
                <w:szCs w:val="15"/>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0"/>
              </w:rPr>
              <w:t>Unobservable</w:t>
            </w: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6"/>
                <w:szCs w:val="16"/>
                <w:color w:val="auto"/>
              </w:rPr>
            </w:pPr>
          </w:p>
        </w:tc>
        <w:tc>
          <w:tcPr>
            <w:tcW w:w="130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Inputs (Level 3)</w:t>
            </w: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At December 31, 2022</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notes - 7.875%, due February 15, 2025</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2,208,319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secured notes - 4.75%, due April 15, 2028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469,740</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469,740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Exchangeable senior notes - 4.00%, due June 15, 2024</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127,024</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127,024</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Senior unsecured notes - 6.50% , due February 15, 2029</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759,917</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759,917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unsecured notes - 6.00%, due January 15, 2030</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467,401</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467,401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Convertible senior notes - 7.50%, due December 1, 2027</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297,765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297,765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ind w:left="1040"/>
              <w:spacing w:after="0"/>
              <w:rPr>
                <w:sz w:val="20"/>
                <w:szCs w:val="20"/>
                <w:color w:val="auto"/>
              </w:rPr>
            </w:pPr>
            <w:r>
              <w:rPr>
                <w:rFonts w:ascii="Arial" w:cs="Arial" w:eastAsia="Arial" w:hAnsi="Arial"/>
                <w:sz w:val="18"/>
                <w:szCs w:val="18"/>
                <w:color w:val="auto"/>
              </w:rPr>
              <w:t>—</w:t>
            </w:r>
          </w:p>
        </w:tc>
      </w:tr>
      <w:tr>
        <w:trPr>
          <w:trHeight w:val="222"/>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Senior secured revolving credit facility, variable rate, due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4"/>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December 10, 2024</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50"/>
        </w:trPr>
        <w:tc>
          <w:tcPr>
            <w:tcW w:w="5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Settlement payable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232,350</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232,350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t>
            </w:r>
          </w:p>
        </w:tc>
      </w:tr>
      <w:tr>
        <w:trPr>
          <w:trHeight w:val="27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4,750,497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total principal balance of our outstanding notes and other debt was $5.48 billion at March 31, 2023, with a fair value of $4.49 billion. The estimated fair value of our outstanding notes and other debt was based on available external pricing data and current market rates for similar debt instruments, among other factors, which are classified as Level 2 inputs within the fair value hierarchy.</w:t>
      </w:r>
    </w:p>
    <w:p>
      <w:pPr>
        <w:spacing w:after="0" w:line="184"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 xml:space="preserve">Uniti is required to make $490.1 million of cash payments to Windstream in equal installments over 20 consecutive quarters beginning October 2020 (the “Settlement Payable”). </w:t>
      </w:r>
      <w:r>
        <w:rPr>
          <w:rFonts w:ascii="Arial" w:cs="Arial" w:eastAsia="Arial" w:hAnsi="Arial"/>
          <w:sz w:val="17"/>
          <w:szCs w:val="17"/>
          <w:u w:val="single" w:color="auto"/>
          <w:color w:val="0000FF"/>
        </w:rPr>
        <w:t>See Note 13</w:t>
      </w:r>
      <w:r>
        <w:rPr>
          <w:rFonts w:ascii="Arial" w:cs="Arial" w:eastAsia="Arial" w:hAnsi="Arial"/>
          <w:sz w:val="17"/>
          <w:szCs w:val="17"/>
          <w:color w:val="auto"/>
        </w:rPr>
        <w:t>. The Settlement Payable was initially recorded at fair value, using the present value of future cash flows. The future cash flows are discounted using discount rate input based on observable market data. Accordingly, we classify inputs used as Level 2 in the fair value hierarchy. As of March 31, 2023, the remaining Settlement Payable is $229.6 million and is reported on our Condensed Consolidated Balance Sheets. There have been no changes in the valuation methodologies used since the initial recording.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property, plant and equipment is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6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7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Depreciable Lives</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6"/>
                <w:szCs w:val="16"/>
                <w:color w:val="auto"/>
              </w:rPr>
            </w:pPr>
          </w:p>
        </w:tc>
        <w:tc>
          <w:tcPr>
            <w:tcW w:w="152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 2022</w:t>
            </w:r>
          </w:p>
        </w:tc>
      </w:tr>
      <w:tr>
        <w:trPr>
          <w:trHeight w:val="26"/>
        </w:trPr>
        <w:tc>
          <w:tcPr>
            <w:tcW w:w="6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Indefinite  $</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28,963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28,845</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Building and improvements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3 - 40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363,913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363,077</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Poles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299,799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296,941</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Fiber</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30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4,556,716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4,434,506</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5 - 7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426,127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399,473</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Copper</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3,972,704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3,964,439</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Conduit</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30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89,963</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Tower assets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20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5,619</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Finance lease assets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74,585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73,487</w:t>
            </w:r>
          </w:p>
        </w:tc>
      </w:tr>
      <w:tr>
        <w:trPr>
          <w:trHeight w:val="250"/>
        </w:trPr>
        <w:tc>
          <w:tcPr>
            <w:tcW w:w="61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760" w:type="dxa"/>
            <w:vAlign w:val="bottom"/>
            <w:gridSpan w:val="3"/>
          </w:tcPr>
          <w:p>
            <w:pPr>
              <w:jc w:val="right"/>
              <w:ind w:right="300"/>
              <w:spacing w:after="0"/>
              <w:rPr>
                <w:sz w:val="20"/>
                <w:szCs w:val="20"/>
                <w:color w:val="auto"/>
              </w:rPr>
            </w:pPr>
            <w:r>
              <w:rPr>
                <w:rFonts w:ascii="Arial" w:cs="Arial" w:eastAsia="Arial" w:hAnsi="Arial"/>
                <w:sz w:val="18"/>
                <w:szCs w:val="18"/>
                <w:color w:val="auto"/>
              </w:rPr>
              <w:t>15 - 20 years</w:t>
            </w:r>
          </w:p>
        </w:tc>
        <w:tc>
          <w:tcPr>
            <w:tcW w:w="1300" w:type="dxa"/>
            <w:vAlign w:val="bottom"/>
          </w:tcPr>
          <w:p>
            <w:pPr>
              <w:jc w:val="right"/>
              <w:spacing w:after="0"/>
              <w:rPr>
                <w:sz w:val="20"/>
                <w:szCs w:val="20"/>
                <w:color w:val="auto"/>
              </w:rPr>
            </w:pPr>
            <w:r>
              <w:rPr>
                <w:rFonts w:ascii="Arial" w:cs="Arial" w:eastAsia="Arial" w:hAnsi="Arial"/>
                <w:sz w:val="18"/>
                <w:szCs w:val="18"/>
                <w:color w:val="auto"/>
              </w:rPr>
              <w:t>10,436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10,436</w:t>
            </w:r>
          </w:p>
        </w:tc>
      </w:tr>
      <w:tr>
        <w:trPr>
          <w:trHeight w:val="26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assets</w:t>
            </w:r>
          </w:p>
        </w:tc>
        <w:tc>
          <w:tcPr>
            <w:tcW w:w="17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3 - 7 years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14,883</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Construction in progress</w:t>
            </w:r>
          </w:p>
        </w:tc>
        <w:tc>
          <w:tcPr>
            <w:tcW w:w="14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56,387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46,508</w:t>
            </w:r>
          </w:p>
        </w:tc>
      </w:tr>
      <w:tr>
        <w:trPr>
          <w:trHeight w:val="256"/>
        </w:trPr>
        <w:tc>
          <w:tcPr>
            <w:tcW w:w="6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9,900,220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9,728,177</w:t>
            </w:r>
          </w:p>
        </w:tc>
      </w:tr>
      <w:tr>
        <w:trPr>
          <w:trHeight w:val="250"/>
        </w:trPr>
        <w:tc>
          <w:tcPr>
            <w:tcW w:w="6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accumulated depreciation</w:t>
            </w:r>
          </w:p>
        </w:tc>
        <w:tc>
          <w:tcPr>
            <w:tcW w:w="14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(6,045,031)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(5,973,630)</w:t>
            </w:r>
          </w:p>
        </w:tc>
      </w:tr>
      <w:tr>
        <w:trPr>
          <w:trHeight w:val="270"/>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property, plant and equipment</w:t>
            </w:r>
          </w:p>
        </w:tc>
        <w:tc>
          <w:tcPr>
            <w:tcW w:w="1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3,855,189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3,754,547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See our Annual Report for property, plant and equipment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three months ended March 31, 2023 and 2022 was $69.3 million and $64.0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Derivative Instruments and Hedging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involved in the offering of the Exchangeable Notes (the “Initial Purchasers”) of their option to purchase additional Exchangeable Notes, Uniti Fiber Holdings Inc., the issuer of the Exchangeable Notes, entered into exchangeable note hedge transactions with respect to the Company’s common stock (the “Note Hedge Transactions”) with certain of the Initial Purchasers or their respective affiliates (collectively,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6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Note Hedge Transactions are separate transactions, entered into by Uniti Fiber Holdings Inc. with the Counterparties, and are not part of the terms of the Exchangeable Notes. Holders of the Exchangeable Notes will not have any rights with respect to the Note Hedge Transactions. The Note Hedge Transactions meet certain accounting criteria under GAAP, are recorded in additional paid-in capital on our Condensed Consolidated Balance Sheets and are not accounted for as derivatives that are remeasured each reporting period.</w:t>
      </w:r>
    </w:p>
    <w:p>
      <w:pPr>
        <w:spacing w:after="0" w:line="200" w:lineRule="exact"/>
        <w:rPr>
          <w:sz w:val="20"/>
          <w:szCs w:val="20"/>
          <w:color w:val="auto"/>
        </w:rPr>
      </w:pPr>
    </w:p>
    <w:p>
      <w:pPr>
        <w:spacing w:after="0" w:line="3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Warrant Transactions</w:t>
      </w:r>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(the “Warrants”) to acquire, subject to anti-dilution adjustments, up to approximately 27.8 million shares of the Company’s common stock in the aggregate at an exercise price of approximately $16.42 per share. The initial maximum number of shares of the Company’s common stock that could be issued pursuant to the Warrants was approximately 55.5 million. The maximum number of shares of the Company's common stock that could be issued pursuant to the Warrants has subsequently decreased due to the partial unwind agreements that the Company entered into with the Counterparties in connection with each repurchase of Exchangeable Notes. The Company offered and sold the Warrants in reliance on the exemption from registration provided by Section 4(a)(2) of the Securities Act of 1933, as amended.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Warrants are separate transactions, entered into by the Company with the Counterparties, and are not part of the terms of the Exchangeable Notes. Holders of the Exchangeable Notes will not have any rights with respect to the Warrants. The Warrants meet certain accounting criteria under GAAP, are recorded in additional paid-in capital on our Condensed Consolidated Balance Sheets and are not accounted for as derivatives that are remeasured each reporting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 Assets and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occurring during the three months ended March 31, 2023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6"/>
                <w:szCs w:val="16"/>
                <w:color w:val="auto"/>
              </w:rPr>
            </w:pP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9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December 31, 2022</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9"/>
              </w:rPr>
              <w:t>672,878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672,878</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charges as of December 31, 2022</w:t>
            </w:r>
          </w:p>
        </w:tc>
        <w:tc>
          <w:tcPr>
            <w:tcW w:w="31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90"/>
              </w:rPr>
              <w:t>(311,500)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0"/>
              </w:rPr>
              <w:t>(311,500)</w:t>
            </w: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2022</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9"/>
              </w:rPr>
              <w:t>361,378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361,378</w:t>
            </w: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3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at March 31, 2023</w:t>
            </w:r>
          </w:p>
        </w:tc>
        <w:tc>
          <w:tcPr>
            <w:tcW w:w="3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center"/>
              <w:ind w:left="553"/>
              <w:spacing w:after="0"/>
              <w:rPr>
                <w:sz w:val="20"/>
                <w:szCs w:val="20"/>
                <w:color w:val="auto"/>
              </w:rPr>
            </w:pPr>
            <w:r>
              <w:rPr>
                <w:rFonts w:ascii="Arial" w:cs="Arial" w:eastAsia="Arial" w:hAnsi="Arial"/>
                <w:sz w:val="18"/>
                <w:szCs w:val="18"/>
                <w:color w:val="auto"/>
                <w:w w:val="89"/>
              </w:rPr>
              <w:t>672,878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center"/>
              <w:ind w:left="313"/>
              <w:spacing w:after="0"/>
              <w:rPr>
                <w:sz w:val="20"/>
                <w:szCs w:val="20"/>
                <w:color w:val="auto"/>
              </w:rPr>
            </w:pPr>
            <w:r>
              <w:rPr>
                <w:rFonts w:ascii="Arial" w:cs="Arial" w:eastAsia="Arial" w:hAnsi="Arial"/>
                <w:sz w:val="18"/>
                <w:szCs w:val="18"/>
                <w:color w:val="auto"/>
                <w:w w:val="89"/>
              </w:rPr>
              <w:t>672,878</w:t>
            </w: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impairment charges as of March 31, 2023</w:t>
            </w:r>
          </w:p>
        </w:tc>
        <w:tc>
          <w:tcPr>
            <w:tcW w:w="3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center"/>
              <w:ind w:left="553"/>
              <w:spacing w:after="0"/>
              <w:rPr>
                <w:sz w:val="20"/>
                <w:szCs w:val="20"/>
                <w:color w:val="auto"/>
              </w:rPr>
            </w:pPr>
            <w:r>
              <w:rPr>
                <w:rFonts w:ascii="Arial" w:cs="Arial" w:eastAsia="Arial" w:hAnsi="Arial"/>
                <w:sz w:val="18"/>
                <w:szCs w:val="18"/>
                <w:color w:val="auto"/>
                <w:w w:val="90"/>
              </w:rPr>
              <w:t>(311,500)</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left="313"/>
              <w:spacing w:after="0"/>
              <w:rPr>
                <w:sz w:val="20"/>
                <w:szCs w:val="20"/>
                <w:color w:val="auto"/>
              </w:rPr>
            </w:pPr>
            <w:r>
              <w:rPr>
                <w:rFonts w:ascii="Arial" w:cs="Arial" w:eastAsia="Arial" w:hAnsi="Arial"/>
                <w:sz w:val="18"/>
                <w:szCs w:val="18"/>
                <w:color w:val="auto"/>
                <w:w w:val="90"/>
              </w:rPr>
              <w:t>(311,500)</w:t>
            </w: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2023</w:t>
            </w:r>
          </w:p>
        </w:tc>
        <w:tc>
          <w:tcPr>
            <w:tcW w:w="3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center"/>
              <w:ind w:left="553"/>
              <w:spacing w:after="0"/>
              <w:rPr>
                <w:sz w:val="20"/>
                <w:szCs w:val="20"/>
                <w:color w:val="auto"/>
              </w:rPr>
            </w:pPr>
            <w:r>
              <w:rPr>
                <w:rFonts w:ascii="Arial" w:cs="Arial" w:eastAsia="Arial" w:hAnsi="Arial"/>
                <w:sz w:val="18"/>
                <w:szCs w:val="18"/>
                <w:color w:val="auto"/>
                <w:w w:val="89"/>
              </w:rPr>
              <w:t>361,378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center"/>
              <w:ind w:left="313"/>
              <w:spacing w:after="0"/>
              <w:rPr>
                <w:sz w:val="20"/>
                <w:szCs w:val="20"/>
                <w:color w:val="auto"/>
              </w:rPr>
            </w:pPr>
            <w:r>
              <w:rPr>
                <w:rFonts w:ascii="Arial" w:cs="Arial" w:eastAsia="Arial" w:hAnsi="Arial"/>
                <w:sz w:val="18"/>
                <w:szCs w:val="18"/>
                <w:color w:val="auto"/>
                <w:w w:val="89"/>
              </w:rPr>
              <w:t>361,378</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bottom w:val="single" w:sz="8" w:color="CCEEFF"/>
            </w:tcBorders>
            <w:vMerge w:val="restart"/>
          </w:tcPr>
          <w:p>
            <w:pPr>
              <w:jc w:val="right"/>
              <w:ind w:right="2270"/>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492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3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2760" w:type="dxa"/>
            <w:vAlign w:val="bottom"/>
            <w:gridSpan w:val="4"/>
          </w:tcPr>
          <w:p>
            <w:pPr>
              <w:jc w:val="right"/>
              <w:ind w:right="976"/>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4"/>
          </w:tcPr>
          <w:p>
            <w:pPr>
              <w:jc w:val="right"/>
              <w:ind w:right="856"/>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Original</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256"/>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Original</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vMerge w:val="restart"/>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4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assets:</w:t>
            </w: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Customer lists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(134,443)</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416,104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(128,728)</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Contracts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52,536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Underlying Rights</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63"/>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479,137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(151,735)</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(144,291)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assets,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327,402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334,846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4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0" w:type="dxa"/>
            <w:vAlign w:val="bottom"/>
          </w:tcPr>
          <w:p>
            <w:pPr>
              <w:spacing w:after="0"/>
              <w:rPr>
                <w:sz w:val="1"/>
                <w:szCs w:val="1"/>
                <w:color w:val="auto"/>
              </w:rPr>
            </w:pPr>
          </w:p>
        </w:tc>
      </w:tr>
      <w:tr>
        <w:trPr>
          <w:trHeight w:val="257"/>
        </w:trPr>
        <w:tc>
          <w:tcPr>
            <w:tcW w:w="4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Finite life intangible liabilities: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Below-market leases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191,154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Less: accumulated amortization</w:t>
            </w: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(26,736)</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 intangible liabilities, net</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164,418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2023, the remaining weighted average amortization period of the Company’s intangible assets was 14.0 years.</w:t>
      </w:r>
    </w:p>
    <w:p>
      <w:pPr>
        <w:spacing w:after="0" w:line="225"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Amortization expense for the three months ended March 31, 2023 and 2022 was $7.4 million and $7.4 million, respectively. Amortization expense is estimated to be $29.8 million for the full year of 2023, $29.7 million in 2024, $29.7 million in 2025, $29.7 million in 2026, and $29.7 million for 2027.</w:t>
      </w:r>
    </w:p>
    <w:p>
      <w:pPr>
        <w:spacing w:after="0" w:line="12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We recognize the amortization of below-market leases in revenue. Revenue related to the amortization of the below-market leases for the three months ended March 31, 2023 and 2022 was $2.7 million and $2.7 million, respectively. As of March 31, 2023, the remaining weighted average amortization period of the Company’s intangible liabilities was 16.7 years. Revenue due to the amortization of the below-market leases is estimated to be $10.7 million for the full year of 2023, $10.7 million in 2024, $10.7 million in 2025, $10.7 million in 2026, and $10.7 million in 2027.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Notes and Other Debt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120" w:type="dxa"/>
            <w:vAlign w:val="bottom"/>
          </w:tcPr>
          <w:p>
            <w:pPr>
              <w:spacing w:after="0"/>
              <w:rPr>
                <w:sz w:val="16"/>
                <w:szCs w:val="16"/>
                <w:color w:val="auto"/>
              </w:rPr>
            </w:pPr>
          </w:p>
        </w:tc>
        <w:tc>
          <w:tcPr>
            <w:tcW w:w="1360" w:type="dxa"/>
            <w:vAlign w:val="bottom"/>
          </w:tcPr>
          <w:p>
            <w:pPr>
              <w:jc w:val="right"/>
              <w:ind w:right="75"/>
              <w:spacing w:after="0"/>
              <w:rPr>
                <w:sz w:val="20"/>
                <w:szCs w:val="20"/>
                <w:color w:val="auto"/>
              </w:rPr>
            </w:pPr>
            <w:r>
              <w:rPr>
                <w:rFonts w:ascii="Arial" w:cs="Arial" w:eastAsia="Arial" w:hAnsi="Arial"/>
                <w:sz w:val="14"/>
                <w:szCs w:val="14"/>
                <w:b w:val="1"/>
                <w:bCs w:val="1"/>
                <w:color w:val="auto"/>
                <w:w w:val="93"/>
              </w:rPr>
              <w:t>December 31, 2022</w:t>
            </w:r>
          </w:p>
        </w:tc>
        <w:tc>
          <w:tcPr>
            <w:tcW w:w="0" w:type="dxa"/>
            <w:vAlign w:val="bottom"/>
          </w:tcPr>
          <w:p>
            <w:pPr>
              <w:spacing w:after="0"/>
              <w:rPr>
                <w:sz w:val="1"/>
                <w:szCs w:val="1"/>
                <w:color w:val="auto"/>
              </w:rPr>
            </w:pP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Principal amount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5,484,442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5,262,373</w:t>
            </w:r>
          </w:p>
        </w:tc>
        <w:tc>
          <w:tcPr>
            <w:tcW w:w="0" w:type="dxa"/>
            <w:vAlign w:val="bottom"/>
          </w:tcPr>
          <w:p>
            <w:pPr>
              <w:spacing w:after="0"/>
              <w:rPr>
                <w:sz w:val="1"/>
                <w:szCs w:val="1"/>
                <w:color w:val="auto"/>
              </w:rPr>
            </w:pPr>
          </w:p>
        </w:tc>
      </w:tr>
      <w:tr>
        <w:trPr>
          <w:trHeight w:val="250"/>
        </w:trPr>
        <w:tc>
          <w:tcPr>
            <w:tcW w:w="81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unamortized discount, premium and debt issuance costs</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(73,558)</w:t>
            </w:r>
          </w:p>
        </w:tc>
        <w:tc>
          <w:tcPr>
            <w:tcW w:w="0" w:type="dxa"/>
            <w:vAlign w:val="bottom"/>
          </w:tcPr>
          <w:p>
            <w:pPr>
              <w:spacing w:after="0"/>
              <w:rPr>
                <w:sz w:val="1"/>
                <w:szCs w:val="1"/>
                <w:color w:val="auto"/>
              </w:rPr>
            </w:pPr>
          </w:p>
        </w:tc>
      </w:tr>
      <w:tr>
        <w:trPr>
          <w:trHeight w:val="275"/>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5,377,313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5,188,815</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8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8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March 31, 2023 and December 31, 2022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5"/>
          </w:tcPr>
          <w:p>
            <w:pPr>
              <w:ind w:left="760"/>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2780" w:type="dxa"/>
            <w:vAlign w:val="bottom"/>
            <w:gridSpan w:val="4"/>
          </w:tcPr>
          <w:p>
            <w:pPr>
              <w:jc w:val="right"/>
              <w:ind w:right="876"/>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7"/>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Unamortized</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Unamortized</w:t>
            </w:r>
          </w:p>
        </w:tc>
      </w:tr>
      <w:tr>
        <w:trPr>
          <w:trHeight w:val="186"/>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Discount,</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Discount,</w:t>
            </w:r>
          </w:p>
        </w:tc>
      </w:tr>
      <w:tr>
        <w:trPr>
          <w:trHeight w:val="178"/>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Premium and</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Premium and</w:t>
            </w:r>
          </w:p>
        </w:tc>
      </w:tr>
      <w:tr>
        <w:trPr>
          <w:trHeight w:val="176"/>
        </w:trPr>
        <w:tc>
          <w:tcPr>
            <w:tcW w:w="5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Debt Issuance</w:t>
            </w: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90"/>
              </w:rPr>
              <w:t>Debt Issuance</w:t>
            </w:r>
          </w:p>
        </w:tc>
      </w:tr>
      <w:tr>
        <w:trPr>
          <w:trHeight w:val="186"/>
        </w:trPr>
        <w:tc>
          <w:tcPr>
            <w:tcW w:w="5040" w:type="dxa"/>
            <w:vAlign w:val="bottom"/>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Costs</w:t>
            </w:r>
          </w:p>
        </w:tc>
        <w:tc>
          <w:tcPr>
            <w:tcW w:w="280" w:type="dxa"/>
            <w:vAlign w:val="bottom"/>
          </w:tcPr>
          <w:p>
            <w:pPr>
              <w:spacing w:after="0"/>
              <w:rPr>
                <w:sz w:val="16"/>
                <w:szCs w:val="16"/>
                <w:color w:val="auto"/>
              </w:rPr>
            </w:pPr>
          </w:p>
        </w:tc>
        <w:tc>
          <w:tcPr>
            <w:tcW w:w="130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6"/>
                <w:szCs w:val="16"/>
                <w:color w:val="auto"/>
              </w:rPr>
            </w:pPr>
          </w:p>
        </w:tc>
        <w:tc>
          <w:tcPr>
            <w:tcW w:w="1280" w:type="dxa"/>
            <w:vAlign w:val="bottom"/>
          </w:tcPr>
          <w:p>
            <w:pPr>
              <w:jc w:val="center"/>
              <w:ind w:right="136"/>
              <w:spacing w:after="0"/>
              <w:rPr>
                <w:sz w:val="20"/>
                <w:szCs w:val="20"/>
                <w:color w:val="auto"/>
              </w:rPr>
            </w:pPr>
            <w:r>
              <w:rPr>
                <w:rFonts w:ascii="Arial" w:cs="Arial" w:eastAsia="Arial" w:hAnsi="Arial"/>
                <w:sz w:val="14"/>
                <w:szCs w:val="14"/>
                <w:b w:val="1"/>
                <w:bCs w:val="1"/>
                <w:color w:val="auto"/>
                <w:w w:val="87"/>
              </w:rPr>
              <w:t>Costs</w:t>
            </w:r>
          </w:p>
        </w:tc>
      </w:tr>
      <w:tr>
        <w:trPr>
          <w:trHeight w:val="26"/>
        </w:trPr>
        <w:tc>
          <w:tcPr>
            <w:tcW w:w="50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5"/>
        </w:trPr>
        <w:tc>
          <w:tcPr>
            <w:tcW w:w="50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Senior secured notes - 7.875% due February 15, 2025</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8.38%)</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(22,239)</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Senior secured notes - 10.50% due February 15, 2028</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11.06%)</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(54,994)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secured notes - 4.75%, due April 15, 2028</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5.04%)</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42"/>
        </w:trPr>
        <w:tc>
          <w:tcPr>
            <w:tcW w:w="5040" w:type="dxa"/>
            <w:vAlign w:val="bottom"/>
          </w:tcPr>
          <w:p>
            <w:pPr>
              <w:ind w:left="20"/>
              <w:spacing w:after="0"/>
              <w:rPr>
                <w:sz w:val="20"/>
                <w:szCs w:val="20"/>
                <w:color w:val="auto"/>
              </w:rPr>
            </w:pPr>
            <w:r>
              <w:rPr>
                <w:rFonts w:ascii="Arial" w:cs="Arial" w:eastAsia="Arial" w:hAnsi="Arial"/>
                <w:sz w:val="18"/>
                <w:szCs w:val="18"/>
                <w:color w:val="auto"/>
              </w:rPr>
              <w:t>Exchangeable senior notes - 4.00%, due June 15, 2024</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4.77%)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122,942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137,873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(1,501)</w:t>
            </w: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senior notes - 7.50%, due December 1, 2027</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8.29%)</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r>
      <w:tr>
        <w:trPr>
          <w:trHeight w:val="242"/>
        </w:trPr>
        <w:tc>
          <w:tcPr>
            <w:tcW w:w="5040" w:type="dxa"/>
            <w:vAlign w:val="bottom"/>
          </w:tcPr>
          <w:p>
            <w:pPr>
              <w:ind w:left="20"/>
              <w:spacing w:after="0"/>
              <w:rPr>
                <w:sz w:val="20"/>
                <w:szCs w:val="20"/>
                <w:color w:val="auto"/>
              </w:rPr>
            </w:pPr>
            <w:r>
              <w:rPr>
                <w:rFonts w:ascii="Arial" w:cs="Arial" w:eastAsia="Arial" w:hAnsi="Arial"/>
                <w:sz w:val="18"/>
                <w:szCs w:val="18"/>
                <w:color w:val="auto"/>
              </w:rPr>
              <w:t>Senior unsecured notes - 6.00% due January 15, 2030</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51"/>
        </w:trPr>
        <w:tc>
          <w:tcPr>
            <w:tcW w:w="5040" w:type="dxa"/>
            <w:vAlign w:val="bottom"/>
          </w:tcPr>
          <w:p>
            <w:pPr>
              <w:ind w:left="20"/>
              <w:spacing w:after="0"/>
              <w:rPr>
                <w:sz w:val="20"/>
                <w:szCs w:val="20"/>
                <w:color w:val="auto"/>
              </w:rPr>
            </w:pPr>
            <w:r>
              <w:rPr>
                <w:rFonts w:ascii="Arial" w:cs="Arial" w:eastAsia="Arial" w:hAnsi="Arial"/>
                <w:sz w:val="18"/>
                <w:szCs w:val="18"/>
                <w:color w:val="auto"/>
              </w:rPr>
              <w:t>(discount is based on imputed interest rate of 6.27%)</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(10,535)</w:t>
            </w:r>
          </w:p>
        </w:tc>
      </w:tr>
      <w:tr>
        <w:trPr>
          <w:trHeight w:val="249"/>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- 6.50%, due February 15, 2029</w:t>
            </w: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is based on imputed interest rate of 6.83%)</w:t>
            </w: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(18,245)</w:t>
            </w:r>
          </w:p>
        </w:tc>
      </w:tr>
      <w:tr>
        <w:trPr>
          <w:trHeight w:val="215"/>
        </w:trPr>
        <w:tc>
          <w:tcPr>
            <w:tcW w:w="5040" w:type="dxa"/>
            <w:vAlign w:val="bottom"/>
          </w:tcPr>
          <w:p>
            <w:pPr>
              <w:ind w:left="20"/>
              <w:spacing w:after="0"/>
              <w:rPr>
                <w:sz w:val="20"/>
                <w:szCs w:val="20"/>
                <w:color w:val="auto"/>
              </w:rPr>
            </w:pPr>
            <w:r>
              <w:rPr>
                <w:rFonts w:ascii="Arial" w:cs="Arial" w:eastAsia="Arial" w:hAnsi="Arial"/>
                <w:sz w:val="18"/>
                <w:szCs w:val="18"/>
                <w:color w:val="auto"/>
              </w:rPr>
              <w:t>Senior secured revolving credit facility, variable rate, due</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7"/>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December 10, 2024</w:t>
            </w: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5,484,442</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(107,129)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5,262,373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At March 31, 2023, notes and other debt included the following: (i) $75.0 million under the Revolving Credit Facility (as defined below) pursuant to that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certain credit agreement, dated as of April 24, 2015, by and among the Operating Partnership, Uniti Group Finance 2019 Inc. and CSL Capital, LLC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(hereinafter, the “Borrowers”), the guarantors party thereto, Bank of America, N.A., as administrative agent, collateral agent, swing line lender and an L/C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issuer and certain other lenders named therein (the “Credit Agreement”); (ii) $2.6 billion aggregate principal amount of 10.50% Senior 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2028 (the “February 2028 Secured Notes”); (iii) $570.0 million aggregate principal amount of 4.75% Senior Secured Notes due April 15, 2028 (the “April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2028 Secured Notes”); (iv) $1.1 billion aggregate principal amount of 6.50% Senior Unsecured Notes due February 15, 2029 (the “2029 Notes”); (v)</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$122.9 million aggregate principal amount of the Exchangeable Notes; (vi) $700.0 million aggregate principal amount of 6.00% Senior Secured Notes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January 15, 2030 (the “2030 Notes”); and (vii) $306.5 million aggregate principal amount of 7.50% Convertible Senior Notes due 2027 (the "Convertible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2027 Notes" and, together with the February 2028 Secured Notes, April 2028 Secured Notes, 2029 Notes, 2030 Notes and the Exchangeable Notes,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"Notes"). The terms of the Notes are as described in the Company’s Annual Report on Form 10-K for the year ended December 31,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March 24, 2023, the Borrowers, each a subsidiary of Uniti Group Inc., entered into Amendment No. 8 (the “Amendment”) to the Credit Agreement.</w:t>
      </w:r>
    </w:p>
    <w:p>
      <w:pPr>
        <w:spacing w:after="0" w:line="2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Amendment extends the maturity of the $500 million revolving credit facility to, upon receipt of routine regulatory approvals, September 24, 2027 (the “Revolving Credit Facility”). The Amendment also transitioned the Revolving Credit Facility from LIBOR to Term SOFR, and in connection with that change, set the credit spread adjustment to ten basis points for all interest periods. All obligations under the Credit Agreement are guaranteed by (i) the Company and (ii) certain of the Operating Partnership’s subsidiaries (the “Subsidiary Guarantors”) and are secured by substantially all of the assets of the Borrowers and the Subsidiary Guarantors.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March 31, 2023, the Borrowers were in compliance with all of the covenants under the Credit Agreement.</w:t>
      </w:r>
    </w:p>
    <w:p>
      <w:pPr>
        <w:spacing w:after="0" w:line="18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A termination of either Windstream Lease would result in an “event of default” under the Credit Agreement if a replacement lease is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Borrowings under the Revolving Credit Facility bear interest at a rate equal to either a base rate plus an applicable margin ranging from 2.75% to 3.50% or a Term SOFR rate plus an applicable margin ranging from 3.75% to 4.50% in each case, calculated in a customary manner and determined based on our consolidated secured leverage ratio. We are required to pay a quarterly commitment fee under the Revolving Credit Facility equal to 0.50% of the average amount of unused commitments during the applicable quarter (subject to a step-down to 0.40% per annum of the average amount of unused commitments during the applicable quarter upon achievement of a consolidated secured leverage ratio not to exceed a certain level), as well as quarterly letter of credit fees equal to the product of (A) the applicable margin with respect to Term SOFR borrowings and (B) the average amount available to be drawn under outstanding letters of credit during such quarter.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Notes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On February 14, 2023, The Operating Partnership, CSL Capital, LLC, Uniti Group Finance 2019 Inc. and Uniti Fiber Holdings Inc. (collectively, the “Issuers”) issued $2.6 billion aggregate principal amount of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for the 2025 Secured Notes with the trustee and satisfied and discharged their respective obligations with respect to the indenture governing the 2025 Secured Notes at such time. During the three months ended March 31, 2023, we recognized a $32.3 million loss on the extinguishment of the 2025 Secured Notes within interest expense, net on the Condensed Consolidated Statements of Income (Loss), which included $10.3 million of non-cash interest expense for the write off of the unamortized discount and deferred financing costs and $22.0 million of cash interest expense for the redemption premium.</w:t>
      </w:r>
    </w:p>
    <w:p>
      <w:pPr>
        <w:spacing w:after="0" w:line="208"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February 2028 Secured Notes were issued at an issue price of 100% of their principal amount pursuant to an indenture, dated as of February 14, 2023 (the “February 2028 Secured Notes Indenture”), among the Issuers, the guarantors named therein (collectively, the “Guarantors”) and Deutsche Bank Trust Company Americas, as trustee and as collateral agent. The February 2028 Secured Notes mature on February 15, 2028 and bear interest at a rate of 10.50% per year. Interest on the February 2028 Secured Notes is payable on March 15 and September 15 of each year, beginning on September 15, 2023.</w:t>
      </w:r>
    </w:p>
    <w:p>
      <w:pPr>
        <w:spacing w:after="0" w:line="177"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The Issuers may redeem the February 2028 Secured Notes, in whole or in part, at any time prior to September 15, 2025 at a redemption price equal to 100% of the principal amount of the February 2028 Secured Notes redeemed plus accrued and unpaid interest thereon, if any, to, but not including, the redemption date, plus an applicable “make whole” premium described in the February 2028 Secured Notes Indenture.</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Thereafter, the Issuers may redeem the February 2028 Secured Notes in whole or in part, at the redemption prices set forth in the February 2028 Secured Notes Indenture. In addition, prior to February 15, 2025, the Issuers may, on one or more occasions, redeem up to 10% of the aggregate principal amount of the February 2028 Secured Notes in any twelve month period at a redemption price equal to 103% of the principal amount thereof plus accrued and unpaid interest thereon, if any, to, but not including, the applicable redemption date. Notwithstanding the foregoing, the Issuers may not use the proceeds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of any offering of Additional Notes (as defined in the February 2028 Secured Notes Indenture) with a price to investors equal to or in excess of 103% to finance any such optional redemption. Further, at any time on or prior to September 15, 2025, up to 40% of the aggregate principal amount of the February 2028 Secured Notes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February 2028 Secured Notes remains outstanding. If certain changes of control of the Operating Partnership occur, holders of the February 2028 Secured Notes will have the right to require the Issuers to offer to repurchase their Notes at 101% of their principal amount plus accrued and unpaid interest, if any, to, but not including, the repurchase date.</w:t>
      </w:r>
    </w:p>
    <w:p>
      <w:pPr>
        <w:spacing w:after="0" w:line="199"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February 2028 Secured Notes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 (the “Subsidiary Guarantors”). In addition, the Issuers will use commercially reasonable efforts to obtain necessary regulatory approval to allow certain non-guarantor subsidiaries of the Company to guarantee the February 2028 Secured Notes, including by making filings to obtain such approval within 60 days of the issuance of the February 2028 Secured Notes. The guarantees are subject to release under specified circumstances, including certain circumstances in which such guarantees may be automatically released without the consent of the holders of the February 2028 Secured Notes.</w:t>
      </w:r>
    </w:p>
    <w:p>
      <w:pPr>
        <w:spacing w:after="0" w:line="21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February 2028 Secured Notes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February 2028 Secured Notes;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February 2028 Secured Notes.</w:t>
      </w: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February 2028 Secured Notes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Indenture also contains customary events of default.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Exchangeable Notes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On March 21, 2023, the Company repurchased approximately $15.0 million of the Exchangeable Notes for total cash consideration of $13.7 million. During the three months ended March 31, 2023, we recorded a $1.1 million gain on extinguishment of debt, net within interest expense on our Condensed Consolidated Statements of Income (Loss), which included $0.1 million of non-cash interest expense for the write off of the unamortized discount and deferred financing costs. In connection with these repurchases, the Company entered into partial unwind agreements with the Counterparties to unwind a portion of the Note Hedge Transactions and the Warrants described above (see Note 8).</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Income. For the three months ended March 31, 2023 and 2022, we recognized $4.8 million and $4.3 million, respectively, of non-cash interest expense related to the amortization of deferred financing costs.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dilutive effect of the Exchangeable Notes and the Convertible 2027 Notes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r>
        <w:rPr>
          <w:rFonts w:ascii="Arial" w:cs="Arial" w:eastAsia="Arial" w:hAnsi="Arial"/>
          <w:sz w:val="16"/>
          <w:szCs w:val="16"/>
          <w:u w:val="single" w:color="auto"/>
          <w:color w:val="0000FF"/>
        </w:rPr>
        <w:t>see Note 8</w:t>
      </w:r>
      <w:r>
        <w:rPr>
          <w:rFonts w:ascii="Arial" w:cs="Arial" w:eastAsia="Arial" w:hAnsi="Arial"/>
          <w:sz w:val="16"/>
          <w:szCs w:val="16"/>
          <w:color w:val="auto"/>
        </w:rPr>
        <w:t>) is calculated using the treasury-stock method. During the three months ended March 31, 2023 and 2022, the Warrants were excluded from diluted shares outstanding because the exercise price exceeded the average market price of our common stock for the reporting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8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shareholders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52,730</w:t>
            </w:r>
          </w:p>
        </w:tc>
      </w:tr>
      <w:tr>
        <w:trPr>
          <w:trHeight w:val="250"/>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63"/>
        </w:trPr>
        <w:tc>
          <w:tcPr>
            <w:tcW w:w="8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100" w:type="dxa"/>
            <w:vAlign w:val="bottom"/>
            <w:gridSpan w:val="2"/>
          </w:tcPr>
          <w:p>
            <w:pPr>
              <w:ind w:left="180"/>
              <w:spacing w:after="0"/>
              <w:rPr>
                <w:sz w:val="20"/>
                <w:szCs w:val="20"/>
                <w:color w:val="auto"/>
              </w:rPr>
            </w:pPr>
            <w:r>
              <w:rPr>
                <w:rFonts w:ascii="Arial" w:cs="Arial" w:eastAsia="Arial" w:hAnsi="Arial"/>
                <w:sz w:val="18"/>
                <w:szCs w:val="18"/>
                <w:color w:val="auto"/>
              </w:rPr>
              <w:t>Net (loss) income attributable to common shares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(19,454)</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52,394</w:t>
            </w:r>
          </w:p>
        </w:tc>
      </w:tr>
      <w:tr>
        <w:trPr>
          <w:trHeight w:val="263"/>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8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236,090</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235,046</w:t>
            </w:r>
          </w:p>
        </w:tc>
      </w:tr>
      <w:tr>
        <w:trPr>
          <w:trHeight w:val="27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Basic (loss)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509"/>
        </w:trPr>
        <w:tc>
          <w:tcPr>
            <w:tcW w:w="8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1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00" w:type="dxa"/>
            <w:vAlign w:val="bottom"/>
            <w:gridSpan w:val="2"/>
          </w:tcPr>
          <w:p>
            <w:pPr>
              <w:ind w:left="20"/>
              <w:spacing w:after="0"/>
              <w:rPr>
                <w:sz w:val="20"/>
                <w:szCs w:val="20"/>
                <w:color w:val="auto"/>
              </w:rPr>
            </w:pPr>
            <w:r>
              <w:rPr>
                <w:rFonts w:ascii="Arial" w:cs="Arial" w:eastAsia="Arial" w:hAnsi="Arial"/>
                <w:sz w:val="14"/>
                <w:szCs w:val="14"/>
                <w:color w:val="auto"/>
              </w:rPr>
              <w:t>(Thousands, except per share data)</w:t>
            </w:r>
          </w:p>
        </w:tc>
        <w:tc>
          <w:tcPr>
            <w:tcW w:w="340" w:type="dxa"/>
            <w:vAlign w:val="bottom"/>
          </w:tcPr>
          <w:p>
            <w:pPr>
              <w:spacing w:after="0"/>
              <w:rPr>
                <w:sz w:val="16"/>
                <w:szCs w:val="16"/>
                <w:color w:val="auto"/>
              </w:rPr>
            </w:pPr>
          </w:p>
        </w:tc>
        <w:tc>
          <w:tcPr>
            <w:tcW w:w="11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5"/>
        </w:trPr>
        <w:tc>
          <w:tcPr>
            <w:tcW w:w="8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shareholders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(19,202)</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52,730</w:t>
            </w:r>
          </w:p>
        </w:tc>
      </w:tr>
      <w:tr>
        <w:trPr>
          <w:trHeight w:val="250"/>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Less: Income allocated to participating securities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63"/>
        </w:trPr>
        <w:tc>
          <w:tcPr>
            <w:tcW w:w="81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Dividends declared on convertible preferred stock</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8100" w:type="dxa"/>
            <w:vAlign w:val="bottom"/>
            <w:gridSpan w:val="2"/>
          </w:tcPr>
          <w:p>
            <w:pPr>
              <w:ind w:left="58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2,994</w:t>
            </w:r>
          </w:p>
        </w:tc>
      </w:tr>
      <w:tr>
        <w:trPr>
          <w:trHeight w:val="256"/>
        </w:trPr>
        <w:tc>
          <w:tcPr>
            <w:tcW w:w="81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shares</w:t>
            </w: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8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55,388</w:t>
            </w:r>
          </w:p>
        </w:tc>
      </w:tr>
      <w:tr>
        <w:trPr>
          <w:trHeight w:val="25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 weighted-average common shares outstanding</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236,090</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235,046</w:t>
            </w:r>
          </w:p>
        </w:tc>
      </w:tr>
      <w:tr>
        <w:trPr>
          <w:trHeight w:val="250"/>
        </w:trPr>
        <w:tc>
          <w:tcPr>
            <w:tcW w:w="8100" w:type="dxa"/>
            <w:vAlign w:val="bottom"/>
            <w:gridSpan w:val="2"/>
          </w:tcPr>
          <w:p>
            <w:pPr>
              <w:ind w:left="340"/>
              <w:spacing w:after="0"/>
              <w:rPr>
                <w:sz w:val="20"/>
                <w:szCs w:val="20"/>
                <w:color w:val="auto"/>
              </w:rPr>
            </w:pPr>
            <w:r>
              <w:rPr>
                <w:rFonts w:ascii="Arial" w:cs="Arial" w:eastAsia="Arial" w:hAnsi="Arial"/>
                <w:sz w:val="18"/>
                <w:szCs w:val="18"/>
                <w:color w:val="auto"/>
              </w:rPr>
              <w:t>Effect of dilutive non-participating securities</w:t>
            </w:r>
          </w:p>
        </w:tc>
        <w:tc>
          <w:tcPr>
            <w:tcW w:w="34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63"/>
        </w:trPr>
        <w:tc>
          <w:tcPr>
            <w:tcW w:w="8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Impact on if-converted dilutive securities</w:t>
            </w:r>
          </w:p>
        </w:tc>
        <w:tc>
          <w:tcPr>
            <w:tcW w:w="3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31,032</w:t>
            </w:r>
          </w:p>
        </w:tc>
      </w:tr>
      <w:tr>
        <w:trPr>
          <w:trHeight w:val="243"/>
        </w:trPr>
        <w:tc>
          <w:tcPr>
            <w:tcW w:w="81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Weighted-average shares for dilutive earnings per common share</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236,090</w:t>
            </w:r>
          </w:p>
        </w:tc>
        <w:tc>
          <w:tcPr>
            <w:tcW w:w="8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267,304</w:t>
            </w:r>
          </w:p>
        </w:tc>
      </w:tr>
      <w:tr>
        <w:trPr>
          <w:trHeight w:val="275"/>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Dilutive (loss) earnings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For the three months ended March 31, 2023, 1,053,189 non-participating securities were excluded from the computation of earnings per share, as their performance conditions have not been met, and 54,748,359 potential common shares related to the Exchangeable Notes and the Convertible Notes were excluded from the computation of earnings per share, as their effect would have been anti-dilutive.</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Information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two reportable segments, in addition to our corporate operations, which include:</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dark fiber network assets that we either constructed or acquired. While the Leasing segment represents our REIT operations, certain aspects of the Leasing segment are also operated through taxable REIT subsidiaries.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i w:val="1"/>
          <w:iCs w:val="1"/>
          <w:u w:val="single" w:color="auto"/>
          <w:color w:val="auto"/>
        </w:rPr>
        <w:t>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Represents our corporate office and shared service functions. Certain costs and expenses, primarily related to headcount,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professional fees and similar charges, that are directly attributable to operations of our business segments are allocated to the respective segments.</w:t>
      </w:r>
    </w:p>
    <w:p>
      <w:pPr>
        <w:spacing w:after="0" w:line="124"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 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months ended March 31, 2023 and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March 31,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210,808</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289,822</w:t>
            </w:r>
          </w:p>
        </w:tc>
        <w:tc>
          <w:tcPr>
            <w:tcW w:w="0" w:type="dxa"/>
            <w:vAlign w:val="bottom"/>
          </w:tcPr>
          <w:p>
            <w:pPr>
              <w:spacing w:after="0"/>
              <w:rPr>
                <w:sz w:val="1"/>
                <w:szCs w:val="1"/>
                <w:color w:val="auto"/>
              </w:rPr>
            </w:pPr>
          </w:p>
        </w:tc>
      </w:tr>
      <w:tr>
        <w:trPr>
          <w:trHeight w:val="270"/>
        </w:trPr>
        <w:tc>
          <w:tcPr>
            <w:tcW w:w="4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204,966</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(7,439)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231,201</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148,863</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32,586</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20,513</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Three Months Ended March 31, 2022</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7"/>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4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w w:val="93"/>
              </w:rPr>
              <w:t>Subtotal of Reportable</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center"/>
              <w:ind w:right="212"/>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6"/>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278,034</w:t>
            </w:r>
          </w:p>
        </w:tc>
        <w:tc>
          <w:tcPr>
            <w:tcW w:w="0" w:type="dxa"/>
            <w:vAlign w:val="bottom"/>
          </w:tcPr>
          <w:p>
            <w:pPr>
              <w:spacing w:after="0"/>
              <w:rPr>
                <w:sz w:val="1"/>
                <w:szCs w:val="1"/>
                <w:color w:val="auto"/>
              </w:rPr>
            </w:pPr>
          </w:p>
        </w:tc>
      </w:tr>
      <w:tr>
        <w:trPr>
          <w:trHeight w:val="270"/>
        </w:trPr>
        <w:tc>
          <w:tcPr>
            <w:tcW w:w="5040" w:type="dxa"/>
            <w:vAlign w:val="bottom"/>
            <w:gridSpan w:val="2"/>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198,973</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4"/>
              </w:rPr>
              <w:t>(5,643)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224,789</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42,102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29,319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71,457</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Transaction related and other costs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Other, net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63"/>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50"/>
        </w:trPr>
        <w:tc>
          <w:tcPr>
            <w:tcW w:w="5040" w:type="dxa"/>
            <w:vAlign w:val="bottom"/>
            <w:gridSpan w:val="2"/>
          </w:tcPr>
          <w:p>
            <w:pPr>
              <w:ind w:left="1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57"/>
        </w:trPr>
        <w:tc>
          <w:tcPr>
            <w:tcW w:w="50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Adjustments for equity in earnings from unconsolidated entities</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5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17"/>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jc w:val="both"/>
        <w:ind w:right="58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Commitments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Following the consummation of our settlement agreement with Windstream, including entry into the Windstream Leases, we are obligated to make $490.1 million of cash payments to Windstream in equal installments over 20 consecutive quarters beginning in October 2020, and Uniti may prepay any installments due on or after the first anniversary of the settlement agreement (discounted at a 9% rate). On October 14, 2021, the Company prepaid four installments for a total of $92.9 million. As of March 31, 2023, the Company has made payments totaling $239.9 million.</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Further, beginning in October 2020, we became obligated to reimburse Windstream for up to an aggregate of $1.75 billion for certain growth capital improvements in long-term fiber and related assets made by Windstream (“Growth Capital Improvements”) through 2029. Uniti’s reimbursement commitment for Growth Capital Improvements does not require Uniti to reimburse Windstream for maintenance or repair expenditures (except for costs incurred for fiber replacements to the property leased under the competitive local exchange carrier master lease agreement,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 During the three months ended March 31, 2023, Uniti reimbursed $67.5 million of Growth Capital Improvements, of which $35.1 million represented the reimbursement of capital improvements completed in 2022 that were previously classified as tenant funded capital improvements. As of the date of this Quarterly Report on Form 10-Q, we have reimbursed a total of $642.0 million of Growth Capital Improvements. Upon reimbursement, the Company reduced the unamortized portion of deferred revenue related to these capital improvements and capitalized the difference between the cash provided to Windstream and the unamortized deferred revenue as a lease incentive. This lease incentive, which is $0.7 million and reported within other assets on our Condensed Consolidated Balance Sheets as of March 31, 2023, will be amortized as a reduction to revenue over the initial term of the Windstream Leases.</w:t>
      </w:r>
    </w:p>
    <w:p>
      <w:pPr>
        <w:spacing w:after="0" w:line="17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w:t>
      </w: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 xml:space="preserve">Beginning on October 25, 2019, several purported shareholders filed separate putative class actions in the U.S. District Court for the Eastern District of Arkansas against the Company and certain of our officers, alleging violations of the federal securities laws based on claims that the defendants improperly failed to disclose the risk that our spin-off from Windstream (the "Spin-Off") and entry into the Master Lease violated certain debt covenants of Windstream. 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6"/>
          <w:szCs w:val="16"/>
          <w:i w:val="1"/>
          <w:iCs w:val="1"/>
          <w:color w:val="auto"/>
        </w:rPr>
        <w:t>In re Uniti Group Inc. Securities Litigation</w:t>
      </w:r>
      <w:r>
        <w:rPr>
          <w:rFonts w:ascii="Arial" w:cs="Arial" w:eastAsia="Arial" w:hAnsi="Arial"/>
          <w:sz w:val="16"/>
          <w:szCs w:val="16"/>
          <w:color w:val="auto"/>
        </w:rPr>
        <w:t xml:space="preserve"> (the “Class Action”). On May 11, 2020, lead plaintiffs filed a consolidated amended complaint in the Class Action. The consolidated amended complaint seeks to represent investors who acquired the Company’s securities between April 20, 2015 and February 15, 2019. The Class Action asserts claims under Sections 10(b) and 20(a) of the Securities Exchange Act of 1934, as amended (the "Exchange Act") and Rule 10b-5 promulgated thereunder, alleging that the Company made materially false and misleading statements by allegedly failing to disclose, among other things, the risk that the Spin-Off and entry into the Master Lease violated certain debt covenants of Windstream and/or the risk that the Master Lease purportedly could be recharacterized as a financing instead of a “true lease.” The Class Action seeks class certification, unspecified monetary damages, costs and attorneys’ fees and other relief. On July 10, 2020, defendants moved to dismiss the consolidated amended complaint. On April 1, 2021, the court issued an order denying defendants’ motion to dismiss. On April 15, 2021, defendants filed a motion for reconsideration of the order or, in the alternative, for certification of an appeal of the decision to the Eighth Circuit. On October 25, 2021, plaintiffs filed a motion for class certification, which defendants opposed. On December 22, 2021, the court issued an order denying defendants’ motion for reconsideration or, in the alternative, certification of an appeal. On March 25, 2022, the parties reached an agreement to settle the Class Action, on behalf of a settlement class, for $38.9 million, to be funded entirely by the Company’s insurance carriers. On June 17, 2022, the parties signed a stipulation of settlement and plaintiffs moved for preliminary approval of the settlement. The court granted preliminary approval on July 20, 2022. The court granted final approval on November 7, 2022. In accordance with ASC 450, we recorded $38.9 million of settlement expense within general and administrative expense within our Condensed Consolidated Statements of Income during the first quarter of 2022 and accounts payable, accrued expenses and other liabilities, net within our Condensed Consolidated Balance Sheets as of March 31, 2022. Additionally, we recorded the probable insurance recovery of $38.9 million as a reduction to general and administrative expense during the three months ended March 31, 2022 within our Condensed Consolidated Statements of Income, and other assets within Condensed Consolidated Balance Sheets as of March 31, 2022.</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August 17, 2021, two purported shareholders filed a derivative action on behalf of Uniti in the Circuit Court for Baltimore City, Maryland, under the caption </w:t>
      </w:r>
      <w:r>
        <w:rPr>
          <w:rFonts w:ascii="Arial" w:cs="Arial" w:eastAsia="Arial" w:hAnsi="Arial"/>
          <w:sz w:val="17"/>
          <w:szCs w:val="17"/>
          <w:i w:val="1"/>
          <w:iCs w:val="1"/>
          <w:color w:val="auto"/>
        </w:rPr>
        <w:t>Mayer et al. v. Gunderman et al.</w:t>
      </w:r>
      <w:r>
        <w:rPr>
          <w:rFonts w:ascii="Arial" w:cs="Arial" w:eastAsia="Arial" w:hAnsi="Arial"/>
          <w:sz w:val="17"/>
          <w:szCs w:val="17"/>
          <w:color w:val="auto"/>
        </w:rPr>
        <w:t>, 24-C-21-003488 (the “Mayer Derivative Action”). The Mayer Derivative Action names Kenneth Gunderman and Mark Wallace as defendants and the Company as a nominal defendant and asserts claims for breach of fiduciary duty and unjust enrichment. The complaint alleges that the individual defendants caused the Company to issue certain false and misleading statements relating to the Spin-Off and/or the Master Lease. In particular, as in the Shareholder Actions, the complaint alleges, among other things, that defendants failed to disclose the risk that the Spin-Off and entry into the Master Lease violated certain debt covenants of Windstream and/or the risk that the Master Lease purportedly could be recharacterized as a financing instead of a “true lease.” The complaint seeks unspecified damages, unspecified equitable relief, and related costs and fees. On December 23, 2021, the court entered a joint stipulation to stay the Mayer Derivative Action, including the time for the defendants to respond to the complaint, pending the outcome of the Class Action.</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On February 11, 2022, a purported shareholder filed a derivative action on behalf of Uniti in the federal District Court for the District of Maryland, under the caption </w:t>
      </w:r>
      <w:r>
        <w:rPr>
          <w:rFonts w:ascii="Arial" w:cs="Arial" w:eastAsia="Arial" w:hAnsi="Arial"/>
          <w:sz w:val="17"/>
          <w:szCs w:val="17"/>
          <w:i w:val="1"/>
          <w:iCs w:val="1"/>
          <w:color w:val="auto"/>
        </w:rPr>
        <w:t>Guzzo et al. v. Gunderman et al.</w:t>
      </w:r>
      <w:r>
        <w:rPr>
          <w:rFonts w:ascii="Arial" w:cs="Arial" w:eastAsia="Arial" w:hAnsi="Arial"/>
          <w:sz w:val="17"/>
          <w:szCs w:val="17"/>
          <w:color w:val="auto"/>
        </w:rPr>
        <w:t>, 1:22-cv-00366-GLR (the “Guzzo Derivative Action”). The complaint names Kenneth Gunderman, Mark Wallace, Francis Frantz, David Solomon, Jennifer Banner, and Scott Bruce as defendants and the Company as a nominal defendant and asserts claims for contribution against Gunderman and Wallace if the Company is found to be liable for violations of the federal securities laws in the Class Action and claims against all the individual defendants for breaches of fiduciary duty, waste of corporate assets, and unjust enrichment. The allegations in the Guzzo Derivative Action are similar to those in the Mayer Derivative Action and the Class Action. The complaint seeks unspecified damages, equitable relief, and related costs and fees. On March 16, 2022, the court entered a joint stipulation to stay the Guzzo Derivative Action, including the time for the defendants to respond to the complaint, pending the outcome of the Class Action.</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March 3, 2023, the parties to the Mayer and Guzzo Derivative Actions signed a stipulation of settlement agreeing to settle the actions in exchange for non-monetary damages, and also agreeing to an award of attorney’s fees and expenses to plaintiffs’ counsel in both actions in the amount of $0.8 million. On March 3, 2023, plaintiff’s counsel in the Mayer Derivative Action sought preliminary approval of the settlement, which the court presiding over the action granted on March 23, 2023. The settlement remains subject to final court approval, and a final hearing on the settlement is scheduled in the Mayer Derivative Action for May 9, 2023.</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We maintain insurance policies that would provide coverage to various degrees for potential liabilities arising from the legal proceedings described above.</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Sheets as of March 31, 2023.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Accumulated Other Comprehensive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is as follows for the three months ended March 31, 2023 and 2022:</w:t>
      </w:r>
    </w:p>
    <w:p>
      <w:pPr>
        <w:spacing w:after="0" w:line="271"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32385</wp:posOffset>
            </wp:positionV>
            <wp:extent cx="19462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46275" cy="8890"/>
                    </a:xfrm>
                    <a:prstGeom prst="rect">
                      <a:avLst/>
                    </a:prstGeom>
                    <a:noFill/>
                  </pic:spPr>
                </pic:pic>
              </a:graphicData>
            </a:graphic>
          </wp:anchor>
        </w:drawing>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81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6"/>
        </w:trPr>
        <w:tc>
          <w:tcPr>
            <w:tcW w:w="8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hedge changes in fair value: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50"/>
        </w:trPr>
        <w:tc>
          <w:tcPr>
            <w:tcW w:w="8120" w:type="dxa"/>
            <w:vAlign w:val="bottom"/>
            <w:tcBorders>
              <w:bottom w:val="single" w:sz="8" w:color="CCEEFF"/>
            </w:tcBorders>
            <w:gridSpan w:val="2"/>
          </w:tcPr>
          <w:p>
            <w:pPr>
              <w:ind w:left="80"/>
              <w:spacing w:after="0"/>
              <w:rPr>
                <w:sz w:val="20"/>
                <w:szCs w:val="20"/>
                <w:color w:val="auto"/>
              </w:rPr>
            </w:pPr>
            <w:r>
              <w:rPr>
                <w:rFonts w:ascii="Arial" w:cs="Arial" w:eastAsia="Arial" w:hAnsi="Arial"/>
                <w:sz w:val="18"/>
                <w:szCs w:val="18"/>
                <w:color w:val="auto"/>
              </w:rPr>
              <w:t>Balance at beginning of period attributable to shareholders</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(30,353)</w:t>
            </w:r>
          </w:p>
        </w:tc>
      </w:tr>
      <w:tr>
        <w:trPr>
          <w:trHeight w:val="256"/>
        </w:trPr>
        <w:tc>
          <w:tcPr>
            <w:tcW w:w="8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Balance at end of period attributable to shareholders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r>
      <w:tr>
        <w:trPr>
          <w:trHeight w:val="250"/>
        </w:trPr>
        <w:tc>
          <w:tcPr>
            <w:tcW w:w="812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81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Balance at beginning of period attributable to shareholders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21,189</w:t>
            </w:r>
          </w:p>
        </w:tc>
      </w:tr>
      <w:tr>
        <w:trPr>
          <w:trHeight w:val="250"/>
        </w:trPr>
        <w:tc>
          <w:tcPr>
            <w:tcW w:w="8120" w:type="dxa"/>
            <w:vAlign w:val="bottom"/>
            <w:gridSpan w:val="2"/>
          </w:tcPr>
          <w:p>
            <w:pPr>
              <w:ind w:left="80"/>
              <w:spacing w:after="0"/>
              <w:rPr>
                <w:sz w:val="20"/>
                <w:szCs w:val="20"/>
                <w:color w:val="auto"/>
              </w:rPr>
            </w:pPr>
            <w:r>
              <w:rPr>
                <w:rFonts w:ascii="Arial" w:cs="Arial" w:eastAsia="Arial" w:hAnsi="Arial"/>
                <w:sz w:val="18"/>
                <w:szCs w:val="18"/>
                <w:color w:val="auto"/>
              </w:rPr>
              <w:t>Amounts reclassified from accumulated other comprehensive income</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57"/>
        </w:trPr>
        <w:tc>
          <w:tcPr>
            <w:tcW w:w="81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 at end of period</w:t>
            </w: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24,019</w:t>
            </w:r>
          </w:p>
        </w:tc>
      </w:tr>
      <w:tr>
        <w:trPr>
          <w:trHeight w:val="250"/>
        </w:trPr>
        <w:tc>
          <w:tcPr>
            <w:tcW w:w="8120" w:type="dxa"/>
            <w:vAlign w:val="bottom"/>
            <w:gridSpan w:val="2"/>
          </w:tcPr>
          <w:p>
            <w:pPr>
              <w:ind w:left="80"/>
              <w:spacing w:after="0"/>
              <w:rPr>
                <w:sz w:val="20"/>
                <w:szCs w:val="20"/>
                <w:color w:val="auto"/>
              </w:rPr>
            </w:pPr>
            <w:r>
              <w:rPr>
                <w:rFonts w:ascii="Arial" w:cs="Arial" w:eastAsia="Arial" w:hAnsi="Arial"/>
                <w:sz w:val="18"/>
                <w:szCs w:val="18"/>
                <w:color w:val="auto"/>
              </w:rPr>
              <w:t>Less: Other comprehensive income attributable to noncontrolling interest</w:t>
            </w:r>
          </w:p>
        </w:tc>
        <w:tc>
          <w:tcPr>
            <w:tcW w:w="34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7"/>
        </w:trPr>
        <w:tc>
          <w:tcPr>
            <w:tcW w:w="812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Balance at end of period attributable to shareholders</w:t>
            </w: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30,353</w:t>
            </w: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24,012</w:t>
            </w:r>
          </w:p>
        </w:tc>
      </w:tr>
      <w:tr>
        <w:trPr>
          <w:trHeight w:val="243"/>
        </w:trPr>
        <w:tc>
          <w:tcPr>
            <w:tcW w:w="8120" w:type="dxa"/>
            <w:vAlign w:val="bottom"/>
            <w:gridSpan w:val="2"/>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(6,341)</w:t>
            </w:r>
          </w:p>
        </w:tc>
      </w:tr>
      <w:tr>
        <w:trPr>
          <w:trHeight w:val="27"/>
        </w:trPr>
        <w:tc>
          <w:tcPr>
            <w:tcW w:w="8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describes the principal factors affecting the results of our operations, financial condition, and changes in financial condition for the three months ended March 31, 2023. This discussion should be read in conjunction with the accompanying Condensed Consolidated Financial Statements, and the notes thereto set forth in Part I, Item 1 of this Quarterly Report on Form 10-Q and our Annual Report on Form 10-K filed with the U.S. Securities and Exchange Commission (“SEC”) on February 28, 2023, as amended by Amendment No. 1 thereto filed on Form 10-K/A with the SEC on March 29, 2023 (the “Annual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copper and coaxial broadband networks and data centers.</w:t>
      </w:r>
    </w:p>
    <w:p>
      <w:pPr>
        <w:spacing w:after="0" w:line="18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On April 24, 2015, we were separated and spun-off (the “Spin-Off”) from Windstream Holdings, Inc. (“Windstream Holdings” and together with Windstream Holdings II, LLC, its successor in interest, and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 In connection with Windstream’s emergence from bankruptcy, Uniti and Windstream bifurcated the Master Lease and entered into two structurally similar master leases (collectively, the “Windstream Leases”), which amended and restated the Master Lease in its entirety. The Windstream Leases consist of (a) a master lease (the “ILEC MLA”) that governs Uniti owned assets used for Windstream’s incumbent local exchange carrier (“ILEC”) operations and (b) a master lease (the “CLEC MLA”) that governs Uniti owned assets used for Windstream’s CLEC operations.</w:t>
      </w:r>
    </w:p>
    <w:p>
      <w:pPr>
        <w:spacing w:after="0" w:line="19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Uniti operates as a REIT for U.S. federal income tax purposes. As a REIT, the Company is generally not subject to U.S. federal income taxes on income generated by its REIT operations, which includes income derived from the Windstream Leases. We have elected to treat the subsidiaries through which we operate our fiber business, Uniti Fiber, certain aspects of our leasing business, Uniti Leasing, certain aspects of our former towers business, and Talk America Services, LLC, which operated our former Consumer CLEC Business, as taxable REIT subsidiaries (“TRSs”). TRSs enable us to engage in activities that result in income that does not constitute qualifying income for a REIT. Our TRSs are subject to U.S. federal, state and local corporate income taxes.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March 31, 2023, we are the sole general partner of the Operating Partnership and own approximately 99.96% of the partnership interests in the Operating Partnership. In addition, we have undertaken a series of transactions to permit us to hold certain assets through subsidiaries that are taxed as REITs, which may also facilitate future acquisition opportunities.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right="80" w:firstLine="8"/>
        <w:spacing w:after="0" w:line="252" w:lineRule="auto"/>
        <w:tabs>
          <w:tab w:leader="none" w:pos="215"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sale-leaseback transactions, whereby we acquire existing infrastructure assets from third parties, including communication service providers, and lease them back on a long-term triple-net basis; (ii) leasing of dark fiber and selling of lit services on our existing fiber network assets that we either constructed or acquired; (iii) whole company acquisitions, which may include the use of one or more TRSs that are permitted under the tax laws to acquire and operate non-REIT businesses and assets subject to certain limitations; (iv) capital investment financing, whereby we offer communication service providers a cost efficient method of raising funds for discrete capital investments to upgrade or expand their network; and (v) mergers and acquisitions financing, whereby we facilitate mergers and acquisition transactions as a capital partner, including through operating company-property company (“OpCo-PropCo”) structures.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two reportable business segments, in addition to our corporate operations, which include:</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u w:val="single" w:color="auto"/>
          <w:color w:val="auto"/>
        </w:rPr>
        <w:t>Leasing Segment</w:t>
      </w:r>
      <w:r>
        <w:rPr>
          <w:rFonts w:ascii="Arial" w:cs="Arial" w:eastAsia="Arial" w:hAnsi="Arial"/>
          <w:sz w:val="18"/>
          <w:szCs w:val="18"/>
          <w:color w:val="auto"/>
        </w:rPr>
        <w:t>: Represents the operations of our leasing business, Uniti Leasing, which is engaged in the acquisition and construction of mission-critical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assets and leasing them to anchor customers on either an exclusive or shared-tenant basis, in addition to the leasing of dark fiber on our existing fiber network assets that we either constructed or acquired. While the Leasing segment represents our REIT operations, certain aspects of the Leasing segment are also operated through TRSs.</w:t>
      </w:r>
    </w:p>
    <w:p>
      <w:pPr>
        <w:spacing w:after="0" w:line="18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and the impact, which may be recurring in nature, of transaction and integration related costs, costs associated with Windstream’s bankruptcy, costs associated with litigation claims made against us, costs associated with the implementation of our enterprise resource planning system, executive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severance costs, costs related to the settlement with Windstream,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For more information on Adjusted EBITDA, see “Non-GAAP Financial Measures.” Detailed information about our segments can be found in Note 12 to our accompanying Condensed Consolidated Financial Statements contained in Part I, Item 1 of this Quarterly Report on Form 10-Q.</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Business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Secured Notes Offering</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February 14, 2023, the Operating Partnership, Uniti Fiber Holdings Inc., Uniti Group Finance 2019 Inc. and CSL Capital, LLC (collectively the "Issuers") issued $2.6 billion aggregate principal amount of the 10.50% Secured Notes due February 2028 (the "February 2028 Secured Notes"). The Issuers used the net proceeds from the offering to fund the redemption in full of the Issuers’ outstanding 7.875% senior secured notes due 2025 (the "2025 Secured Notes"), to repay outstanding borrowings under the Revolving Credit Facility and to pay any related premiums, fees and expenses in connection with the foregoing. On February 14, 2023, the Issuers deposited the full redemption price for the 2025 Secured Notes with the trustee and satisfied and discharged their respective obligations with respect to the indenture governing the 2025 Secured Notes at such time. During the three months ended March 31, 2023, we recognized a $32.3 million loss on the extinguishment of the 2025 Secured Notes within interest expense, net on the Condensed Consolidated Statements of Income (Loss), which included $10.3 million of non-cash interest expense for the write off of the unamortized discount and deferred financing costs and $22.0 million of cash interest expense for the redemption premium.</w:t>
      </w:r>
    </w:p>
    <w:p>
      <w:pPr>
        <w:spacing w:after="0" w:line="208"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The February 2028 Secured Notes were issued at an issue price of 100% of their principal amount pursuant to an indenture, dated as of February 14, 2023 (the “February 2028 Secured Notes Indenture”), among the Issuers, the guarantors named therein (collectively, the “Guarantors”) and Deutsche Bank Trust Company Americas, as trustee and as collateral agent. The February 2028 Secured Notes mature on February 15, 2028 and bear interest at a rate of 10.50% per year. Interest on the February 2028 Secured Notes is payable on March 15 and September 15 of each year, beginning on September 15, 2023.</w:t>
      </w:r>
    </w:p>
    <w:p>
      <w:pPr>
        <w:spacing w:after="0" w:line="177" w:lineRule="exact"/>
        <w:rPr>
          <w:sz w:val="20"/>
          <w:szCs w:val="20"/>
          <w:color w:val="auto"/>
        </w:rPr>
      </w:pPr>
    </w:p>
    <w:p>
      <w:pPr>
        <w:jc w:val="both"/>
        <w:ind w:right="400"/>
        <w:spacing w:after="0" w:line="278" w:lineRule="auto"/>
        <w:rPr>
          <w:sz w:val="20"/>
          <w:szCs w:val="20"/>
          <w:color w:val="auto"/>
        </w:rPr>
      </w:pPr>
      <w:r>
        <w:rPr>
          <w:rFonts w:ascii="Arial" w:cs="Arial" w:eastAsia="Arial" w:hAnsi="Arial"/>
          <w:sz w:val="17"/>
          <w:szCs w:val="17"/>
          <w:color w:val="auto"/>
        </w:rPr>
        <w:t>The Issuers may redeem the February 2028 Secured Notes, in whole or in part, at any time prior to September 15, 2025 at a redemption price equal to 100% of the principal amount of the February 2028 Secured Notes redeemed plus accrued and unpaid interest thereon, if any, to, but not including, the redemption date, plus an applicable “make whole” premium described in the February 2028 Secured Notes Indenture.</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Thereafter, the Issuers may redeem the February 2028 Secured Notes in whole or in part, at the redemption prices set forth in the February 2028 Secured Notes Indenture. In addition, prior to February 15, 2025, the Issuers may, on one or more occasions, redeem up to 10% of the aggregate principal amount of the February 2028 Secured Notes in any twelve month period at a redemption price equal to 103% of the principal amount thereof plus accrued and unpaid interest thereon, if any, to, but not including, the applicable redemption date. Notwithstanding the foregoing, the Issuers may not use the proceeds of any offering of Additional Notes (as defined in the February 2028 Secured Notes Indenture) with a price to investors equal to or in excess of 103% to finance any such optional redemption. Further, at any time on or prior to September 15, 2025, up to 40% of the aggregate principal amount of the February 2028 Secured Notes may be redeemed with the net cash proceeds of certain equity offerings at a redemption price of 110.50% of the principal amount plus accrued and unpaid interest, if any, to, but not including, the applicable redemption date; provided that at least 60% of aggregate principal amount of the originally issued February 2028 Secured Notes remains outstanding. If certain changes of control of the Operating Partnership occur, holders of the February 2028 Secured Notes will have the right to require the Issuers to offer to repurchase their Notes at 101% of their principal amount plus accrued and unpaid interest, if any, to, but not including, the repurchase date.</w:t>
      </w:r>
    </w:p>
    <w:p>
      <w:pPr>
        <w:spacing w:after="0" w:line="204"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The February 2028 Secured Notes are fully and unconditionally guaranteed, jointly and severally, on a senior unsecured basis by the Company and on a senior secured basis by each of the Operating Partnership’s existing and future domestic restricted subsidiaries (other than the Issuers) that guarantees indebtedness under the Company’s senior secured credit facilities and existing secured notes (the “Subsidiary Guarantors”). In addition, the Issuers will use commercially reasonable efforts to obtain necessary regulatory approval to allow certain non-guarantor subsidiaries of the Company to guarantee the February 2028 Secured Notes, including by making filings to obtain such approval within 60 days of the issuance of the February 2028 Secured Notes. The guarantees are subject to release under specified circumstances,</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including certain circumstances in which such guarantees may be automatically released without the consent of the holders of the February 2028 Secured Notes.</w:t>
      </w:r>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February 2028 Secured Notes and the related guarantees are the Issuers’ and the Subsidiary Guarantors’ senior secured obligations and rank equal in right of payment with all of the Issuers’ and the Subsidiary Guarantors’ existing and future unsubordinated obligations; effectively senior to all unsecured indebtedness of the Issuers and the Subsidiary Guarantors, including the Company’s existing senior unsecured notes, to the extent of the value of the collateral securing the February 2028 Secured Notes; effectively equal with all of the Issuers’ and the Subsidiary Guarantors’ existing and future indebtedness that is secured by first-priority liens on the collateral (including indebtedness under the Company’s senior secured credit facilities and existing secured notes); senior in right of payment to any of the Issuers’ and Subsidiary Guarantors’ subordinated indebtedness; and structurally subordinated to all existing and future liabilities (including trade payables) of the Company’s subsidiaries (other than the Issuers) that do not guarantee the February 2028 Secured Notes.</w:t>
      </w:r>
    </w:p>
    <w:p>
      <w:pPr>
        <w:spacing w:after="0" w:line="21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The February 2028 Secured Notes Indenture contains customary high yield covenants limiting the ability of the Operating Partnership and its restricted subsidiaries to: incur or guarantee additional indebtedness; incur or guarantee secured indebtedness; pay dividends or distributions on, or redeem or repurchase, capital stock; make certain investments or other restricted payments; sell assets; transfer material intellectual property to unrestricted subsidiaries; enter into transactions with affiliates; merge or consolidate or sell all or substantially all of their assets; and create restrictions on the ability of the Issuers and their restricted subsidiaries to pay dividends or other amounts to the Issuers. These covenants are subject to a number of important and significant limitations, qualifications and exceptions. The Indenture also contains customary events of default.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Exchangeable Notes</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March 21, 2023, the Company repurchased approximately $15.0 million of the Exchangeable Notes for total cash consideration of $13.7 million. During the three months ended March 31, 2023, we recorded a $1.1 million gain on extinguishment of debt, net within interest expense on our Condensed Consolidated Statements of Income (Loss), which included $0.1 million of non-cash interest expense for the write off of the unamortized discount and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 to Credit Agreement</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On March 24, 2023, we entered into an amendment (the "Eighth Amendment") to our Credit Agreement (as defined below). Pursuant to the Eighth Amendment, upon receipt of routine regulatory approvals, commitments from existing lenders under the Credit Agreement's Revolving Credit Facility (as defined below) have been extended to September 24, 2027. The Eighth Amendment also transitioned the Revolving Credit Facility from LIBOR to Term SOFR, and in connection with that change, set the credit spread adjustment to ten basis points for all interest periods.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dollars and as a percentage of total revenues for the periods indicated: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Pr>
          <w:p>
            <w:pPr>
              <w:spacing w:after="0"/>
              <w:rPr>
                <w:sz w:val="16"/>
                <w:szCs w:val="16"/>
                <w:color w:val="auto"/>
              </w:rPr>
            </w:pPr>
          </w:p>
        </w:tc>
      </w:tr>
      <w:tr>
        <w:trPr>
          <w:trHeight w:val="26"/>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r>
      <w:tr>
        <w:trPr>
          <w:trHeight w:val="26"/>
        </w:trPr>
        <w:tc>
          <w:tcPr>
            <w:tcW w:w="512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512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60" w:type="dxa"/>
            <w:vAlign w:val="bottom"/>
          </w:tcPr>
          <w:p>
            <w:pPr>
              <w:spacing w:after="0"/>
              <w:rPr>
                <w:sz w:val="16"/>
                <w:szCs w:val="16"/>
                <w:color w:val="auto"/>
              </w:rPr>
            </w:pPr>
          </w:p>
        </w:tc>
        <w:tc>
          <w:tcPr>
            <w:tcW w:w="148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c>
          <w:tcPr>
            <w:tcW w:w="300" w:type="dxa"/>
            <w:vAlign w:val="bottom"/>
          </w:tcPr>
          <w:p>
            <w:pPr>
              <w:spacing w:after="0"/>
              <w:rPr>
                <w:sz w:val="16"/>
                <w:szCs w:val="16"/>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1280" w:type="dxa"/>
            <w:vAlign w:val="bottom"/>
          </w:tcPr>
          <w:p>
            <w:pPr>
              <w:ind w:left="100"/>
              <w:spacing w:after="0"/>
              <w:rPr>
                <w:sz w:val="20"/>
                <w:szCs w:val="20"/>
                <w:color w:val="auto"/>
              </w:rPr>
            </w:pPr>
            <w:r>
              <w:rPr>
                <w:rFonts w:ascii="Arial" w:cs="Arial" w:eastAsia="Arial" w:hAnsi="Arial"/>
                <w:sz w:val="14"/>
                <w:szCs w:val="14"/>
                <w:b w:val="1"/>
                <w:bCs w:val="1"/>
                <w:color w:val="auto"/>
              </w:rPr>
              <w:t>% of Revenues</w:t>
            </w:r>
          </w:p>
        </w:tc>
      </w:tr>
      <w:tr>
        <w:trPr>
          <w:trHeight w:val="26"/>
        </w:trPr>
        <w:tc>
          <w:tcPr>
            <w:tcW w:w="5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210,808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72.7%</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204,641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73.6%</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0"/>
              </w:rPr>
              <w:t>27.3%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26.4%</w:t>
            </w:r>
          </w:p>
        </w:tc>
      </w:tr>
      <w:tr>
        <w:trPr>
          <w:trHeight w:val="223"/>
        </w:trPr>
        <w:tc>
          <w:tcPr>
            <w:tcW w:w="5120" w:type="dxa"/>
            <w:vAlign w:val="bottom"/>
            <w:gridSpan w:val="2"/>
          </w:tcPr>
          <w:p>
            <w:pPr>
              <w:ind w:left="520"/>
              <w:spacing w:after="0"/>
              <w:rPr>
                <w:sz w:val="20"/>
                <w:szCs w:val="20"/>
                <w:color w:val="auto"/>
              </w:rPr>
            </w:pPr>
            <w:r>
              <w:rPr>
                <w:rFonts w:ascii="Arial" w:cs="Arial" w:eastAsia="Arial" w:hAnsi="Arial"/>
                <w:sz w:val="18"/>
                <w:szCs w:val="18"/>
                <w:color w:val="auto"/>
              </w:rPr>
              <w:t>Total revenues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289,822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112"/>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278,034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88"/>
              </w:rPr>
              <w:t>100.0%</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148,863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0"/>
              </w:rPr>
              <w:t>51.4%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96,172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34.5%</w:t>
            </w: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26.5%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25.7%</w:t>
            </w:r>
          </w:p>
        </w:tc>
      </w:tr>
      <w:tr>
        <w:trPr>
          <w:trHeight w:val="229"/>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General and administrative expense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9.8%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8.6%</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5"/>
              </w:rPr>
              <w:t>Operating expense (exclusive of depreciation and amortization)</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0"/>
              </w:rPr>
              <w:t>12.1%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12.6%</w:t>
            </w: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Transaction related and other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2"/>
              </w:rPr>
              <w:t>1.0%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2"/>
              </w:rPr>
              <w:t>0.6%</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2"/>
              </w:rPr>
              <w:t>7.0%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r>
      <w:tr>
        <w:trPr>
          <w:trHeight w:val="223"/>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312,106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91"/>
              </w:rPr>
              <w:t>107.7%</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0"/>
              </w:rPr>
              <w:t>81.9%</w:t>
            </w:r>
          </w:p>
        </w:tc>
      </w:tr>
      <w:tr>
        <w:trPr>
          <w:trHeight w:val="155"/>
        </w:trPr>
        <w:tc>
          <w:tcPr>
            <w:tcW w:w="512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3"/>
              </w:rPr>
              <w:t>(Loss) income before income taxes and equity in earnings from</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243"/>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unconsolidated entities</w:t>
            </w:r>
          </w:p>
        </w:tc>
        <w:tc>
          <w:tcPr>
            <w:tcW w:w="2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(7.6)%</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0"/>
              </w:rPr>
              <w:t>18.1%</w:t>
            </w:r>
          </w:p>
        </w:tc>
      </w:tr>
      <w:tr>
        <w:trPr>
          <w:trHeight w:val="230"/>
        </w:trPr>
        <w:tc>
          <w:tcPr>
            <w:tcW w:w="5120" w:type="dxa"/>
            <w:vAlign w:val="bottom"/>
            <w:gridSpan w:val="2"/>
          </w:tcPr>
          <w:p>
            <w:pPr>
              <w:ind w:left="260"/>
              <w:spacing w:after="0"/>
              <w:rPr>
                <w:sz w:val="20"/>
                <w:szCs w:val="20"/>
                <w:color w:val="auto"/>
              </w:rPr>
            </w:pPr>
            <w:r>
              <w:rPr>
                <w:rFonts w:ascii="Arial" w:cs="Arial" w:eastAsia="Arial" w:hAnsi="Arial"/>
                <w:sz w:val="18"/>
                <w:szCs w:val="18"/>
                <w:color w:val="auto"/>
              </w:rPr>
              <w:t>Income tax benefit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4"/>
              </w:rPr>
              <w:t>(0.8%)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4"/>
              </w:rPr>
              <w:t>(0.7%)</w:t>
            </w:r>
          </w:p>
        </w:tc>
      </w:tr>
      <w:tr>
        <w:trPr>
          <w:trHeight w:val="229"/>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Equity in earnings from unconsolidated entities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4"/>
              </w:rPr>
              <w:t>(0.2%)</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4"/>
              </w:rPr>
              <w:t>(6.6%)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19.0%</w:t>
            </w:r>
          </w:p>
        </w:tc>
      </w:tr>
      <w:tr>
        <w:trPr>
          <w:trHeight w:val="229"/>
        </w:trPr>
        <w:tc>
          <w:tcPr>
            <w:tcW w:w="5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(0.0)%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2"/>
              </w:rPr>
              <w:t>0.1%</w:t>
            </w:r>
          </w:p>
        </w:tc>
      </w:tr>
      <w:tr>
        <w:trPr>
          <w:trHeight w:val="223"/>
        </w:trPr>
        <w:tc>
          <w:tcPr>
            <w:tcW w:w="512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(loss) income attributable to shareholders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2"/>
              <w:spacing w:after="0"/>
              <w:rPr>
                <w:sz w:val="20"/>
                <w:szCs w:val="20"/>
                <w:color w:val="auto"/>
              </w:rPr>
            </w:pPr>
            <w:r>
              <w:rPr>
                <w:rFonts w:ascii="Arial" w:cs="Arial" w:eastAsia="Arial" w:hAnsi="Arial"/>
                <w:sz w:val="18"/>
                <w:szCs w:val="18"/>
                <w:color w:val="auto"/>
                <w:w w:val="94"/>
              </w:rPr>
              <w:t>(6.6)%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right="91"/>
              <w:spacing w:after="0"/>
              <w:rPr>
                <w:sz w:val="20"/>
                <w:szCs w:val="20"/>
                <w:color w:val="auto"/>
              </w:rPr>
            </w:pPr>
            <w:r>
              <w:rPr>
                <w:rFonts w:ascii="Arial" w:cs="Arial" w:eastAsia="Arial" w:hAnsi="Arial"/>
                <w:sz w:val="18"/>
                <w:szCs w:val="18"/>
                <w:color w:val="auto"/>
                <w:w w:val="90"/>
              </w:rPr>
              <w:t>18.9%</w:t>
            </w:r>
          </w:p>
        </w:tc>
      </w:tr>
      <w:tr>
        <w:trPr>
          <w:trHeight w:val="230"/>
        </w:trPr>
        <w:tc>
          <w:tcPr>
            <w:tcW w:w="51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2"/>
              <w:spacing w:after="0"/>
              <w:rPr>
                <w:sz w:val="20"/>
                <w:szCs w:val="20"/>
                <w:color w:val="auto"/>
              </w:rPr>
            </w:pPr>
            <w:r>
              <w:rPr>
                <w:rFonts w:ascii="Arial" w:cs="Arial" w:eastAsia="Arial" w:hAnsi="Arial"/>
                <w:sz w:val="18"/>
                <w:szCs w:val="18"/>
                <w:color w:val="auto"/>
                <w:w w:val="94"/>
              </w:rPr>
              <w:t>(0.1%)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1"/>
              <w:spacing w:after="0"/>
              <w:rPr>
                <w:sz w:val="20"/>
                <w:szCs w:val="20"/>
                <w:color w:val="auto"/>
              </w:rPr>
            </w:pPr>
            <w:r>
              <w:rPr>
                <w:rFonts w:ascii="Arial" w:cs="Arial" w:eastAsia="Arial" w:hAnsi="Arial"/>
                <w:sz w:val="18"/>
                <w:szCs w:val="18"/>
                <w:color w:val="auto"/>
                <w:w w:val="94"/>
              </w:rPr>
              <w:t>(0.1%)</w:t>
            </w:r>
          </w:p>
        </w:tc>
      </w:tr>
      <w:tr>
        <w:trPr>
          <w:trHeight w:val="230"/>
        </w:trPr>
        <w:tc>
          <w:tcPr>
            <w:tcW w:w="512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8"/>
                <w:szCs w:val="18"/>
                <w:color w:val="auto"/>
                <w:w w:val="94"/>
              </w:rPr>
              <w:t>(0.0%)</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color w:val="auto"/>
                <w:w w:val="94"/>
              </w:rPr>
              <w:t>(0.0%)</w:t>
            </w:r>
          </w:p>
        </w:tc>
      </w:tr>
      <w:tr>
        <w:trPr>
          <w:trHeight w:val="248"/>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2"/>
              <w:spacing w:after="0"/>
              <w:rPr>
                <w:sz w:val="20"/>
                <w:szCs w:val="20"/>
                <w:color w:val="auto"/>
              </w:rPr>
            </w:pPr>
            <w:r>
              <w:rPr>
                <w:rFonts w:ascii="Arial" w:cs="Arial" w:eastAsia="Arial" w:hAnsi="Arial"/>
                <w:sz w:val="18"/>
                <w:szCs w:val="18"/>
                <w:color w:val="auto"/>
                <w:w w:val="94"/>
              </w:rPr>
              <w:t>(6.7)%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91"/>
              <w:spacing w:after="0"/>
              <w:rPr>
                <w:sz w:val="20"/>
                <w:szCs w:val="20"/>
                <w:color w:val="auto"/>
              </w:rPr>
            </w:pPr>
            <w:r>
              <w:rPr>
                <w:rFonts w:ascii="Arial" w:cs="Arial" w:eastAsia="Arial" w:hAnsi="Arial"/>
                <w:sz w:val="18"/>
                <w:szCs w:val="18"/>
                <w:color w:val="auto"/>
                <w:w w:val="90"/>
              </w:rPr>
              <w:t>18.8%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79"/>
        </w:trPr>
        <w:tc>
          <w:tcPr>
            <w:tcW w:w="5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77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set forth revenues, Adjusted EBITDA and net income of our reportable segments for the three months ended March 31,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20" w:type="dxa"/>
            <w:vAlign w:val="bottom"/>
            <w:gridSpan w:val="5"/>
          </w:tcPr>
          <w:p>
            <w:pPr>
              <w:ind w:left="260"/>
              <w:spacing w:after="0"/>
              <w:rPr>
                <w:sz w:val="20"/>
                <w:szCs w:val="20"/>
                <w:color w:val="auto"/>
              </w:rPr>
            </w:pPr>
            <w:r>
              <w:rPr>
                <w:rFonts w:ascii="Arial" w:cs="Arial" w:eastAsia="Arial" w:hAnsi="Arial"/>
                <w:sz w:val="14"/>
                <w:szCs w:val="14"/>
                <w:b w:val="1"/>
                <w:bCs w:val="1"/>
                <w:color w:val="auto"/>
              </w:rPr>
              <w:t>Three Months Ended March 31, 2023</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6"/>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210,808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289,822</w:t>
            </w:r>
          </w:p>
        </w:tc>
        <w:tc>
          <w:tcPr>
            <w:tcW w:w="0" w:type="dxa"/>
            <w:vAlign w:val="bottom"/>
          </w:tcPr>
          <w:p>
            <w:pPr>
              <w:spacing w:after="0"/>
              <w:rPr>
                <w:sz w:val="1"/>
                <w:szCs w:val="1"/>
                <w:color w:val="auto"/>
              </w:rPr>
            </w:pPr>
          </w:p>
        </w:tc>
      </w:tr>
      <w:tr>
        <w:trPr>
          <w:trHeight w:val="270"/>
        </w:trPr>
        <w:tc>
          <w:tcPr>
            <w:tcW w:w="4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204,966</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33,674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(7,439)</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231,201</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148,863</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44,173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32,586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76,775</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20,513</w:t>
            </w:r>
          </w:p>
        </w:tc>
        <w:tc>
          <w:tcPr>
            <w:tcW w:w="0" w:type="dxa"/>
            <w:vAlign w:val="bottom"/>
          </w:tcPr>
          <w:p>
            <w:pPr>
              <w:spacing w:after="0"/>
              <w:rPr>
                <w:sz w:val="1"/>
                <w:szCs w:val="1"/>
                <w:color w:val="auto"/>
              </w:rPr>
            </w:pPr>
          </w:p>
        </w:tc>
      </w:tr>
      <w:tr>
        <w:trPr>
          <w:trHeight w:val="256"/>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0" w:type="dxa"/>
            <w:vAlign w:val="bottom"/>
          </w:tcPr>
          <w:p>
            <w:pPr>
              <w:spacing w:after="0"/>
              <w:rPr>
                <w:sz w:val="1"/>
                <w:szCs w:val="1"/>
                <w:color w:val="auto"/>
              </w:rPr>
            </w:pPr>
          </w:p>
        </w:tc>
      </w:tr>
      <w:tr>
        <w:trPr>
          <w:trHeight w:val="257"/>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(19,211)</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Three Months Ended March 31, 2022</w:t>
            </w: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20" w:type="dxa"/>
            <w:vAlign w:val="bottom"/>
            <w:gridSpan w:val="5"/>
            <w:vMerge w:val="continue"/>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w w:val="94"/>
              </w:rPr>
              <w:t>Subtotal of Reportable</w:t>
            </w:r>
          </w:p>
        </w:tc>
        <w:tc>
          <w:tcPr>
            <w:tcW w:w="0" w:type="dxa"/>
            <w:vAlign w:val="bottom"/>
          </w:tcPr>
          <w:p>
            <w:pPr>
              <w:spacing w:after="0"/>
              <w:rPr>
                <w:sz w:val="1"/>
                <w:szCs w:val="1"/>
                <w:color w:val="auto"/>
              </w:rPr>
            </w:pPr>
          </w:p>
        </w:tc>
      </w:tr>
      <w:tr>
        <w:trPr>
          <w:trHeight w:val="186"/>
        </w:trPr>
        <w:tc>
          <w:tcPr>
            <w:tcW w:w="506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4"/>
                <w:szCs w:val="14"/>
                <w:b w:val="1"/>
                <w:bCs w:val="1"/>
                <w:color w:val="auto"/>
              </w:rPr>
              <w:t>Corporate</w:t>
            </w:r>
          </w:p>
        </w:tc>
        <w:tc>
          <w:tcPr>
            <w:tcW w:w="280" w:type="dxa"/>
            <w:vAlign w:val="bottom"/>
          </w:tcPr>
          <w:p>
            <w:pPr>
              <w:spacing w:after="0"/>
              <w:rPr>
                <w:sz w:val="16"/>
                <w:szCs w:val="16"/>
                <w:color w:val="auto"/>
              </w:rPr>
            </w:pPr>
          </w:p>
        </w:tc>
        <w:tc>
          <w:tcPr>
            <w:tcW w:w="1200" w:type="dxa"/>
            <w:vAlign w:val="bottom"/>
          </w:tcPr>
          <w:p>
            <w:pPr>
              <w:jc w:val="right"/>
              <w:ind w:right="352"/>
              <w:spacing w:after="0"/>
              <w:rPr>
                <w:sz w:val="20"/>
                <w:szCs w:val="20"/>
                <w:color w:val="auto"/>
              </w:rPr>
            </w:pPr>
            <w:r>
              <w:rPr>
                <w:rFonts w:ascii="Arial" w:cs="Arial" w:eastAsia="Arial" w:hAnsi="Arial"/>
                <w:sz w:val="14"/>
                <w:szCs w:val="14"/>
                <w:b w:val="1"/>
                <w:bCs w:val="1"/>
                <w:color w:val="auto"/>
              </w:rPr>
              <w:t>Segments</w:t>
            </w:r>
          </w:p>
        </w:tc>
        <w:tc>
          <w:tcPr>
            <w:tcW w:w="0" w:type="dxa"/>
            <w:vAlign w:val="bottom"/>
          </w:tcPr>
          <w:p>
            <w:pPr>
              <w:spacing w:after="0"/>
              <w:rPr>
                <w:sz w:val="1"/>
                <w:szCs w:val="1"/>
                <w:color w:val="auto"/>
              </w:rPr>
            </w:pPr>
          </w:p>
        </w:tc>
      </w:tr>
      <w:tr>
        <w:trPr>
          <w:trHeight w:val="25"/>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204,641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278,034</w:t>
            </w:r>
          </w:p>
        </w:tc>
        <w:tc>
          <w:tcPr>
            <w:tcW w:w="0" w:type="dxa"/>
            <w:vAlign w:val="bottom"/>
          </w:tcPr>
          <w:p>
            <w:pPr>
              <w:spacing w:after="0"/>
              <w:rPr>
                <w:sz w:val="1"/>
                <w:szCs w:val="1"/>
                <w:color w:val="auto"/>
              </w:rPr>
            </w:pPr>
          </w:p>
        </w:tc>
      </w:tr>
      <w:tr>
        <w:trPr>
          <w:trHeight w:val="230"/>
        </w:trPr>
        <w:tc>
          <w:tcPr>
            <w:tcW w:w="506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198,973</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31,459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(5,643)</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224,789</w:t>
            </w:r>
          </w:p>
        </w:tc>
        <w:tc>
          <w:tcPr>
            <w:tcW w:w="0" w:type="dxa"/>
            <w:vAlign w:val="bottom"/>
          </w:tcPr>
          <w:p>
            <w:pPr>
              <w:spacing w:after="0"/>
              <w:rPr>
                <w:sz w:val="1"/>
                <w:szCs w:val="1"/>
                <w:color w:val="auto"/>
              </w:rPr>
            </w:pPr>
          </w:p>
        </w:tc>
      </w:tr>
      <w:tr>
        <w:trPr>
          <w:trHeight w:val="250"/>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Less:</w:t>
            </w: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96,172</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42,102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29,319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ind w:left="9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71,457</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56"/>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(2,071)</w:t>
            </w:r>
          </w:p>
        </w:tc>
        <w:tc>
          <w:tcPr>
            <w:tcW w:w="0" w:type="dxa"/>
            <w:vAlign w:val="bottom"/>
          </w:tcPr>
          <w:p>
            <w:pPr>
              <w:spacing w:after="0"/>
              <w:rPr>
                <w:sz w:val="1"/>
                <w:szCs w:val="1"/>
                <w:color w:val="auto"/>
              </w:rPr>
            </w:pPr>
          </w:p>
        </w:tc>
      </w:tr>
      <w:tr>
        <w:trPr>
          <w:trHeight w:val="257"/>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Adjustments for equity in earnings from unconsolidated entities</w:t>
            </w:r>
          </w:p>
        </w:tc>
        <w:tc>
          <w:tcPr>
            <w:tcW w:w="2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vMerge w:val="restart"/>
          </w:tcPr>
          <w:p>
            <w:pPr>
              <w:ind w:left="20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9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Operating Metrics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5"/>
              </w:rPr>
              <w:t>Operating Metrics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vMerge w:val="restart"/>
          </w:tcPr>
          <w:p>
            <w:pPr>
              <w:jc w:val="center"/>
              <w:ind w:right="5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40" w:type="dxa"/>
            <w:vAlign w:val="bottom"/>
          </w:tcPr>
          <w:p>
            <w:pPr>
              <w:jc w:val="center"/>
              <w:ind w:right="57"/>
              <w:spacing w:after="0" w:line="133" w:lineRule="exact"/>
              <w:rPr>
                <w:sz w:val="20"/>
                <w:szCs w:val="20"/>
                <w:color w:val="auto"/>
              </w:rPr>
            </w:pPr>
            <w:r>
              <w:rPr>
                <w:rFonts w:ascii="Arial" w:cs="Arial" w:eastAsia="Arial" w:hAnsi="Arial"/>
                <w:sz w:val="14"/>
                <w:szCs w:val="14"/>
                <w:b w:val="1"/>
                <w:bCs w:val="1"/>
                <w:color w:val="auto"/>
                <w:w w:val="93"/>
              </w:rPr>
              <w:t>% Increase /</w:t>
            </w:r>
          </w:p>
        </w:tc>
        <w:tc>
          <w:tcPr>
            <w:tcW w:w="0" w:type="dxa"/>
            <w:vAlign w:val="bottom"/>
          </w:tcPr>
          <w:p>
            <w:pPr>
              <w:spacing w:after="0"/>
              <w:rPr>
                <w:sz w:val="1"/>
                <w:szCs w:val="1"/>
                <w:color w:val="auto"/>
              </w:rPr>
            </w:pPr>
          </w:p>
        </w:tc>
      </w:tr>
      <w:tr>
        <w:trPr>
          <w:trHeight w:val="192"/>
        </w:trPr>
        <w:tc>
          <w:tcPr>
            <w:tcW w:w="49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metrics:</w:t>
            </w: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Fiber strand miles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5,380,000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7"/>
              </w:rPr>
              <w:t>9.6%</w:t>
            </w:r>
          </w:p>
        </w:tc>
        <w:tc>
          <w:tcPr>
            <w:tcW w:w="0" w:type="dxa"/>
            <w:vAlign w:val="bottom"/>
          </w:tcPr>
          <w:p>
            <w:pPr>
              <w:spacing w:after="0"/>
              <w:rPr>
                <w:sz w:val="1"/>
                <w:szCs w:val="1"/>
                <w:color w:val="auto"/>
              </w:rPr>
            </w:pPr>
          </w:p>
        </w:tc>
      </w:tr>
      <w:tr>
        <w:trPr>
          <w:trHeight w:val="230"/>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Copper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0.0%</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600"/>
              <w:spacing w:after="0"/>
              <w:rPr>
                <w:sz w:val="20"/>
                <w:szCs w:val="20"/>
                <w:color w:val="auto"/>
              </w:rPr>
            </w:pPr>
            <w:r>
              <w:rPr>
                <w:rFonts w:ascii="Arial" w:cs="Arial" w:eastAsia="Arial" w:hAnsi="Arial"/>
                <w:sz w:val="18"/>
                <w:szCs w:val="18"/>
                <w:color w:val="auto"/>
              </w:rPr>
              <w:t>Fiber strand miles</w:t>
            </w: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2,880,000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2,760,000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4.3%</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Customer connections</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7"/>
              <w:spacing w:after="0"/>
              <w:rPr>
                <w:sz w:val="20"/>
                <w:szCs w:val="20"/>
                <w:color w:val="auto"/>
              </w:rPr>
            </w:pPr>
            <w:r>
              <w:rPr>
                <w:rFonts w:ascii="Arial" w:cs="Arial" w:eastAsia="Arial" w:hAnsi="Arial"/>
                <w:sz w:val="18"/>
                <w:szCs w:val="18"/>
                <w:color w:val="auto"/>
                <w:w w:val="87"/>
              </w:rPr>
              <w:t>4.0%</w:t>
            </w:r>
          </w:p>
        </w:tc>
        <w:tc>
          <w:tcPr>
            <w:tcW w:w="0" w:type="dxa"/>
            <w:vAlign w:val="bottom"/>
          </w:tcPr>
          <w:p>
            <w:pPr>
              <w:spacing w:after="0"/>
              <w:rPr>
                <w:sz w:val="1"/>
                <w:szCs w:val="1"/>
                <w:color w:val="auto"/>
              </w:rPr>
            </w:pPr>
          </w:p>
        </w:tc>
      </w:tr>
      <w:tr>
        <w:trPr>
          <w:trHeight w:val="527"/>
        </w:trPr>
        <w:tc>
          <w:tcPr>
            <w:tcW w:w="50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4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210,808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37"/>
              <w:spacing w:after="0"/>
              <w:rPr>
                <w:sz w:val="20"/>
                <w:szCs w:val="20"/>
                <w:color w:val="auto"/>
              </w:rPr>
            </w:pPr>
            <w:r>
              <w:rPr>
                <w:rFonts w:ascii="Arial" w:cs="Arial" w:eastAsia="Arial" w:hAnsi="Arial"/>
                <w:sz w:val="18"/>
                <w:szCs w:val="18"/>
                <w:color w:val="auto"/>
                <w:w w:val="90"/>
              </w:rPr>
              <w:t>72.7%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204,641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77"/>
              <w:spacing w:after="0"/>
              <w:rPr>
                <w:sz w:val="20"/>
                <w:szCs w:val="20"/>
                <w:color w:val="auto"/>
              </w:rPr>
            </w:pPr>
            <w:r>
              <w:rPr>
                <w:rFonts w:ascii="Arial" w:cs="Arial" w:eastAsia="Arial" w:hAnsi="Arial"/>
                <w:sz w:val="18"/>
                <w:szCs w:val="18"/>
                <w:color w:val="auto"/>
                <w:w w:val="90"/>
              </w:rPr>
              <w:t>73.6%</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37"/>
              <w:spacing w:after="0"/>
              <w:rPr>
                <w:sz w:val="20"/>
                <w:szCs w:val="20"/>
                <w:color w:val="auto"/>
              </w:rPr>
            </w:pPr>
            <w:r>
              <w:rPr>
                <w:rFonts w:ascii="Arial" w:cs="Arial" w:eastAsia="Arial" w:hAnsi="Arial"/>
                <w:sz w:val="18"/>
                <w:szCs w:val="18"/>
                <w:color w:val="auto"/>
                <w:w w:val="90"/>
              </w:rPr>
              <w:t>27.3%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26.4%</w:t>
            </w:r>
          </w:p>
        </w:tc>
        <w:tc>
          <w:tcPr>
            <w:tcW w:w="0" w:type="dxa"/>
            <w:vAlign w:val="bottom"/>
          </w:tcPr>
          <w:p>
            <w:pPr>
              <w:spacing w:after="0"/>
              <w:rPr>
                <w:sz w:val="1"/>
                <w:szCs w:val="1"/>
                <w:color w:val="auto"/>
              </w:rPr>
            </w:pPr>
          </w:p>
        </w:tc>
      </w:tr>
      <w:tr>
        <w:trPr>
          <w:trHeight w:val="223"/>
        </w:trPr>
        <w:tc>
          <w:tcPr>
            <w:tcW w:w="5040" w:type="dxa"/>
            <w:vAlign w:val="bottom"/>
            <w:gridSpan w:val="2"/>
          </w:tcPr>
          <w:p>
            <w:pPr>
              <w:ind w:left="36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289,822</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37"/>
              <w:spacing w:after="0"/>
              <w:rPr>
                <w:sz w:val="20"/>
                <w:szCs w:val="20"/>
                <w:color w:val="auto"/>
              </w:rPr>
            </w:pPr>
            <w:r>
              <w:rPr>
                <w:rFonts w:ascii="Arial" w:cs="Arial" w:eastAsia="Arial" w:hAnsi="Arial"/>
                <w:sz w:val="18"/>
                <w:szCs w:val="18"/>
                <w:color w:val="auto"/>
                <w:w w:val="88"/>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278,034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i w:val="1"/>
          <w:iCs w:val="1"/>
          <w:u w:val="single" w:color="auto"/>
          <w:color w:val="auto"/>
        </w:rPr>
        <w:t>Leasing</w:t>
      </w:r>
      <w:r>
        <w:rPr>
          <w:rFonts w:ascii="Arial" w:cs="Arial" w:eastAsia="Arial" w:hAnsi="Arial"/>
          <w:sz w:val="16"/>
          <w:szCs w:val="16"/>
          <w:i w:val="1"/>
          <w:iCs w:val="1"/>
          <w:color w:val="auto"/>
        </w:rPr>
        <w:t xml:space="preserve"> </w:t>
      </w:r>
      <w:r>
        <w:rPr>
          <w:rFonts w:ascii="Arial" w:cs="Arial" w:eastAsia="Arial" w:hAnsi="Arial"/>
          <w:sz w:val="16"/>
          <w:szCs w:val="16"/>
          <w:color w:val="auto"/>
        </w:rPr>
        <w:t>– Leasing revenues are primarily attributable to rental revenue from leasing our Distribution Systems to Windstream pursuant to the Windstream</w:t>
      </w:r>
      <w:r>
        <w:rPr>
          <w:rFonts w:ascii="Arial" w:cs="Arial" w:eastAsia="Arial" w:hAnsi="Arial"/>
          <w:sz w:val="16"/>
          <w:szCs w:val="16"/>
          <w:i w:val="1"/>
          <w:iCs w:val="1"/>
          <w:color w:val="auto"/>
        </w:rPr>
        <w:t xml:space="preserve"> </w:t>
      </w:r>
      <w:r>
        <w:rPr>
          <w:rFonts w:ascii="Arial" w:cs="Arial" w:eastAsia="Arial" w:hAnsi="Arial"/>
          <w:sz w:val="16"/>
          <w:szCs w:val="16"/>
          <w:color w:val="auto"/>
        </w:rPr>
        <w:t>Leases (and historically, the Master Lease). Under the Windstream Leases, Windstream is responsible for the costs related to operating the Distribution Systems, including property taxes, insurance, and maintenance and repair costs. As a result, we do not record an obligation related to the payment of property taxes, as Windstream makes direct payments to the taxing authorities. The initial term of the Windstream Leases expires on April 30, 2030. Annual rent under the Windstream Leases for the full year 2023 is $672.2 million and is subject to annual escalation at a rate of 0.5%. For a description of the Windstream Leases, see “Liquidity and Capital Resources— Windstream Leases” below.</w:t>
      </w:r>
    </w:p>
    <w:p>
      <w:pPr>
        <w:spacing w:after="0" w:line="16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rent for the first year of each renewal term will be an amount agreed to by us and Windstream. While the agreement requires that the renewal rent be “Fair Market Rent,” if we are unable to agree, the renewal Fair Market Rent will be determined by an independent appraisal process. Commencing with the second year of each renewal term, the renewal rent will increase at an escalation rate of 0.5%.</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Pursuant to the Windstream Leases, Windstream (or any successor tenant under a Windstream Lease) has the right to cause Uniti to reimburse up to an aggregate $1.75 billion for certain growth capital improvements in long-term value accretive fiber and related assets made by Windstream (or the applicable tenant under the Windstream Lease) to certain ILEC and CLEC properties (the “Growth Capital Improvements” or “GCIs”). Uniti’s total annual reimbursement commitments to Windstream for the Growth Capital Improvements is discussed below in “Liquidity and Capital Resources—Windstream Leases.”</w:t>
      </w:r>
    </w:p>
    <w:p>
      <w:pPr>
        <w:spacing w:after="0" w:line="188"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8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Windstream Leases provide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 TCIs exclude Growth Capital Improvements as and when reimbursed by Uniti.</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6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114"/>
              <w:spacing w:after="0" w:line="133" w:lineRule="exact"/>
              <w:rPr>
                <w:sz w:val="20"/>
                <w:szCs w:val="20"/>
                <w:color w:val="auto"/>
              </w:rPr>
            </w:pPr>
            <w:r>
              <w:rPr>
                <w:rFonts w:ascii="Arial" w:cs="Arial" w:eastAsia="Arial" w:hAnsi="Arial"/>
                <w:sz w:val="14"/>
                <w:szCs w:val="14"/>
                <w:b w:val="1"/>
                <w:bCs w:val="1"/>
                <w:color w:val="auto"/>
                <w:w w:val="95"/>
              </w:rPr>
              <w:t>% of Segment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2"/>
        </w:trPr>
        <w:tc>
          <w:tcPr>
            <w:tcW w:w="50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Revenues</w:t>
            </w:r>
          </w:p>
        </w:tc>
        <w:tc>
          <w:tcPr>
            <w:tcW w:w="3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80" w:type="dxa"/>
            <w:vAlign w:val="bottom"/>
          </w:tcPr>
          <w:p>
            <w:pPr>
              <w:jc w:val="center"/>
              <w:ind w:right="93"/>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Leasing revenues: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Windstream Leases:</w:t>
            </w: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Cash rent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79.5%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166,667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81.5%</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GCI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cash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173,929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82.5%</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168,596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82.4%</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Non-cash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gridSpan w:val="2"/>
          </w:tcPr>
          <w:p>
            <w:pPr>
              <w:ind w:left="600"/>
              <w:spacing w:after="0"/>
              <w:rPr>
                <w:sz w:val="20"/>
                <w:szCs w:val="20"/>
                <w:color w:val="auto"/>
              </w:rPr>
            </w:pPr>
            <w:r>
              <w:rPr>
                <w:rFonts w:ascii="Arial" w:cs="Arial" w:eastAsia="Arial" w:hAnsi="Arial"/>
                <w:sz w:val="18"/>
                <w:szCs w:val="18"/>
                <w:color w:val="auto"/>
              </w:rPr>
              <w:t>TCI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87"/>
              </w:rPr>
              <w:t>5.4%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10,407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2"/>
              </w:rPr>
              <w:t>5.1%</w:t>
            </w:r>
          </w:p>
        </w:tc>
        <w:tc>
          <w:tcPr>
            <w:tcW w:w="0" w:type="dxa"/>
            <w:vAlign w:val="bottom"/>
          </w:tcPr>
          <w:p>
            <w:pPr>
              <w:spacing w:after="0"/>
              <w:rPr>
                <w:sz w:val="1"/>
                <w:szCs w:val="1"/>
                <w:color w:val="auto"/>
              </w:rPr>
            </w:pPr>
          </w:p>
        </w:tc>
      </w:tr>
      <w:tr>
        <w:trPr>
          <w:trHeight w:val="229"/>
        </w:trPr>
        <w:tc>
          <w:tcPr>
            <w:tcW w:w="5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GCI revenue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114"/>
              <w:spacing w:after="0"/>
              <w:rPr>
                <w:sz w:val="20"/>
                <w:szCs w:val="20"/>
                <w:color w:val="auto"/>
              </w:rPr>
            </w:pPr>
            <w:r>
              <w:rPr>
                <w:rFonts w:ascii="Arial" w:cs="Arial" w:eastAsia="Arial" w:hAnsi="Arial"/>
                <w:sz w:val="18"/>
                <w:szCs w:val="18"/>
                <w:color w:val="auto"/>
                <w:w w:val="87"/>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3"/>
              <w:spacing w:after="0"/>
              <w:rPr>
                <w:sz w:val="20"/>
                <w:szCs w:val="20"/>
                <w:color w:val="auto"/>
              </w:rPr>
            </w:pPr>
            <w:r>
              <w:rPr>
                <w:rFonts w:ascii="Arial" w:cs="Arial" w:eastAsia="Arial" w:hAnsi="Arial"/>
                <w:sz w:val="18"/>
                <w:szCs w:val="18"/>
                <w:color w:val="auto"/>
                <w:w w:val="92"/>
              </w:rPr>
              <w:t>1.9%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gridSpan w:val="2"/>
          </w:tcPr>
          <w:p>
            <w:pPr>
              <w:ind w:left="600"/>
              <w:spacing w:after="0"/>
              <w:rPr>
                <w:sz w:val="20"/>
                <w:szCs w:val="20"/>
                <w:color w:val="auto"/>
              </w:rPr>
            </w:pPr>
            <w:r>
              <w:rPr>
                <w:rFonts w:ascii="Arial" w:cs="Arial" w:eastAsia="Arial" w:hAnsi="Arial"/>
                <w:sz w:val="18"/>
                <w:szCs w:val="18"/>
                <w:color w:val="auto"/>
              </w:rPr>
              <w:t>Other straight-line revenue</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87"/>
              </w:rPr>
              <w:t>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3"/>
              <w:spacing w:after="0"/>
              <w:rPr>
                <w:sz w:val="20"/>
                <w:szCs w:val="20"/>
                <w:color w:val="auto"/>
              </w:rPr>
            </w:pPr>
            <w:r>
              <w:rPr>
                <w:rFonts w:ascii="Arial" w:cs="Arial" w:eastAsia="Arial" w:hAnsi="Arial"/>
                <w:sz w:val="18"/>
                <w:szCs w:val="18"/>
                <w:color w:val="auto"/>
                <w:w w:val="92"/>
              </w:rPr>
              <w:t>1.5%</w:t>
            </w:r>
          </w:p>
        </w:tc>
        <w:tc>
          <w:tcPr>
            <w:tcW w:w="0" w:type="dxa"/>
            <w:vAlign w:val="bottom"/>
          </w:tcPr>
          <w:p>
            <w:pPr>
              <w:spacing w:after="0"/>
              <w:rPr>
                <w:sz w:val="1"/>
                <w:szCs w:val="1"/>
                <w:color w:val="auto"/>
              </w:rPr>
            </w:pPr>
          </w:p>
        </w:tc>
      </w:tr>
      <w:tr>
        <w:trPr>
          <w:trHeight w:val="223"/>
        </w:trPr>
        <w:tc>
          <w:tcPr>
            <w:tcW w:w="5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non-cash revenue</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8.2%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8.5%</w:t>
            </w:r>
          </w:p>
        </w:tc>
        <w:tc>
          <w:tcPr>
            <w:tcW w:w="0" w:type="dxa"/>
            <w:vAlign w:val="bottom"/>
          </w:tcPr>
          <w:p>
            <w:pPr>
              <w:spacing w:after="0"/>
              <w:rPr>
                <w:sz w:val="1"/>
                <w:szCs w:val="1"/>
                <w:color w:val="auto"/>
              </w:rPr>
            </w:pPr>
          </w:p>
        </w:tc>
      </w:tr>
      <w:tr>
        <w:trPr>
          <w:trHeight w:val="223"/>
        </w:trPr>
        <w:tc>
          <w:tcPr>
            <w:tcW w:w="5060" w:type="dxa"/>
            <w:vAlign w:val="bottom"/>
            <w:gridSpan w:val="2"/>
          </w:tcPr>
          <w:p>
            <w:pPr>
              <w:ind w:left="360"/>
              <w:spacing w:after="0"/>
              <w:rPr>
                <w:sz w:val="20"/>
                <w:szCs w:val="20"/>
                <w:color w:val="auto"/>
              </w:rPr>
            </w:pPr>
            <w:r>
              <w:rPr>
                <w:rFonts w:ascii="Arial" w:cs="Arial" w:eastAsia="Arial" w:hAnsi="Arial"/>
                <w:sz w:val="18"/>
                <w:szCs w:val="18"/>
                <w:color w:val="auto"/>
              </w:rPr>
              <w:t>Total Windstream revenue</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191,142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114"/>
              <w:spacing w:after="0"/>
              <w:rPr>
                <w:sz w:val="20"/>
                <w:szCs w:val="20"/>
                <w:color w:val="auto"/>
              </w:rPr>
            </w:pPr>
            <w:r>
              <w:rPr>
                <w:rFonts w:ascii="Arial" w:cs="Arial" w:eastAsia="Arial" w:hAnsi="Arial"/>
                <w:sz w:val="18"/>
                <w:szCs w:val="18"/>
                <w:color w:val="auto"/>
                <w:w w:val="93"/>
              </w:rPr>
              <w:t>90.7%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185,929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3"/>
              <w:spacing w:after="0"/>
              <w:rPr>
                <w:sz w:val="20"/>
                <w:szCs w:val="20"/>
                <w:color w:val="auto"/>
              </w:rPr>
            </w:pPr>
            <w:r>
              <w:rPr>
                <w:rFonts w:ascii="Arial" w:cs="Arial" w:eastAsia="Arial" w:hAnsi="Arial"/>
                <w:sz w:val="18"/>
                <w:szCs w:val="18"/>
                <w:color w:val="auto"/>
                <w:w w:val="90"/>
              </w:rPr>
              <w:t>90.9%</w:t>
            </w:r>
          </w:p>
        </w:tc>
        <w:tc>
          <w:tcPr>
            <w:tcW w:w="0" w:type="dxa"/>
            <w:vAlign w:val="bottom"/>
          </w:tcPr>
          <w:p>
            <w:pPr>
              <w:spacing w:after="0"/>
              <w:rPr>
                <w:sz w:val="1"/>
                <w:szCs w:val="1"/>
                <w:color w:val="auto"/>
              </w:rPr>
            </w:pPr>
          </w:p>
        </w:tc>
      </w:tr>
      <w:tr>
        <w:trPr>
          <w:trHeight w:val="230"/>
        </w:trPr>
        <w:tc>
          <w:tcPr>
            <w:tcW w:w="50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services</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114"/>
              <w:spacing w:after="0"/>
              <w:rPr>
                <w:sz w:val="20"/>
                <w:szCs w:val="20"/>
                <w:color w:val="auto"/>
              </w:rPr>
            </w:pPr>
            <w:r>
              <w:rPr>
                <w:rFonts w:ascii="Arial" w:cs="Arial" w:eastAsia="Arial" w:hAnsi="Arial"/>
                <w:sz w:val="18"/>
                <w:szCs w:val="18"/>
                <w:color w:val="auto"/>
                <w:w w:val="87"/>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8"/>
                <w:szCs w:val="18"/>
                <w:color w:val="auto"/>
                <w:w w:val="92"/>
              </w:rPr>
              <w:t>9.1%</w:t>
            </w:r>
          </w:p>
        </w:tc>
        <w:tc>
          <w:tcPr>
            <w:tcW w:w="0" w:type="dxa"/>
            <w:vAlign w:val="bottom"/>
          </w:tcPr>
          <w:p>
            <w:pPr>
              <w:spacing w:after="0"/>
              <w:rPr>
                <w:sz w:val="1"/>
                <w:szCs w:val="1"/>
                <w:color w:val="auto"/>
              </w:rPr>
            </w:pPr>
          </w:p>
        </w:tc>
      </w:tr>
      <w:tr>
        <w:trPr>
          <w:trHeight w:val="223"/>
        </w:trPr>
        <w:tc>
          <w:tcPr>
            <w:tcW w:w="5060" w:type="dxa"/>
            <w:vAlign w:val="bottom"/>
            <w:gridSpan w:val="2"/>
          </w:tcPr>
          <w:p>
            <w:pPr>
              <w:ind w:left="440"/>
              <w:spacing w:after="0"/>
              <w:rPr>
                <w:sz w:val="20"/>
                <w:szCs w:val="20"/>
                <w:color w:val="auto"/>
              </w:rPr>
            </w:pPr>
            <w:r>
              <w:rPr>
                <w:rFonts w:ascii="Arial" w:cs="Arial" w:eastAsia="Arial" w:hAnsi="Arial"/>
                <w:sz w:val="18"/>
                <w:szCs w:val="18"/>
                <w:color w:val="auto"/>
              </w:rPr>
              <w:t>Total Leasing revenues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210,808</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4"/>
              <w:spacing w:after="0"/>
              <w:rPr>
                <w:sz w:val="20"/>
                <w:szCs w:val="20"/>
                <w:color w:val="auto"/>
              </w:rPr>
            </w:pPr>
            <w:r>
              <w:rPr>
                <w:rFonts w:ascii="Arial" w:cs="Arial" w:eastAsia="Arial" w:hAnsi="Arial"/>
                <w:sz w:val="18"/>
                <w:szCs w:val="18"/>
                <w:color w:val="auto"/>
                <w:w w:val="91"/>
              </w:rPr>
              <w:t>100.0%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204,641</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13"/>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increase in TCI revenue is attributable to continued investment by Windstream. As of March 31, 2023 and 2022, the total amount invested in TCIs by Windstream since the inception of the Windstream Leases and Master Lease was $1.1 billion and $994.4 million, respectively.</w:t>
      </w:r>
    </w:p>
    <w:p>
      <w:pPr>
        <w:spacing w:after="0" w:line="1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increase in GCI revenue is attributable to Uniti’s continued reimbursement of Growth Capital Improvements. During the three months ended March 31, 2023, Uniti reimbursed $67.5 million of Growth Capital Improvements. Subsequent to March 31, 2023, Windstream requested, and we reimbursed $30.2 million of qualifying Growth Capital Improvements. As of the date of this Quarterly Report on Form 10-Q, we have reimbursed a total of $642.0 million of Growth Capital Improvements.</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recognized $19.7 million and $18.7 million of revenues from other services including non-Windstream triple-net leasing and dark fiber indefeasible rights of use (“IRU”) arrangements for the three months ended March 31, 2023 and 2022, respectively. The increase is primarily driven by revenues from new customer arrangements.</w:t>
      </w:r>
    </w:p>
    <w:p>
      <w:pPr>
        <w:spacing w:after="0" w:line="18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Because a substantial portion of our revenue and cash flows are derived from lease payments by Windstream pursuant to the Windstream Leases, there could be a material adverse impact on our consolidated results of operations, liquidity, financial condition and/or ability to maintain our status as a REIT and service debt if Windstream were to become unable to generate sufficient cash to make payments to us.</w:t>
      </w:r>
    </w:p>
    <w:p>
      <w:pPr>
        <w:spacing w:after="0" w:line="16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monitor the credit quality of Windstream through numerous methods, including by (i) reviewing credit ratings of Windstream by nationally recognized credit agencies, (ii) reviewing the financial statements of Windstream that are required to be delivered to us pursuant to the Windstream Leases, (iii) monitoring new reports regarding Windstream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its business, (iv) conducting research to ascertain industry trends potentially affecting Windstream, (v) monitoring Windstream’s compliance with the terms of the Windstream Leases and (vi) monitoring the timeliness of its payments under the Windstream Leases.</w:t>
      </w:r>
    </w:p>
    <w:p>
      <w:pPr>
        <w:spacing w:after="0" w:line="17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of the date of this Quarterly Report on Form 10-Q, Windstream is current on all lease payments. Moody's Investor Service's current corporate family rating for Windstream is B3 with a stable outlook. S&amp;P Global Ratings' current issuer rating for Windstream is B- with a stable outlook. In addition, in order to assist us in our continuing assessment of Windstream’s creditworthiness, we periodically receive certain confidential financial information and metrics from Windstream.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March 31, 2023 and 2022 consisted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 March 31,</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28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gridSpan w:val="3"/>
            <w:vMerge w:val="restart"/>
          </w:tcPr>
          <w:p>
            <w:pPr>
              <w:jc w:val="right"/>
              <w:ind w:right="780"/>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top w:val="single" w:sz="8" w:color="auto"/>
            </w:tcBorders>
          </w:tcPr>
          <w:p>
            <w:pPr>
              <w:jc w:val="center"/>
              <w:ind w:right="116"/>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3"/>
            <w:vMerge w:val="restart"/>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top w:val="single" w:sz="8" w:color="auto"/>
            </w:tcBorders>
          </w:tcPr>
          <w:p>
            <w:pPr>
              <w:jc w:val="center"/>
              <w:ind w:right="95"/>
              <w:spacing w:after="0" w:line="133" w:lineRule="exact"/>
              <w:rPr>
                <w:sz w:val="20"/>
                <w:szCs w:val="20"/>
                <w:color w:val="auto"/>
              </w:rPr>
            </w:pPr>
            <w:r>
              <w:rPr>
                <w:rFonts w:ascii="Arial" w:cs="Arial" w:eastAsia="Arial" w:hAnsi="Arial"/>
                <w:sz w:val="14"/>
                <w:szCs w:val="14"/>
                <w:b w:val="1"/>
                <w:bCs w:val="1"/>
                <w:color w:val="auto"/>
                <w:w w:val="92"/>
              </w:rPr>
              <w:t>% of Segment</w:t>
            </w:r>
          </w:p>
        </w:tc>
        <w:tc>
          <w:tcPr>
            <w:tcW w:w="0" w:type="dxa"/>
            <w:vAlign w:val="bottom"/>
          </w:tcPr>
          <w:p>
            <w:pPr>
              <w:spacing w:after="0"/>
              <w:rPr>
                <w:sz w:val="1"/>
                <w:szCs w:val="1"/>
                <w:color w:val="auto"/>
              </w:rPr>
            </w:pPr>
          </w:p>
        </w:tc>
      </w:tr>
      <w:tr>
        <w:trPr>
          <w:trHeight w:val="192"/>
        </w:trPr>
        <w:tc>
          <w:tcPr>
            <w:tcW w:w="50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1280" w:type="dxa"/>
            <w:vAlign w:val="bottom"/>
          </w:tcPr>
          <w:p>
            <w:pPr>
              <w:jc w:val="center"/>
              <w:ind w:right="95"/>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Fiber Infrastructure revenues: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19,522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Arial" w:cs="Arial" w:eastAsia="Arial" w:hAnsi="Arial"/>
                <w:sz w:val="18"/>
                <w:szCs w:val="18"/>
                <w:color w:val="auto"/>
                <w:w w:val="90"/>
              </w:rPr>
              <w:t>24.7%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19,438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26.5%</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Enterprise and wholesale</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0"/>
              </w:rPr>
              <w:t>28.6%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28.5%</w:t>
            </w:r>
          </w:p>
        </w:tc>
        <w:tc>
          <w:tcPr>
            <w:tcW w:w="0" w:type="dxa"/>
            <w:vAlign w:val="bottom"/>
          </w:tcPr>
          <w:p>
            <w:pPr>
              <w:spacing w:after="0"/>
              <w:rPr>
                <w:sz w:val="1"/>
                <w:szCs w:val="1"/>
                <w:color w:val="auto"/>
              </w:rPr>
            </w:pPr>
          </w:p>
        </w:tc>
      </w:tr>
      <w:tr>
        <w:trPr>
          <w:trHeight w:val="229"/>
        </w:trPr>
        <w:tc>
          <w:tcPr>
            <w:tcW w:w="508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13,891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right="116"/>
              <w:spacing w:after="0"/>
              <w:rPr>
                <w:sz w:val="20"/>
                <w:szCs w:val="20"/>
                <w:color w:val="auto"/>
              </w:rPr>
            </w:pPr>
            <w:r>
              <w:rPr>
                <w:rFonts w:ascii="Arial" w:cs="Arial" w:eastAsia="Arial" w:hAnsi="Arial"/>
                <w:sz w:val="18"/>
                <w:szCs w:val="18"/>
                <w:color w:val="auto"/>
                <w:w w:val="90"/>
              </w:rPr>
              <w:t>17.6%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center"/>
              <w:ind w:right="95"/>
              <w:spacing w:after="0"/>
              <w:rPr>
                <w:sz w:val="20"/>
                <w:szCs w:val="20"/>
                <w:color w:val="auto"/>
              </w:rPr>
            </w:pPr>
            <w:r>
              <w:rPr>
                <w:rFonts w:ascii="Arial" w:cs="Arial" w:eastAsia="Arial" w:hAnsi="Arial"/>
                <w:sz w:val="18"/>
                <w:szCs w:val="18"/>
                <w:color w:val="auto"/>
                <w:w w:val="90"/>
              </w:rPr>
              <w:t>19.5%</w:t>
            </w:r>
          </w:p>
        </w:tc>
        <w:tc>
          <w:tcPr>
            <w:tcW w:w="0" w:type="dxa"/>
            <w:vAlign w:val="bottom"/>
          </w:tcPr>
          <w:p>
            <w:pPr>
              <w:spacing w:after="0"/>
              <w:rPr>
                <w:sz w:val="1"/>
                <w:szCs w:val="1"/>
                <w:color w:val="auto"/>
              </w:rPr>
            </w:pPr>
          </w:p>
        </w:tc>
      </w:tr>
      <w:tr>
        <w:trPr>
          <w:trHeight w:val="229"/>
        </w:trPr>
        <w:tc>
          <w:tcPr>
            <w:tcW w:w="5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Dark fiber and small cells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right="116"/>
              <w:spacing w:after="0"/>
              <w:rPr>
                <w:sz w:val="20"/>
                <w:szCs w:val="20"/>
                <w:color w:val="auto"/>
              </w:rPr>
            </w:pPr>
            <w:r>
              <w:rPr>
                <w:rFonts w:ascii="Arial" w:cs="Arial" w:eastAsia="Arial" w:hAnsi="Arial"/>
                <w:sz w:val="18"/>
                <w:szCs w:val="18"/>
                <w:color w:val="auto"/>
                <w:w w:val="90"/>
              </w:rPr>
              <w:t>28.2%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center"/>
              <w:ind w:right="95"/>
              <w:spacing w:after="0"/>
              <w:rPr>
                <w:sz w:val="20"/>
                <w:szCs w:val="20"/>
                <w:color w:val="auto"/>
              </w:rPr>
            </w:pPr>
            <w:r>
              <w:rPr>
                <w:rFonts w:ascii="Arial" w:cs="Arial" w:eastAsia="Arial" w:hAnsi="Arial"/>
                <w:sz w:val="18"/>
                <w:szCs w:val="18"/>
                <w:color w:val="auto"/>
                <w:w w:val="90"/>
              </w:rPr>
              <w:t>24.6%</w:t>
            </w:r>
          </w:p>
        </w:tc>
        <w:tc>
          <w:tcPr>
            <w:tcW w:w="0" w:type="dxa"/>
            <w:vAlign w:val="bottom"/>
          </w:tcPr>
          <w:p>
            <w:pPr>
              <w:spacing w:after="0"/>
              <w:rPr>
                <w:sz w:val="1"/>
                <w:szCs w:val="1"/>
                <w:color w:val="auto"/>
              </w:rPr>
            </w:pPr>
          </w:p>
        </w:tc>
      </w:tr>
      <w:tr>
        <w:trPr>
          <w:trHeight w:val="230"/>
        </w:trPr>
        <w:tc>
          <w:tcPr>
            <w:tcW w:w="50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Other services</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8"/>
                <w:szCs w:val="18"/>
                <w:color w:val="auto"/>
                <w:w w:val="92"/>
              </w:rPr>
              <w:t>0.9%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8"/>
                <w:szCs w:val="18"/>
                <w:color w:val="auto"/>
                <w:w w:val="92"/>
              </w:rPr>
              <w:t>0.9%</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Total Fiber Infrastructure revenues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center"/>
              <w:ind w:right="116"/>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73,393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center"/>
              <w:ind w:right="115"/>
              <w:spacing w:after="0"/>
              <w:rPr>
                <w:sz w:val="20"/>
                <w:szCs w:val="20"/>
                <w:color w:val="auto"/>
              </w:rPr>
            </w:pPr>
            <w:r>
              <w:rPr>
                <w:rFonts w:ascii="Arial" w:cs="Arial" w:eastAsia="Arial" w:hAnsi="Arial"/>
                <w:sz w:val="18"/>
                <w:szCs w:val="18"/>
                <w:color w:val="auto"/>
                <w:w w:val="91"/>
              </w:rPr>
              <w:t>100.0%</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the three months ended March 31, 2023, Fiber Infrastructure revenues totaled $79.0 million as compared to $73.4 million for the three months ended March 31, 2022. Fiber Infrastructure revenues increased $5.6 million, primarily due to an increase in non-recurring dark fiber and small cells revenues of $3.7 million related to one-time cancellations and an increase in recurring enterprise and wholesale revenues of $2.3 million related to increased internet services and customer connections, partially offset by a decrease of $0.7 million non-recurring enterprise and wholesale revenues driven by decreased equipment and installation sales.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25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Increase / (Decrease)</w:t>
            </w:r>
          </w:p>
        </w:tc>
      </w:tr>
      <w:tr>
        <w:trPr>
          <w:trHeight w:val="26"/>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 net: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b w:val="1"/>
                <w:bCs w:val="1"/>
                <w:color w:val="auto"/>
              </w:rPr>
              <w:t>Cash:</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notes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51,066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42,122</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Senior unsecured notes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31,988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3,659</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Senior secured revolving credit facility - variable rate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Interest rate swap termination</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30"/>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600" w:type="dxa"/>
            <w:vAlign w:val="bottom"/>
            <w:gridSpan w:val="2"/>
          </w:tcPr>
          <w:p>
            <w:pPr>
              <w:ind w:left="680"/>
              <w:spacing w:after="0"/>
              <w:rPr>
                <w:sz w:val="20"/>
                <w:szCs w:val="20"/>
                <w:color w:val="auto"/>
              </w:rPr>
            </w:pPr>
            <w:r>
              <w:rPr>
                <w:rFonts w:ascii="Arial" w:cs="Arial" w:eastAsia="Arial" w:hAnsi="Arial"/>
                <w:sz w:val="18"/>
                <w:szCs w:val="18"/>
                <w:color w:val="auto"/>
              </w:rPr>
              <w:t>Total cash interest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131,938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43,096</w:t>
            </w:r>
          </w:p>
        </w:tc>
      </w:tr>
      <w:tr>
        <w:trPr>
          <w:trHeight w:val="230"/>
        </w:trPr>
        <w:tc>
          <w:tcPr>
            <w:tcW w:w="66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Non-cash: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Amortization of deferred financing costs and debt discount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Write off of deferred financing costs and debt discount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10,412</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Accretion of settlement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66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Capitalized interest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3"/>
              </w:rPr>
              <w:t>(60)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6600" w:type="dxa"/>
            <w:vAlign w:val="bottom"/>
            <w:gridSpan w:val="2"/>
          </w:tcPr>
          <w:p>
            <w:pPr>
              <w:ind w:left="520"/>
              <w:spacing w:after="0"/>
              <w:rPr>
                <w:sz w:val="20"/>
                <w:szCs w:val="20"/>
                <w:color w:val="auto"/>
              </w:rPr>
            </w:pPr>
            <w:r>
              <w:rPr>
                <w:rFonts w:ascii="Arial" w:cs="Arial" w:eastAsia="Arial" w:hAnsi="Arial"/>
                <w:sz w:val="18"/>
                <w:szCs w:val="18"/>
                <w:color w:val="auto"/>
              </w:rPr>
              <w:t>Gain on extinguishment of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(1,269)</w:t>
            </w:r>
          </w:p>
        </w:tc>
      </w:tr>
      <w:tr>
        <w:trPr>
          <w:trHeight w:val="223"/>
        </w:trPr>
        <w:tc>
          <w:tcPr>
            <w:tcW w:w="6600" w:type="dxa"/>
            <w:vAlign w:val="bottom"/>
            <w:tcBorders>
              <w:top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Total non-cash interest</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9,595</w:t>
            </w:r>
          </w:p>
        </w:tc>
      </w:tr>
      <w:tr>
        <w:trPr>
          <w:trHeight w:val="223"/>
        </w:trPr>
        <w:tc>
          <w:tcPr>
            <w:tcW w:w="6600" w:type="dxa"/>
            <w:vAlign w:val="bottom"/>
            <w:gridSpan w:val="2"/>
          </w:tcPr>
          <w:p>
            <w:pPr>
              <w:ind w:left="760"/>
              <w:spacing w:after="0"/>
              <w:rPr>
                <w:sz w:val="20"/>
                <w:szCs w:val="20"/>
                <w:color w:val="auto"/>
              </w:rPr>
            </w:pPr>
            <w:r>
              <w:rPr>
                <w:rFonts w:ascii="Arial" w:cs="Arial" w:eastAsia="Arial" w:hAnsi="Arial"/>
                <w:sz w:val="18"/>
                <w:szCs w:val="18"/>
                <w:color w:val="auto"/>
              </w:rPr>
              <w:t>Total interest expense, net</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148,863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96,172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52,691</w:t>
            </w:r>
          </w:p>
        </w:tc>
      </w:tr>
      <w:tr>
        <w:trPr>
          <w:trHeight w:val="20"/>
        </w:trPr>
        <w:tc>
          <w:tcPr>
            <w:tcW w:w="6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Interest expense for the three months ended March 31, 2023 increased $52.7 million compared to the three months ended March 31, 2022. The increase is primarily attributable to a loss on extinguishment of debt of $32.3 million on the 2025 Secured Notes, which included $10.3 million of non-cash interest expense for the write off of the unamortized discount and deferred financing costs and $22.0 million of cash interest expense for the redemption premium, an increase in cash interest of $23.9 million, and a decrease in interest rate swap termination of $2.8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300" w:type="dxa"/>
            <w:vAlign w:val="bottom"/>
            <w:gridSpan w:val="7"/>
          </w:tcPr>
          <w:p>
            <w:pPr>
              <w:jc w:val="right"/>
              <w:ind w:right="1252"/>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6600" w:type="dxa"/>
            <w:vAlign w:val="bottom"/>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84"/>
        </w:trPr>
        <w:tc>
          <w:tcPr>
            <w:tcW w:w="660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jc w:val="right"/>
              <w:ind w:right="12"/>
              <w:spacing w:after="0"/>
              <w:rPr>
                <w:sz w:val="20"/>
                <w:szCs w:val="20"/>
                <w:color w:val="auto"/>
              </w:rPr>
            </w:pPr>
            <w:r>
              <w:rPr>
                <w:rFonts w:ascii="Arial" w:cs="Arial" w:eastAsia="Arial" w:hAnsi="Arial"/>
                <w:sz w:val="14"/>
                <w:szCs w:val="14"/>
                <w:b w:val="1"/>
                <w:bCs w:val="1"/>
                <w:color w:val="auto"/>
                <w:w w:val="89"/>
              </w:rPr>
              <w:t>Increase / (Decrease)</w:t>
            </w:r>
          </w:p>
        </w:tc>
      </w:tr>
      <w:tr>
        <w:trPr>
          <w:trHeight w:val="25"/>
        </w:trPr>
        <w:tc>
          <w:tcPr>
            <w:tcW w:w="6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26,871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3,269</w:t>
            </w:r>
          </w:p>
        </w:tc>
      </w:tr>
      <w:tr>
        <w:trPr>
          <w:trHeight w:val="230"/>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600" w:type="dxa"/>
            <w:vAlign w:val="bottom"/>
            <w:gridSpan w:val="2"/>
          </w:tcPr>
          <w:p>
            <w:pPr>
              <w:ind w:left="260"/>
              <w:spacing w:after="0"/>
              <w:rPr>
                <w:sz w:val="20"/>
                <w:szCs w:val="20"/>
                <w:color w:val="auto"/>
              </w:rPr>
            </w:pPr>
            <w:r>
              <w:rPr>
                <w:rFonts w:ascii="Arial" w:cs="Arial" w:eastAsia="Arial" w:hAnsi="Arial"/>
                <w:sz w:val="18"/>
                <w:szCs w:val="18"/>
                <w:color w:val="auto"/>
              </w:rPr>
              <w:t>Total depreciation expense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69,330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64,010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5,320</w:t>
            </w:r>
          </w:p>
        </w:tc>
      </w:tr>
      <w:tr>
        <w:trPr>
          <w:trHeight w:val="230"/>
        </w:trPr>
        <w:tc>
          <w:tcPr>
            <w:tcW w:w="66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Amortization expense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6600" w:type="dxa"/>
            <w:vAlign w:val="bottom"/>
            <w:gridSpan w:val="2"/>
          </w:tcPr>
          <w:p>
            <w:pPr>
              <w:ind w:left="440"/>
              <w:spacing w:after="0"/>
              <w:rPr>
                <w:sz w:val="20"/>
                <w:szCs w:val="20"/>
                <w:color w:val="auto"/>
              </w:rPr>
            </w:pPr>
            <w:r>
              <w:rPr>
                <w:rFonts w:ascii="Arial" w:cs="Arial" w:eastAsia="Arial" w:hAnsi="Arial"/>
                <w:sz w:val="18"/>
                <w:szCs w:val="18"/>
                <w:color w:val="auto"/>
              </w:rPr>
              <w:t>Leasing</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Fiber Infrastructure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60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Total amortization expense</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71,457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5,318</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depreciation expense increased $2.1 million for the three months ended March 31, 2023 compared to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2022, primarily due to asset additions since March 31, 2022.</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depreciation expense increased $3.3 million for the three months ended March 31,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2022, primarily due to asset additions since March 31, 2022.</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of our segments.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8"/>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6"/>
              <w:spacing w:after="0" w:line="133"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2"/>
        </w:trPr>
        <w:tc>
          <w:tcPr>
            <w:tcW w:w="50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6"/>
                <w:szCs w:val="16"/>
                <w:color w:val="auto"/>
              </w:rPr>
            </w:pPr>
          </w:p>
        </w:tc>
        <w:tc>
          <w:tcPr>
            <w:tcW w:w="1420" w:type="dxa"/>
            <w:vAlign w:val="bottom"/>
            <w:gridSpan w:val="3"/>
            <w:vMerge w:val="continue"/>
          </w:tcPr>
          <w:p>
            <w:pPr>
              <w:spacing w:after="0"/>
              <w:rPr>
                <w:sz w:val="16"/>
                <w:szCs w:val="16"/>
                <w:color w:val="auto"/>
              </w:rPr>
            </w:pPr>
          </w:p>
        </w:tc>
        <w:tc>
          <w:tcPr>
            <w:tcW w:w="1340" w:type="dxa"/>
            <w:vAlign w:val="bottom"/>
          </w:tcPr>
          <w:p>
            <w:pPr>
              <w:jc w:val="center"/>
              <w:ind w:right="76"/>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9"/>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3,417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8"/>
              <w:spacing w:after="0"/>
              <w:rPr>
                <w:sz w:val="20"/>
                <w:szCs w:val="20"/>
                <w:color w:val="auto"/>
              </w:rPr>
            </w:pPr>
            <w:r>
              <w:rPr>
                <w:rFonts w:ascii="Arial" w:cs="Arial" w:eastAsia="Arial" w:hAnsi="Arial"/>
                <w:sz w:val="18"/>
                <w:szCs w:val="18"/>
                <w:color w:val="auto"/>
                <w:w w:val="92"/>
              </w:rPr>
              <w:t>1.2%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6"/>
              <w:spacing w:after="0"/>
              <w:rPr>
                <w:sz w:val="20"/>
                <w:szCs w:val="20"/>
                <w:color w:val="auto"/>
              </w:rPr>
            </w:pPr>
            <w:r>
              <w:rPr>
                <w:rFonts w:ascii="Arial" w:cs="Arial" w:eastAsia="Arial" w:hAnsi="Arial"/>
                <w:sz w:val="18"/>
                <w:szCs w:val="18"/>
                <w:color w:val="auto"/>
                <w:w w:val="87"/>
              </w:rPr>
              <w:t>1.2%</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58"/>
              <w:spacing w:after="0"/>
              <w:rPr>
                <w:sz w:val="20"/>
                <w:szCs w:val="20"/>
                <w:color w:val="auto"/>
              </w:rPr>
            </w:pPr>
            <w:r>
              <w:rPr>
                <w:rFonts w:ascii="Arial" w:cs="Arial" w:eastAsia="Arial" w:hAnsi="Arial"/>
                <w:sz w:val="18"/>
                <w:szCs w:val="18"/>
                <w:color w:val="auto"/>
                <w:w w:val="92"/>
              </w:rPr>
              <w:t>5.4%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center"/>
              <w:ind w:right="56"/>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rPr>
                <w:sz w:val="1"/>
                <w:szCs w:val="1"/>
                <w:color w:val="auto"/>
              </w:rPr>
            </w:pPr>
          </w:p>
        </w:tc>
      </w:tr>
      <w:tr>
        <w:trPr>
          <w:trHeight w:val="229"/>
        </w:trPr>
        <w:tc>
          <w:tcPr>
            <w:tcW w:w="504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9,307</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8"/>
              <w:spacing w:after="0"/>
              <w:rPr>
                <w:sz w:val="20"/>
                <w:szCs w:val="20"/>
                <w:color w:val="auto"/>
              </w:rPr>
            </w:pPr>
            <w:r>
              <w:rPr>
                <w:rFonts w:ascii="Arial" w:cs="Arial" w:eastAsia="Arial" w:hAnsi="Arial"/>
                <w:sz w:val="18"/>
                <w:szCs w:val="18"/>
                <w:color w:val="auto"/>
                <w:w w:val="92"/>
              </w:rPr>
              <w:t>3.2%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 expenses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28,433</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center"/>
              <w:ind w:right="58"/>
              <w:spacing w:after="0"/>
              <w:rPr>
                <w:sz w:val="20"/>
                <w:szCs w:val="20"/>
                <w:color w:val="auto"/>
              </w:rPr>
            </w:pPr>
            <w:r>
              <w:rPr>
                <w:rFonts w:ascii="Arial" w:cs="Arial" w:eastAsia="Arial" w:hAnsi="Arial"/>
                <w:sz w:val="18"/>
                <w:szCs w:val="18"/>
                <w:color w:val="auto"/>
                <w:w w:val="92"/>
              </w:rPr>
              <w:t>9.8%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center"/>
              <w:ind w:right="56"/>
              <w:spacing w:after="0"/>
              <w:rPr>
                <w:sz w:val="20"/>
                <w:szCs w:val="20"/>
                <w:color w:val="auto"/>
              </w:rPr>
            </w:pPr>
            <w:r>
              <w:rPr>
                <w:rFonts w:ascii="Arial" w:cs="Arial" w:eastAsia="Arial" w:hAnsi="Arial"/>
                <w:sz w:val="18"/>
                <w:szCs w:val="18"/>
                <w:color w:val="auto"/>
                <w:w w:val="87"/>
              </w:rPr>
              <w:t>8.6%</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general and administrative expense increased $0.1 million for the three months ended March 31, 2023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which is primarily due to an increase in personnel expenses of $0.3 million.</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i w:val="1"/>
          <w:iCs w:val="1"/>
          <w:u w:val="single" w:color="auto"/>
          <w:color w:val="auto"/>
        </w:rPr>
        <w:t>Fiber Infrastructure</w:t>
      </w:r>
      <w:r>
        <w:rPr>
          <w:rFonts w:ascii="Arial" w:cs="Arial" w:eastAsia="Arial" w:hAnsi="Arial"/>
          <w:sz w:val="16"/>
          <w:szCs w:val="16"/>
          <w:i w:val="1"/>
          <w:iCs w:val="1"/>
          <w:color w:val="auto"/>
        </w:rPr>
        <w:t xml:space="preserve"> </w:t>
      </w:r>
      <w:r>
        <w:rPr>
          <w:rFonts w:ascii="Arial" w:cs="Arial" w:eastAsia="Arial" w:hAnsi="Arial"/>
          <w:sz w:val="16"/>
          <w:szCs w:val="16"/>
          <w:color w:val="auto"/>
        </w:rPr>
        <w:t>– Fiber Infrastructure general and administrative expense increased $3.1 million for the three months ended March 31, 2023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March 31, 2022, which is primarily due to an increase in personnel expenses of $1.2 million, an increase in professional and regulatory fees of $0.5 million, an increase in insurance expenses of $0.4 million, and an increase in advertising expenses of $0.3 million.</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 Corporate general and administrative expense increased $1.4 million for the three months ended March 31, 2023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2022, which is primarily due to an increase in personnel expenses of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Operating expense consists of network related costs, such as dark fiber and tower rents, lit service and maintenance expense and costs associated with our construction activities.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 Ended March 31,</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2023</w:t>
            </w: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2022</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3"/>
            <w:vMerge w:val="restart"/>
          </w:tcPr>
          <w:p>
            <w:pPr>
              <w:jc w:val="right"/>
              <w:ind w:right="700"/>
              <w:spacing w:after="0"/>
              <w:rPr>
                <w:sz w:val="20"/>
                <w:szCs w:val="20"/>
                <w:color w:val="auto"/>
              </w:rPr>
            </w:pPr>
            <w:r>
              <w:rPr>
                <w:rFonts w:ascii="Arial" w:cs="Arial" w:eastAsia="Arial" w:hAnsi="Arial"/>
                <w:sz w:val="14"/>
                <w:szCs w:val="14"/>
                <w:b w:val="1"/>
                <w:bCs w:val="1"/>
                <w:color w:val="auto"/>
              </w:rPr>
              <w:t>Amount</w:t>
            </w:r>
          </w:p>
        </w:tc>
        <w:tc>
          <w:tcPr>
            <w:tcW w:w="1360" w:type="dxa"/>
            <w:vAlign w:val="bottom"/>
            <w:tcBorders>
              <w:top w:val="single" w:sz="8" w:color="auto"/>
            </w:tcBorders>
          </w:tcPr>
          <w:p>
            <w:pPr>
              <w:jc w:val="center"/>
              <w:ind w:right="59"/>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Amount</w:t>
            </w:r>
          </w:p>
        </w:tc>
        <w:tc>
          <w:tcPr>
            <w:tcW w:w="13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96"/>
        </w:trPr>
        <w:tc>
          <w:tcPr>
            <w:tcW w:w="50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3"/>
            <w:vMerge w:val="continue"/>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Revenues</w:t>
            </w:r>
          </w:p>
        </w:tc>
        <w:tc>
          <w:tcPr>
            <w:tcW w:w="300" w:type="dxa"/>
            <w:vAlign w:val="bottom"/>
          </w:tcPr>
          <w:p>
            <w:pPr>
              <w:spacing w:after="0"/>
              <w:rPr>
                <w:sz w:val="17"/>
                <w:szCs w:val="17"/>
                <w:color w:val="auto"/>
              </w:rPr>
            </w:pPr>
          </w:p>
        </w:tc>
        <w:tc>
          <w:tcPr>
            <w:tcW w:w="1420" w:type="dxa"/>
            <w:vAlign w:val="bottom"/>
            <w:gridSpan w:val="3"/>
            <w:vMerge w:val="continue"/>
          </w:tcPr>
          <w:p>
            <w:pPr>
              <w:spacing w:after="0"/>
              <w:rPr>
                <w:sz w:val="17"/>
                <w:szCs w:val="17"/>
                <w:color w:val="auto"/>
              </w:rPr>
            </w:pPr>
          </w:p>
        </w:tc>
        <w:tc>
          <w:tcPr>
            <w:tcW w:w="1340" w:type="dxa"/>
            <w:vAlign w:val="bottom"/>
          </w:tcPr>
          <w:p>
            <w:pPr>
              <w:jc w:val="center"/>
              <w:ind w:right="77"/>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30"/>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 by segment: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5,073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9"/>
              <w:spacing w:after="0"/>
              <w:rPr>
                <w:sz w:val="20"/>
                <w:szCs w:val="20"/>
                <w:color w:val="auto"/>
              </w:rPr>
            </w:pPr>
            <w:r>
              <w:rPr>
                <w:rFonts w:ascii="Arial" w:cs="Arial" w:eastAsia="Arial" w:hAnsi="Arial"/>
                <w:sz w:val="18"/>
                <w:szCs w:val="18"/>
                <w:color w:val="auto"/>
                <w:w w:val="92"/>
              </w:rPr>
              <w:t>1.8%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4,867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center"/>
              <w:ind w:right="57"/>
              <w:spacing w:after="0"/>
              <w:rPr>
                <w:sz w:val="20"/>
                <w:szCs w:val="20"/>
                <w:color w:val="auto"/>
              </w:rPr>
            </w:pPr>
            <w:r>
              <w:rPr>
                <w:rFonts w:ascii="Arial" w:cs="Arial" w:eastAsia="Arial" w:hAnsi="Arial"/>
                <w:sz w:val="18"/>
                <w:szCs w:val="18"/>
                <w:color w:val="auto"/>
                <w:w w:val="87"/>
              </w:rPr>
              <w:t>1.8%</w:t>
            </w:r>
          </w:p>
        </w:tc>
        <w:tc>
          <w:tcPr>
            <w:tcW w:w="0" w:type="dxa"/>
            <w:vAlign w:val="bottom"/>
          </w:tcPr>
          <w:p>
            <w:pPr>
              <w:spacing w:after="0"/>
              <w:rPr>
                <w:sz w:val="1"/>
                <w:szCs w:val="1"/>
                <w:color w:val="auto"/>
              </w:rPr>
            </w:pPr>
          </w:p>
        </w:tc>
      </w:tr>
      <w:tr>
        <w:trPr>
          <w:trHeight w:val="230"/>
        </w:trPr>
        <w:tc>
          <w:tcPr>
            <w:tcW w:w="5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Fiber Infrastructure</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29,995</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center"/>
              <w:ind w:right="59"/>
              <w:spacing w:after="0"/>
              <w:rPr>
                <w:sz w:val="20"/>
                <w:szCs w:val="20"/>
                <w:color w:val="auto"/>
              </w:rPr>
            </w:pPr>
            <w:r>
              <w:rPr>
                <w:rFonts w:ascii="Arial" w:cs="Arial" w:eastAsia="Arial" w:hAnsi="Arial"/>
                <w:sz w:val="18"/>
                <w:szCs w:val="18"/>
                <w:color w:val="auto"/>
                <w:w w:val="90"/>
              </w:rPr>
              <w:t>10.2%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ind w:right="77"/>
              <w:spacing w:after="0"/>
              <w:rPr>
                <w:sz w:val="20"/>
                <w:szCs w:val="20"/>
                <w:color w:val="auto"/>
              </w:rPr>
            </w:pPr>
            <w:r>
              <w:rPr>
                <w:rFonts w:ascii="Arial" w:cs="Arial" w:eastAsia="Arial" w:hAnsi="Arial"/>
                <w:sz w:val="18"/>
                <w:szCs w:val="18"/>
                <w:color w:val="auto"/>
                <w:w w:val="90"/>
              </w:rPr>
              <w:t>10.8%</w:t>
            </w:r>
          </w:p>
        </w:tc>
        <w:tc>
          <w:tcPr>
            <w:tcW w:w="0" w:type="dxa"/>
            <w:vAlign w:val="bottom"/>
          </w:tcPr>
          <w:p>
            <w:pPr>
              <w:spacing w:after="0"/>
              <w:rPr>
                <w:sz w:val="1"/>
                <w:szCs w:val="1"/>
                <w:color w:val="auto"/>
              </w:rPr>
            </w:pPr>
          </w:p>
        </w:tc>
      </w:tr>
      <w:tr>
        <w:trPr>
          <w:trHeight w:val="22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35,068</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59"/>
              <w:spacing w:after="0"/>
              <w:rPr>
                <w:sz w:val="20"/>
                <w:szCs w:val="20"/>
                <w:color w:val="auto"/>
              </w:rPr>
            </w:pPr>
            <w:r>
              <w:rPr>
                <w:rFonts w:ascii="Arial" w:cs="Arial" w:eastAsia="Arial" w:hAnsi="Arial"/>
                <w:sz w:val="18"/>
                <w:szCs w:val="18"/>
                <w:color w:val="auto"/>
                <w:w w:val="90"/>
              </w:rPr>
              <w:t>12.0%</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8"/>
                <w:szCs w:val="18"/>
                <w:color w:val="auto"/>
                <w:w w:val="90"/>
              </w:rPr>
              <w:t>12.6%</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increased $0.2 million for the three months ended March 31, 2023 and as compared to the three months ended March</w:t>
      </w:r>
      <w:r>
        <w:rPr>
          <w:rFonts w:ascii="Arial" w:cs="Arial" w:eastAsia="Arial" w:hAnsi="Arial"/>
          <w:sz w:val="18"/>
          <w:szCs w:val="18"/>
          <w:i w:val="1"/>
          <w:iCs w:val="1"/>
          <w:color w:val="auto"/>
        </w:rPr>
        <w:t xml:space="preserve"> </w:t>
      </w:r>
      <w:r>
        <w:rPr>
          <w:rFonts w:ascii="Arial" w:cs="Arial" w:eastAsia="Arial" w:hAnsi="Arial"/>
          <w:sz w:val="18"/>
          <w:szCs w:val="18"/>
          <w:color w:val="auto"/>
        </w:rPr>
        <w:t>31, 2022, which is primarily driven by increased leased asset costs of $0.3 million.</w:t>
      </w:r>
    </w:p>
    <w:p>
      <w:pPr>
        <w:spacing w:after="0" w:line="17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Fiber Infrastructure operating expenses remained consistent for the three months ended March 31, 2023 compared to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-332105</wp:posOffset>
            </wp:positionV>
            <wp:extent cx="13716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Transaction related and other costs during the three months ended March 31, 2023 and 2022 included incremental acquisition, pursuit, transaction and integration costs (including unsuccessful acquisition pursuit costs). For the three months ended March 31, 2023, we incurred $2.8 million of transaction related and other costs, compared to $1.7 million of such costs during the three months ended March 31, 2022.</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 net</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 expense for the three months ended March 31, 2023 totaled $20.2 million, which included $20.6 million of costs related to the issuance of the February 2028 Secured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income tax benefit recorded for the three months ended March 31, 2023 and 2022, respectively, is related to the tax impact of the following:</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3"/>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(3,812)</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REIT state and local taxes</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538</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Total income tax benefit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(2,071)</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2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incremental acquisition, pursuit, transaction and integration costs (including unsuccessful acquisition pursuit costs), costs associated with Windstream’s bankruptcy, costs associated with litigation claims made against us, and costs associated with the implementation of our enterprise resource planning system, (collectively, “Transaction Related and Other Costs”), costs related to the settlement with Windstream, goodwill impairment charges, executive severance costs, amortization of non-cash rights-of-use assets, the write off of unamortized deferred financing costs, costs incurred as a result of the early repayment of debt, including early tender and redemption premiums and costs associated with the termination of related hedging activities, gains or losses on dispositions, changes in the fair value of contingent consideration and financial instruments, and other similar or infrequent items (although we may not have had such charges in the periods presented). Adjusted EBITDA includes adjustments to reflect the Company’s share of Adjusted EBITDA from unconsolidated entities.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and includes adjustments to reflect the Company’s share of FFO from unconsolidated entities. We compute FFO in accordance with NAREIT’s definition.</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The Company defines AFFO, as FFO excluding (i) Transaction Related and Other Costs; (ii) costs related to the litigation settlement with Windstream, accretion on our settlement obligation, and gains on prepayment of our settlement obligation as these items are not reflective of ongoing operating performance; (iii) goodwill impairment charges; (iv) certain non-cash revenues and expenses such as stock-based compensation expense, amortization of debt and equity discounts, amortization of deferred financing costs, depreciation and amortization of non-real estate assets, amortization of non-cash rights-of-use assets, straight line revenues, non-cash income taxes, and the amortization of other non-cash revenues to the extent that cash has not been received, such as revenue associated with the amortization of TCIs; and (v) the impact, which may be recurring in nature, of the write-off of unamortized deferred financing fees, additional costs incurred as a result of the early repayment of debt, including early tender and redemption premiums and costs associated with the termination of related hedging activities, executive severance costs, taxes associated with tax basis cancellation of debt, gains or losses on dispositions, changes in the fair value of contingent consideration and financial instruments and similar or infrequent items less maintenance capital expenditures. AFFO includes adjustments to reflect the Company’s share of AFFO from unconsolidated entities.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income as defined by GAAP and should not be considered an alternative to those measures in evaluating our liquidity or operating performance</w:t>
      </w:r>
      <w:r>
        <w:rPr>
          <w:rFonts w:ascii="Arial" w:cs="Arial" w:eastAsia="Arial" w:hAnsi="Arial"/>
          <w:sz w:val="20"/>
          <w:szCs w:val="20"/>
          <w:color w:val="auto"/>
        </w:rPr>
        <w:t>.</w:t>
      </w:r>
    </w:p>
    <w:p>
      <w:pPr>
        <w:spacing w:after="0" w:line="22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months ended March 31, 2023 and 2022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100" w:type="dxa"/>
            <w:vAlign w:val="bottom"/>
          </w:tcPr>
          <w:p>
            <w:pPr>
              <w:spacing w:after="0"/>
              <w:rPr>
                <w:sz w:val="2"/>
                <w:szCs w:val="2"/>
                <w:color w:val="auto"/>
              </w:rPr>
            </w:pPr>
          </w:p>
        </w:tc>
        <w:tc>
          <w:tcPr>
            <w:tcW w:w="3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5100" w:type="dxa"/>
            <w:vAlign w:val="bottom"/>
          </w:tcPr>
          <w:p>
            <w:pPr>
              <w:ind w:left="20"/>
              <w:spacing w:after="0"/>
              <w:rPr>
                <w:sz w:val="20"/>
                <w:szCs w:val="20"/>
                <w:color w:val="auto"/>
              </w:rPr>
            </w:pPr>
            <w:r>
              <w:rPr>
                <w:rFonts w:ascii="Arial" w:cs="Arial" w:eastAsia="Arial" w:hAnsi="Arial"/>
                <w:sz w:val="14"/>
                <w:szCs w:val="14"/>
                <w:color w:val="auto"/>
              </w:rPr>
              <w:t>(Thousands)</w:t>
            </w:r>
          </w:p>
        </w:tc>
        <w:tc>
          <w:tcPr>
            <w:tcW w:w="3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0" w:type="dxa"/>
            <w:vAlign w:val="bottom"/>
          </w:tcPr>
          <w:p>
            <w:pPr>
              <w:spacing w:after="0"/>
              <w:rPr>
                <w:sz w:val="2"/>
                <w:szCs w:val="2"/>
                <w:color w:val="auto"/>
              </w:rPr>
            </w:pPr>
          </w:p>
        </w:tc>
        <w:tc>
          <w:tcPr>
            <w:tcW w:w="510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3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76,775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3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Income tax (benefit) expense</w:t>
            </w:r>
          </w:p>
        </w:tc>
        <w:tc>
          <w:tcPr>
            <w:tcW w:w="3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EBITDA</w:t>
            </w:r>
          </w:p>
        </w:tc>
        <w:tc>
          <w:tcPr>
            <w:tcW w:w="30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204,015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Stock based compensation</w:t>
            </w: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Transaction related and other costs</w:t>
            </w:r>
          </w:p>
        </w:tc>
        <w:tc>
          <w:tcPr>
            <w:tcW w:w="3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tcPr>
          <w:p>
            <w:pPr>
              <w:ind w:left="120"/>
              <w:spacing w:after="0"/>
              <w:rPr>
                <w:sz w:val="20"/>
                <w:szCs w:val="20"/>
                <w:color w:val="auto"/>
              </w:rPr>
            </w:pPr>
            <w:r>
              <w:rPr>
                <w:rFonts w:ascii="Arial" w:cs="Arial" w:eastAsia="Arial" w:hAnsi="Arial"/>
                <w:sz w:val="18"/>
                <w:szCs w:val="18"/>
                <w:color w:val="auto"/>
              </w:rPr>
              <w:t>Other, net</w:t>
            </w:r>
          </w:p>
        </w:tc>
        <w:tc>
          <w:tcPr>
            <w:tcW w:w="3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Adjustments for equity in earnings from unconsolidated entities</w:t>
            </w:r>
          </w:p>
        </w:tc>
        <w:tc>
          <w:tcPr>
            <w:tcW w:w="30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0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231,201</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000" w:type="dxa"/>
            <w:vAlign w:val="bottom"/>
            <w:vMerge w:val="restart"/>
          </w:tcPr>
          <w:p>
            <w:pPr>
              <w:jc w:val="right"/>
              <w:ind w:right="2330"/>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0" w:type="dxa"/>
            <w:vAlign w:val="bottom"/>
            <w:tcBorders>
              <w:bottom w:val="single" w:sz="8" w:color="9A9A9A"/>
            </w:tcBorders>
          </w:tcPr>
          <w:p>
            <w:pPr>
              <w:spacing w:after="0"/>
              <w:rPr>
                <w:sz w:val="8"/>
                <w:szCs w:val="8"/>
                <w:color w:val="auto"/>
              </w:rPr>
            </w:pPr>
          </w:p>
        </w:tc>
        <w:tc>
          <w:tcPr>
            <w:tcW w:w="510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4"/>
        </w:trPr>
        <w:tc>
          <w:tcPr>
            <w:tcW w:w="8120" w:type="dxa"/>
            <w:vAlign w:val="bottom"/>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6"/>
        </w:trPr>
        <w:tc>
          <w:tcPr>
            <w:tcW w:w="8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52,394</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rPr>
              <w:t>Real estate depreciation and amortization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54,516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51,893</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Participating securities share in earnings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rPr>
              <w:t>Participating securities share in FFO</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(658)</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Real estate depreciation and amortization from unconsolidated entities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FFO attributable to common shareholders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104,521</w:t>
            </w: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Transaction related and other costs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1,714</w:t>
            </w: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deferred financing costs and debt discount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4,514</w:t>
            </w:r>
          </w:p>
        </w:tc>
      </w:tr>
      <w:tr>
        <w:trPr>
          <w:trHeight w:val="257"/>
        </w:trPr>
        <w:tc>
          <w:tcPr>
            <w:tcW w:w="8120" w:type="dxa"/>
            <w:vAlign w:val="bottom"/>
          </w:tcPr>
          <w:p>
            <w:pPr>
              <w:ind w:left="180"/>
              <w:spacing w:after="0"/>
              <w:rPr>
                <w:sz w:val="20"/>
                <w:szCs w:val="20"/>
                <w:color w:val="auto"/>
              </w:rPr>
            </w:pPr>
            <w:r>
              <w:rPr>
                <w:rFonts w:ascii="Arial" w:cs="Arial" w:eastAsia="Arial" w:hAnsi="Arial"/>
                <w:sz w:val="18"/>
                <w:szCs w:val="18"/>
                <w:color w:val="auto"/>
              </w:rPr>
              <w:t>Write off of deferred financing costs and debt discount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10,412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Costs related to the early repayment of debt</w:t>
            </w: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3,312</w:t>
            </w:r>
          </w:p>
        </w:tc>
      </w:tr>
      <w:tr>
        <w:trPr>
          <w:trHeight w:val="230"/>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Non-real estate 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19,564</w:t>
            </w:r>
          </w:p>
        </w:tc>
      </w:tr>
      <w:tr>
        <w:trPr>
          <w:trHeight w:val="229"/>
        </w:trPr>
        <w:tc>
          <w:tcPr>
            <w:tcW w:w="8120" w:type="dxa"/>
            <w:vAlign w:val="bottom"/>
          </w:tcPr>
          <w:p>
            <w:pPr>
              <w:ind w:left="180"/>
              <w:spacing w:after="0"/>
              <w:rPr>
                <w:sz w:val="20"/>
                <w:szCs w:val="20"/>
                <w:color w:val="auto"/>
              </w:rPr>
            </w:pPr>
            <w:r>
              <w:rPr>
                <w:rFonts w:ascii="Arial" w:cs="Arial" w:eastAsia="Arial" w:hAnsi="Arial"/>
                <w:sz w:val="18"/>
                <w:szCs w:val="18"/>
                <w:color w:val="auto"/>
              </w:rPr>
              <w:t>Straight-line revenues and amortization of below-market lease intangibles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(9,427)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(11,022)</w:t>
            </w: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r>
      <w:tr>
        <w:trPr>
          <w:trHeight w:val="230"/>
        </w:trPr>
        <w:tc>
          <w:tcPr>
            <w:tcW w:w="812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(8,170)</w:t>
            </w:r>
          </w:p>
        </w:tc>
      </w:tr>
      <w:tr>
        <w:trPr>
          <w:trHeight w:val="229"/>
        </w:trPr>
        <w:tc>
          <w:tcPr>
            <w:tcW w:w="8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for equity in earnings from unconsolidated entities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9"/>
        </w:trPr>
        <w:tc>
          <w:tcPr>
            <w:tcW w:w="81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Adjustments for noncontrolling interests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AFFO attributable to common shareholders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112,342</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principal liquidity needs are to fund operating expenses, meet debt service obligations, fund investment activities, including capital expenditures, and make dividend distributions. Furthermore, following consummation of our settlement agreement with Windstream, including entry into the Windstream Leases, we are obligated (i) to make $490.1 million of cash payments to Windstream in equal installments over 20 consecutive quarters beginning in October 2020 and (ii) to reimburse Windstream for up to an aggregate of $1.75 billion for Growth Capital Improvements in long-term value accretive fiber and related assets made by Windstream through 2029. To date, we have paid $239.9 million of the $490.1 million due to Windstream under the settlement agreement.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per year in 2023 and 2024; $175 million per year in 2025 and 2026; and $125 million per year in 2027 through 2029.</w:t>
      </w:r>
    </w:p>
    <w:p>
      <w:pPr>
        <w:spacing w:after="0" w:line="16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Our primary sources of liquidity and capital resources are cash on hand, cash provided by operating activities (primarily from the Windstream Leases), available borrowings under our credit agreement by and among the Operating Partnership, CSL Capital, LLC and Uniti Group Finance 2019 Inc., the guarantors party thereto, Bank of America, N.A., as administrative agent, collateral agent, swing line lender and an L/C issuer and certain other lenders named therein (the "Credit Agreement"), and proceeds from the issuance of debt and equity securities.</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 xml:space="preserve">As of March 31, 2023, we had cash and cash equivalents of $70.3 million and approximately $425.0 million of borrowing availability under our Revolving Credit Facility under the Credit Agreement. Subsequent to March 31, 2023, other than $30.2 million of Growth Capital Improvements (see </w:t>
      </w:r>
      <w:r>
        <w:rPr>
          <w:rFonts w:ascii="Arial" w:cs="Arial" w:eastAsia="Arial" w:hAnsi="Arial"/>
          <w:sz w:val="16"/>
          <w:szCs w:val="16"/>
          <w:i w:val="1"/>
          <w:iCs w:val="1"/>
          <w:color w:val="auto"/>
        </w:rPr>
        <w:t>“Result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Operations—Revenues” </w:t>
      </w:r>
      <w:r>
        <w:rPr>
          <w:rFonts w:ascii="Arial" w:cs="Arial" w:eastAsia="Arial" w:hAnsi="Arial"/>
          <w:sz w:val="16"/>
          <w:szCs w:val="16"/>
          <w:color w:val="auto"/>
        </w:rPr>
        <w:t>above), there have been no material outlays of funds outside of our scheduled interest and dividend payments. Availability under</w:t>
      </w:r>
      <w:r>
        <w:rPr>
          <w:rFonts w:ascii="Arial" w:cs="Arial" w:eastAsia="Arial" w:hAnsi="Arial"/>
          <w:sz w:val="16"/>
          <w:szCs w:val="16"/>
          <w:i w:val="1"/>
          <w:iCs w:val="1"/>
          <w:color w:val="auto"/>
        </w:rPr>
        <w:t xml:space="preserve"> </w:t>
      </w:r>
      <w:r>
        <w:rPr>
          <w:rFonts w:ascii="Arial" w:cs="Arial" w:eastAsia="Arial" w:hAnsi="Arial"/>
          <w:sz w:val="16"/>
          <w:szCs w:val="16"/>
          <w:color w:val="auto"/>
        </w:rPr>
        <w:t>our Revolving Credit Facility is subject to various conditions, including a maximum secured leverage ratio of 5.0:1. In addition, if we incur debt</w:t>
      </w: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our Revolving Credit Facility or otherwise such that our total leverage ratio exceeds 6.5:1, our Revolving Credit Facility would impose significant restrictions on our ability to pay dividends. See “—Dividends.”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5"/>
          </w:tcPr>
          <w:p>
            <w:pPr>
              <w:jc w:val="right"/>
              <w:ind w:right="459"/>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80" w:type="dxa"/>
            <w:vAlign w:val="bottom"/>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Pr>
          <w:p>
            <w:pPr>
              <w:jc w:val="right"/>
              <w:ind w:right="722"/>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7"/>
              </w:rPr>
              <w:t>14,562</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63,221</w:t>
            </w:r>
          </w:p>
        </w:tc>
      </w:tr>
    </w:tbl>
    <w:p>
      <w:pPr>
        <w:spacing w:after="0" w:line="29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Cash provided by operating activities is primarily attributable to our leasing activities, which includes the leasing of mission-critical communications assets to anchor customers on either an exclusive or shared-tenant basis, in addition to the leasing of dark fiber network assets to the telecommunications industry. Cash used in operating activities includes compensation and related costs, interest payments, and other changes in working capital. Net cash provided by operating activities was $14.6 million and $63.2 million for the three months ended March 31, 2023 and 2022, respectively. The decrease in net cash provided by operating activities during the three months ended March 31, 2023 is primarily attributable to increases in cash interest expense and other costs related to the issuance of the February 2028 Secured Notes, and changes in working capital, including the timing of interest payments associated with debt activities occurring in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81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(114,981)</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(94,728)</w:t>
            </w:r>
          </w:p>
        </w:tc>
      </w:tr>
      <w:tr>
        <w:trPr>
          <w:trHeight w:val="229"/>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sale of other equipment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23"/>
        </w:trPr>
        <w:tc>
          <w:tcPr>
            <w:tcW w:w="8180" w:type="dxa"/>
            <w:vAlign w:val="bottom"/>
            <w:gridSpan w:val="2"/>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(114,374)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(94,349)</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Net cash used in investing activities increased $20.0 million for the three months ended March 31, 2023 compared to the three months ended March 31, 2022, primarily driven by an increase in Growth Capital Improvements of $19.3 million, which we classify as success-based capital expenditures. Capital expenditures are primarily related to our Uniti Fiber and Uniti Leasing businesses for deployment of network assets, as described below under “—Capital Expenditures.”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Three Months Ended March 31,</w:t>
            </w:r>
          </w:p>
        </w:tc>
      </w:tr>
      <w:tr>
        <w:trPr>
          <w:trHeight w:val="25"/>
        </w:trPr>
        <w:tc>
          <w:tcPr>
            <w:tcW w:w="8180" w:type="dxa"/>
            <w:vAlign w:val="bottom"/>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4"/>
        </w:trPr>
        <w:tc>
          <w:tcPr>
            <w:tcW w:w="8180" w:type="dxa"/>
            <w:vAlign w:val="bottom"/>
            <w:gridSpan w:val="2"/>
          </w:tcPr>
          <w:p>
            <w:pPr>
              <w:ind w:left="20"/>
              <w:spacing w:after="0"/>
              <w:rPr>
                <w:sz w:val="20"/>
                <w:szCs w:val="20"/>
                <w:color w:val="auto"/>
              </w:rPr>
            </w:pPr>
            <w:r>
              <w:rPr>
                <w:rFonts w:ascii="Arial" w:cs="Arial" w:eastAsia="Arial" w:hAnsi="Arial"/>
                <w:sz w:val="14"/>
                <w:szCs w:val="14"/>
                <w:color w:val="auto"/>
              </w:rPr>
              <w:t>(Thousands)</w:t>
            </w: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5"/>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Repayment of debt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(2,263,662)</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Proceeds from issuance of notes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of settlement payable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140,000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85,000</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29"/>
        </w:trPr>
        <w:tc>
          <w:tcPr>
            <w:tcW w:w="8180" w:type="dxa"/>
            <w:vAlign w:val="bottom"/>
            <w:gridSpan w:val="2"/>
          </w:tcPr>
          <w:p>
            <w:pPr>
              <w:ind w:left="260"/>
              <w:spacing w:after="0"/>
              <w:rPr>
                <w:sz w:val="20"/>
                <w:szCs w:val="20"/>
                <w:color w:val="auto"/>
              </w:rPr>
            </w:pPr>
            <w:r>
              <w:rPr>
                <w:rFonts w:ascii="Arial" w:cs="Arial" w:eastAsia="Arial" w:hAnsi="Arial"/>
                <w:sz w:val="18"/>
                <w:szCs w:val="18"/>
                <w:color w:val="auto"/>
              </w:rPr>
              <w:t>Finance lease payments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30"/>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Payments for financing costs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(26,688)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Payment for settlement of common stock warrant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Termination of bond hedge option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180" w:type="dxa"/>
            <w:vAlign w:val="bottom"/>
            <w:gridSpan w:val="2"/>
          </w:tcPr>
          <w:p>
            <w:pPr>
              <w:ind w:left="240"/>
              <w:spacing w:after="0"/>
              <w:rPr>
                <w:sz w:val="20"/>
                <w:szCs w:val="20"/>
                <w:color w:val="auto"/>
              </w:rPr>
            </w:pPr>
            <w:r>
              <w:rPr>
                <w:rFonts w:ascii="Arial" w:cs="Arial" w:eastAsia="Arial" w:hAnsi="Arial"/>
                <w:sz w:val="18"/>
                <w:szCs w:val="18"/>
                <w:color w:val="auto"/>
              </w:rPr>
              <w:t>Costs related to the early repayment of debt</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(44,303)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Employee stock purchase program</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8180" w:type="dxa"/>
            <w:vAlign w:val="bottom"/>
            <w:tcBorders>
              <w:bottom w:val="single" w:sz="8" w:color="CCEEFF"/>
            </w:tcBorders>
            <w:gridSpan w:val="2"/>
          </w:tcPr>
          <w:p>
            <w:pPr>
              <w:ind w:left="260"/>
              <w:spacing w:after="0"/>
              <w:rPr>
                <w:sz w:val="20"/>
                <w:szCs w:val="20"/>
                <w:color w:val="auto"/>
              </w:rPr>
            </w:pPr>
            <w:r>
              <w:rPr>
                <w:rFonts w:ascii="Arial" w:cs="Arial" w:eastAsia="Arial" w:hAnsi="Arial"/>
                <w:sz w:val="18"/>
                <w:szCs w:val="18"/>
                <w:color w:val="auto"/>
              </w:rPr>
              <w:t>Payments related to tax withholding for stock-based compensation</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8"/>
        </w:trPr>
        <w:tc>
          <w:tcPr>
            <w:tcW w:w="818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23,354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Net cash provided by financing activities was $126.4 million for the three months ended March 31, 2023, which was primarily related to the proceeds from issuance of the February 2028 Secured Notes of $2.6 billion, offset by the repayment of the 2025 Secured notes of $2.3 billion, repayment of the settlement payable of $24.5 million, costs related to the early repayment of the 2025 Secured Notes of $44.3 million, payments for financing costs related to the February 2028 Secured Notes of $26.7 million, </w:t>
      </w:r>
      <w:r>
        <w:rPr>
          <w:rFonts w:ascii="Arial" w:cs="Arial" w:eastAsia="Arial" w:hAnsi="Arial"/>
          <w:sz w:val="16"/>
          <w:szCs w:val="16"/>
          <w:color w:val="212529"/>
        </w:rPr>
        <w:t>net borrowings under the Revolving Credit Facility of $113.0 million, and payments related to tax</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212529"/>
        </w:rPr>
        <w:t>withholding for stock-based compensation of $1.3 million. Net c</w:t>
      </w:r>
      <w:r>
        <w:rPr>
          <w:rFonts w:ascii="Arial" w:cs="Arial" w:eastAsia="Arial" w:hAnsi="Arial"/>
          <w:sz w:val="18"/>
          <w:szCs w:val="18"/>
          <w:color w:val="000000"/>
        </w:rPr>
        <w:t>ash provided by financing activities was $23.4 million for the three months ended March</w:t>
      </w:r>
      <w:r>
        <w:rPr>
          <w:rFonts w:ascii="Arial" w:cs="Arial" w:eastAsia="Arial" w:hAnsi="Arial"/>
          <w:sz w:val="18"/>
          <w:szCs w:val="18"/>
          <w:color w:val="212529"/>
        </w:rPr>
        <w:t xml:space="preserve"> </w:t>
      </w:r>
      <w:r>
        <w:rPr>
          <w:rFonts w:ascii="Arial" w:cs="Arial" w:eastAsia="Arial" w:hAnsi="Arial"/>
          <w:sz w:val="18"/>
          <w:szCs w:val="18"/>
          <w:color w:val="000000"/>
        </w:rPr>
        <w:t>31, 2022, which was primarily driven by net borrowings of $25.0 million under the Revolving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Windstream Leases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initial term of the Windstream Leases expires on April 30, 2030. The aggregate initial annual rent under the Windstream Leases is $663.0 million. The Windstream Leases contain cross-guarantees and cross-default provisions, which will remain effective as long as Windstream or an affiliate is the tenant under both of the Windstream Leases and unless and until the landlords under the ILEC MLA are different from the landlords under the CLEC MLA. The Windstream Leases permit Uniti to transfer its rights and obligations and otherwise monetize or encumber the Windstream Leases, together or separately, so long as Uniti does not transfer interests in either Windstream Lease to a Windstream competitor.</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Beginning in October 2020, pursuant to the Windstream Leases, Windstream (or any successor tenant under a Windstream Lease) has the right to cause Uniti to reimburse up to an aggregate $1.75 billion of Growth Capital Improvements through 2029. Uniti’s reimbursement commitment for Growth Capital Improvements does not require Uniti to reimburse Windstream for maintenance or repair expenditures (except for costs incurred for fiber replacements to the CLEC MLA leased property, up to $70 million during the term), and each such reimbursement is subject to underwriting standards. Uniti’s total annual reimbursement commitments for the Growth Capital Improvements under both Windstream Leases (and under separate equipment loan facilities) were limited to $225 million in 2022, and are limited to $225 million in 2023 and 2024; $175 million per year in 2025 and 2026; and $125 million per year in 2027 through 2029. If the cost incurred by Windstream (or the successor tenant under a Windstream Lease) for Growth Capital Improvements in any calendar year exceeds the annual limit for such calendar year, Windstream (or such tenant, as the case may be) may submit such excess costs for reimbursement in any subsequent year and such excess costs shall be funded from the annual commitment amounts in such subsequent period. In addition, to the extent that reimbursements for Growth Capital Improvements funded in any calendar year during the term is less than the annual limit for such calendar year, the unfunded amount in any calendar year will carry-over and may be added to the annual limits for subsequent calendar years, subject to an annual limit of $250 million in any calendar year.</w:t>
      </w:r>
    </w:p>
    <w:p>
      <w:pPr>
        <w:spacing w:after="0" w:line="17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Starting on the first anniversary of each installment of reimbursement for a Growth Capital Improvement, the rent payable by Windstream under the applicable Windstream Lease will increase by an amount equal to 8.0% (the “Rent Rate”) of such installment of reimbursement. The Rent Rate will thereafter increase to 100.5% of the prior Rent Rate on each anniversary of each reimbursement. In the event that the tenant’s interest in either Windstream Lease is transferred by Windstream under the terms thereof (unless transferred to the same transferee), or if Uniti transfers its interests as landlord under either Windstream Lease (unless to the same transferee), the reimbursement rights and obligations will be allocated between the ILEC MLA and the CLEC MLA by Windstream, provided that the maximum that may be allocated to the CLEC MLA following such transfer is $20 million per year. If Uniti fails to reimburse any Growth Capital Improvement reimbursement payment or equipment loan funding request as and when it is required to do so under the terms of the Windstream Leases, and such failure continues for thirty (30) days, then such unreimbursed amounts may be applied as an offset against the rent owed by Windstream under the Windstream Leases (and such amounts will thereafter be treated as if Uniti had reimbursed them).</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Uniti and Windstream have entered into separate ILEC and CLEC Equipment Loan and Security Agreements (collectively “Equipment Loan Agreement”) in which Uniti will provide up to $125 million (limited to $25 million in any calendar year) of the $1.75 billion of Growth Capital Improvements commitments discussed above in the form of loans for Windstream to purchase equipment related to network upgrades or to be used in connection with the Windstream Leases. Interest on these loans will accrue at 8% from the date of the borrowing. All equipment financed through the Equipment Loan Agreement is the sole property of Windstream; however, Uniti will receive a first-lien security interest in the equipment purchased with the loans. No such loans have been made as of March 31,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UPREIT Operating Partnership Units</w:t>
      </w:r>
    </w:p>
    <w:p>
      <w:pPr>
        <w:spacing w:after="0" w:line="225"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taxes payable by a seller while preserving our available cash for other purposes, including the possible payment of dividends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March 31, 2023, we had $425.0 million in borrowing availability under our Revolving Credit Facility (subject to customary borrowing conditions), however, we may need to access the capital markets to generate additional funds in an amount sufficient to fund our business operations, announced investment activities, capital expenditures, including reimbursement commitments for Growth Capital Improvements, debt service and distributions to our shareholders. We are closely monitoring the equity and debt markets and may seek to access them promptly if and when we determine market conditions are appropriate.</w:t>
      </w:r>
    </w:p>
    <w:p>
      <w:pPr>
        <w:spacing w:after="0" w:line="19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amount, nature and timing of any capital markets transactions will depend on: our operating performance and other circumstances; our then-current commitments and obligations; the amount, nature and timing of our capital requirements; any limitations imposed by our current credit arrangements; and overall market conditions.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64"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If circumstances warrant, we may take measures to conserve cash as we anticipate that it will be more difficult for us to access the capital markets at attractive rates until such uncertainty is clarified.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61"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 2023</w:t>
            </w: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6"/>
        </w:trPr>
        <w:tc>
          <w:tcPr>
            <w:tcW w:w="34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8"/>
                <w:szCs w:val="18"/>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Success Based</w:t>
            </w: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Maintenance</w:t>
            </w:r>
          </w:p>
        </w:tc>
        <w:tc>
          <w:tcPr>
            <w:tcW w:w="20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Non-Network</w:t>
            </w:r>
          </w:p>
        </w:tc>
        <w:tc>
          <w:tcPr>
            <w:tcW w:w="34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25"/>
        </w:trPr>
        <w:tc>
          <w:tcPr>
            <w:tcW w:w="3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23"/>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expenditures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57"/>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Leasing</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4,147</w:t>
            </w:r>
          </w:p>
        </w:tc>
      </w:tr>
      <w:tr>
        <w:trPr>
          <w:trHeight w:val="256"/>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Growth capital improvements</w:t>
            </w:r>
          </w:p>
        </w:tc>
        <w:tc>
          <w:tcPr>
            <w:tcW w:w="20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67,511</w:t>
            </w:r>
          </w:p>
        </w:tc>
      </w:tr>
      <w:tr>
        <w:trPr>
          <w:trHeight w:val="257"/>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Fiber Infrastructure</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41,093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43,323</w:t>
            </w:r>
          </w:p>
        </w:tc>
      </w:tr>
      <w:tr>
        <w:trPr>
          <w:trHeight w:val="257"/>
        </w:trPr>
        <w:tc>
          <w:tcPr>
            <w:tcW w:w="3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Corporate</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480" w:type="dxa"/>
            <w:vAlign w:val="bottom"/>
            <w:gridSpan w:val="2"/>
          </w:tcPr>
          <w:p>
            <w:pPr>
              <w:ind w:left="220"/>
              <w:spacing w:after="0"/>
              <w:rPr>
                <w:sz w:val="20"/>
                <w:szCs w:val="20"/>
                <w:color w:val="auto"/>
              </w:rPr>
            </w:pPr>
            <w:r>
              <w:rPr>
                <w:rFonts w:ascii="Arial" w:cs="Arial" w:eastAsia="Arial" w:hAnsi="Arial"/>
                <w:sz w:val="18"/>
                <w:szCs w:val="18"/>
                <w:color w:val="auto"/>
              </w:rPr>
              <w:t>Total capital expenditures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112,751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114,981</w:t>
            </w:r>
          </w:p>
        </w:tc>
      </w:tr>
      <w:tr>
        <w:trPr>
          <w:trHeight w:val="21"/>
        </w:trPr>
        <w:tc>
          <w:tcPr>
            <w:tcW w:w="3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categorize our capital expenditures as either (i) success-based, (ii) maintenance, or (iii)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(except for Growth Capital Improvements), to reimburse growth capital expenditures in certain of our lease arrangements where we are the lessor.</w:t>
      </w:r>
    </w:p>
    <w:p>
      <w:pPr>
        <w:spacing w:after="0" w:line="195"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Uniti’s total annual reimbursement commitments to Windstream for the Growth Capital Improvements is discussed above in this Part I, Item 2 “Management’s Discussion and Analysis of Financial Condition and Results of Operations” in “Liquidity and Capital Resources—Windstream Leases.” Growth Capital Improvements are treated as success-based capital improvements based on the rents paid with respect to such amounts.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If circumstances warrant, we may need to take measures to conserve cash, which may include a suspension, delay or reduction in success-based capital expenditures.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gridSpan w:val="2"/>
            <w:vMerge w:val="restart"/>
          </w:tcPr>
          <w:p>
            <w:pPr>
              <w:ind w:left="20"/>
              <w:spacing w:after="0"/>
              <w:rPr>
                <w:sz w:val="20"/>
                <w:szCs w:val="20"/>
                <w:color w:val="auto"/>
              </w:rPr>
            </w:pPr>
            <w:r>
              <w:rPr>
                <w:rFonts w:ascii="Arial" w:cs="Arial" w:eastAsia="Arial" w:hAnsi="Arial"/>
                <w:sz w:val="14"/>
                <w:szCs w:val="14"/>
                <w:color w:val="auto"/>
              </w:rPr>
              <w:t>Period</w:t>
            </w:r>
          </w:p>
        </w:tc>
        <w:tc>
          <w:tcPr>
            <w:tcW w:w="23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2"/>
              </w:rPr>
              <w:t>Payment Date</w:t>
            </w: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Cash Dividend Per</w:t>
            </w:r>
          </w:p>
        </w:tc>
        <w:tc>
          <w:tcPr>
            <w:tcW w:w="2020" w:type="dxa"/>
            <w:vAlign w:val="bottom"/>
            <w:vMerge w:val="restart"/>
          </w:tcPr>
          <w:p>
            <w:pPr>
              <w:jc w:val="center"/>
              <w:spacing w:after="0"/>
              <w:rPr>
                <w:sz w:val="20"/>
                <w:szCs w:val="20"/>
                <w:color w:val="auto"/>
              </w:rPr>
            </w:pPr>
            <w:r>
              <w:rPr>
                <w:rFonts w:ascii="Arial" w:cs="Arial" w:eastAsia="Arial" w:hAnsi="Arial"/>
                <w:sz w:val="14"/>
                <w:szCs w:val="14"/>
                <w:color w:val="auto"/>
                <w:w w:val="91"/>
              </w:rPr>
              <w:t>Record Date</w:t>
            </w:r>
          </w:p>
        </w:tc>
        <w:tc>
          <w:tcPr>
            <w:tcW w:w="0" w:type="dxa"/>
            <w:vAlign w:val="bottom"/>
          </w:tcPr>
          <w:p>
            <w:pPr>
              <w:spacing w:after="0"/>
              <w:rPr>
                <w:sz w:val="1"/>
                <w:szCs w:val="1"/>
                <w:color w:val="auto"/>
              </w:rPr>
            </w:pPr>
          </w:p>
        </w:tc>
      </w:tr>
      <w:tr>
        <w:trPr>
          <w:trHeight w:val="188"/>
        </w:trPr>
        <w:tc>
          <w:tcPr>
            <w:tcW w:w="5320" w:type="dxa"/>
            <w:vAlign w:val="bottom"/>
            <w:gridSpan w:val="2"/>
            <w:vMerge w:val="continue"/>
          </w:tcPr>
          <w:p>
            <w:pPr>
              <w:spacing w:after="0"/>
              <w:rPr>
                <w:sz w:val="16"/>
                <w:szCs w:val="16"/>
                <w:color w:val="auto"/>
              </w:rPr>
            </w:pPr>
          </w:p>
        </w:tc>
        <w:tc>
          <w:tcPr>
            <w:tcW w:w="23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Share</w:t>
            </w:r>
          </w:p>
        </w:tc>
        <w:tc>
          <w:tcPr>
            <w:tcW w:w="2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2023 - March 31, 2023</w:t>
            </w:r>
          </w:p>
        </w:tc>
        <w:tc>
          <w:tcPr>
            <w:tcW w:w="80" w:type="dxa"/>
            <w:vAlign w:val="bottom"/>
            <w:tcBorders>
              <w:top w:val="single" w:sz="8" w:color="CCEEFF"/>
            </w:tcBorders>
            <w:shd w:val="clear" w:color="auto" w:fill="CCEEFF"/>
          </w:tcPr>
          <w:p>
            <w:pPr>
              <w:spacing w:after="0"/>
              <w:rPr>
                <w:sz w:val="19"/>
                <w:szCs w:val="19"/>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April 14, 2023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March 31, 2023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the ongoing COVID-19 pandemic, we may take further measures to conserve cash, which may include a suspension, delay or reduction in our dividend.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As of March 31, 2023, there has been no material change to these estimates.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See Note 2 of Notes to Condensed Consolidated Financial Statements in Part I Item 1 of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from the information reported under Item 7A of our Annual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established disclosure controls and procedures, as such term is defined in Rule 13a-15(e)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78"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March 31, 2023, and based on this evaluation, our principal executive officer and principal financial officer concluded that our disclosure controls and procedures were effective as of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 13a-15(f) under the Exchange Act, that occurred during the quarter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37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41" w:right="4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 description of legal proceedings can be found in Note 13 - Commitments and Contingencies to our Condensed Consolidated Financial Statements, included in this report at Part I, Item 1- Financial Statements, and is incorporated by reference into this Item 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the risk factors affecting our business that were discussed in Part I, “Item 1A. Risk Factors” in our Annual Report.</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The table below provides information regarding shares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Total Number of</w:t>
            </w:r>
          </w:p>
        </w:tc>
        <w:tc>
          <w:tcPr>
            <w:tcW w:w="80" w:type="dxa"/>
            <w:vAlign w:val="bottom"/>
          </w:tcPr>
          <w:p>
            <w:pPr>
              <w:spacing w:after="0"/>
              <w:rPr>
                <w:sz w:val="12"/>
                <w:szCs w:val="12"/>
                <w:color w:val="auto"/>
              </w:rPr>
            </w:pP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Average Price Paid per</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5"/>
        </w:trPr>
        <w:tc>
          <w:tcPr>
            <w:tcW w:w="4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1"/>
                <w:szCs w:val="11"/>
                <w:color w:val="auto"/>
              </w:rPr>
            </w:pPr>
          </w:p>
        </w:tc>
        <w:tc>
          <w:tcPr>
            <w:tcW w:w="1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203"/>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Period</w:t>
            </w:r>
          </w:p>
        </w:tc>
        <w:tc>
          <w:tcPr>
            <w:tcW w:w="1480" w:type="dxa"/>
            <w:vAlign w:val="bottom"/>
          </w:tcPr>
          <w:p>
            <w:pPr>
              <w:jc w:val="right"/>
              <w:ind w:right="116"/>
              <w:spacing w:after="0"/>
              <w:rPr>
                <w:sz w:val="20"/>
                <w:szCs w:val="20"/>
                <w:color w:val="auto"/>
              </w:rPr>
            </w:pPr>
            <w:r>
              <w:rPr>
                <w:rFonts w:ascii="Arial" w:cs="Arial" w:eastAsia="Arial" w:hAnsi="Arial"/>
                <w:sz w:val="14"/>
                <w:szCs w:val="14"/>
                <w:b w:val="1"/>
                <w:bCs w:val="1"/>
                <w:color w:val="auto"/>
              </w:rPr>
              <w:t>Shares Purchased</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ind w:left="200"/>
              <w:spacing w:after="0" w:line="202"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8"/>
                <w:szCs w:val="18"/>
                <w:b w:val="1"/>
                <w:bCs w:val="1"/>
                <w:color w:val="auto"/>
                <w:vertAlign w:val="superscript"/>
              </w:rPr>
              <w:t>(1)</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23"/>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2023 to January 31, 2023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February 1, 2023 to February 28, 2023</w:t>
            </w:r>
          </w:p>
        </w:tc>
        <w:tc>
          <w:tcPr>
            <w:tcW w:w="1480" w:type="dxa"/>
            <w:vAlign w:val="bottom"/>
          </w:tcPr>
          <w:p>
            <w:pPr>
              <w:jc w:val="right"/>
              <w:spacing w:after="0"/>
              <w:rPr>
                <w:sz w:val="20"/>
                <w:szCs w:val="20"/>
                <w:color w:val="auto"/>
              </w:rPr>
            </w:pPr>
            <w:r>
              <w:rPr>
                <w:rFonts w:ascii="Arial" w:cs="Arial" w:eastAsia="Arial" w:hAnsi="Arial"/>
                <w:sz w:val="18"/>
                <w:szCs w:val="18"/>
                <w:color w:val="auto"/>
              </w:rPr>
              <w:t>124,702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9"/>
                <w:szCs w:val="19"/>
                <w:color w:val="auto"/>
              </w:rPr>
            </w:pPr>
          </w:p>
        </w:tc>
        <w:tc>
          <w:tcPr>
            <w:tcW w:w="1480" w:type="dxa"/>
            <w:vAlign w:val="bottom"/>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2023 to March 31, 2023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93,971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218,673</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19"/>
                <w:szCs w:val="19"/>
                <w:color w:val="auto"/>
              </w:rPr>
            </w:pPr>
          </w:p>
        </w:tc>
        <w:tc>
          <w:tcPr>
            <w:tcW w:w="148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360" w:firstLine="8"/>
        <w:spacing w:after="0" w:line="232" w:lineRule="auto"/>
        <w:tabs>
          <w:tab w:leader="none" w:pos="208" w:val="left"/>
        </w:tabs>
        <w:numPr>
          <w:ilvl w:val="0"/>
          <w:numId w:val="8"/>
        </w:numPr>
        <w:rPr>
          <w:rFonts w:ascii="Arial" w:cs="Arial" w:eastAsia="Arial" w:hAnsi="Arial"/>
          <w:sz w:val="24"/>
          <w:szCs w:val="24"/>
          <w:color w:val="auto"/>
          <w:vertAlign w:val="superscript"/>
        </w:rPr>
      </w:pPr>
      <w:r>
        <w:rPr>
          <w:rFonts w:ascii="Arial" w:cs="Arial" w:eastAsia="Arial" w:hAnsi="Arial"/>
          <w:sz w:val="16"/>
          <w:szCs w:val="16"/>
          <w:color w:val="auto"/>
        </w:rPr>
        <w:t>The average price paid per share is the weighted average of the fair market prices at which we calculated the number of shares withheld to cover tax withholdings for the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6220" w:type="dxa"/>
            <w:vAlign w:val="bottom"/>
            <w:gridSpan w:val="16"/>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6"/>
        </w:trPr>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3"/>
              </w:rPr>
            </w:pPr>
            <w:hyperlink r:id="rId72">
              <w:r>
                <w:rPr>
                  <w:rFonts w:ascii="Arial" w:cs="Arial" w:eastAsia="Arial" w:hAnsi="Arial"/>
                  <w:sz w:val="18"/>
                  <w:szCs w:val="18"/>
                  <w:color w:val="0000FF"/>
                  <w:w w:val="93"/>
                </w:rPr>
                <w:t>Indenture, dated as February 14, 2023, by and among Uniti Group LP, Uniti Fiber Holdings Inc., Uniti Group Finance 2019 Inc. and</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89"/>
              </w:rPr>
            </w:pPr>
            <w:hyperlink r:id="rId72">
              <w:r>
                <w:rPr>
                  <w:rFonts w:ascii="Arial" w:cs="Arial" w:eastAsia="Arial" w:hAnsi="Arial"/>
                  <w:sz w:val="18"/>
                  <w:szCs w:val="18"/>
                  <w:color w:val="0000FF"/>
                  <w:w w:val="89"/>
                </w:rPr>
                <w:t>CSL Capital, LLC, as issuers, the guarantors party thereto, and Deutsche Bank Trust Company Americas, as trustee and collateral</w:t>
              </w:r>
            </w:hyperlink>
          </w:p>
        </w:tc>
        <w:tc>
          <w:tcPr>
            <w:tcW w:w="160" w:type="dxa"/>
            <w:vAlign w:val="bottom"/>
            <w:tcBorders>
              <w:top w:val="single" w:sz="8" w:color="0000FF"/>
            </w:tcBorders>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FF"/>
                <w:w w:val="94"/>
              </w:rPr>
            </w:pPr>
            <w:hyperlink r:id="rId72">
              <w:r>
                <w:rPr>
                  <w:rFonts w:ascii="Arial" w:cs="Arial" w:eastAsia="Arial" w:hAnsi="Arial"/>
                  <w:sz w:val="18"/>
                  <w:szCs w:val="18"/>
                  <w:color w:val="0000FF"/>
                  <w:w w:val="94"/>
                </w:rPr>
                <w:t>agent, governing the 10.50% Senior Secured Notes due 2028 (incorporated by reference to Exhibit 4.1 to the Company’s Current</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80" w:type="dxa"/>
            <w:vAlign w:val="bottom"/>
            <w:tcBorders>
              <w:top w:val="single" w:sz="8" w:color="0000FF"/>
              <w:bottom w:val="single" w:sz="8" w:color="0000FF"/>
            </w:tcBorders>
            <w:gridSpan w:val="4"/>
          </w:tcPr>
          <w:p>
            <w:pPr>
              <w:spacing w:after="0" w:line="182" w:lineRule="exact"/>
              <w:rPr>
                <w:rFonts w:ascii="Arial" w:cs="Arial" w:eastAsia="Arial" w:hAnsi="Arial"/>
                <w:sz w:val="18"/>
                <w:szCs w:val="18"/>
                <w:color w:val="0000FF"/>
                <w:w w:val="91"/>
              </w:rPr>
            </w:pPr>
            <w:hyperlink r:id="rId72">
              <w:r>
                <w:rPr>
                  <w:rFonts w:ascii="Arial" w:cs="Arial" w:eastAsia="Arial" w:hAnsi="Arial"/>
                  <w:sz w:val="18"/>
                  <w:szCs w:val="18"/>
                  <w:color w:val="0000FF"/>
                  <w:w w:val="91"/>
                </w:rPr>
                <w:t>Report on Form 8-K filed with the SEC on February 14, 2023 (File No. 001-36708))</w:t>
              </w:r>
            </w:hyperlink>
          </w:p>
        </w:tc>
        <w:tc>
          <w:tcPr>
            <w:tcW w:w="3180" w:type="dxa"/>
            <w:vAlign w:val="bottom"/>
            <w:tcBorders>
              <w:top w:val="single" w:sz="8" w:color="0000FF"/>
            </w:tcBorders>
            <w:gridSpan w:val="3"/>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36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5"/>
              </w:rPr>
            </w:pPr>
            <w:hyperlink r:id="rId72">
              <w:r>
                <w:rPr>
                  <w:rFonts w:ascii="Arial" w:cs="Arial" w:eastAsia="Arial" w:hAnsi="Arial"/>
                  <w:sz w:val="18"/>
                  <w:szCs w:val="18"/>
                  <w:color w:val="0000FF"/>
                  <w:w w:val="95"/>
                </w:rPr>
                <w:t>Form of 10.50% Senior Secured Notes due 2028 (included in Exhibit 4.12 above) (incorporated by reference to Exhibit 4.2 to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72">
              <w:r>
                <w:rPr>
                  <w:rFonts w:ascii="Arial" w:cs="Arial" w:eastAsia="Arial" w:hAnsi="Arial"/>
                  <w:sz w:val="18"/>
                  <w:szCs w:val="18"/>
                  <w:color w:val="0000FF"/>
                </w:rPr>
                <w:t>Company’s Current Report on Form 8-K dated and filed with the SEC as of February 14, 2023 (File No. 001-36708))</w:t>
              </w:r>
            </w:hyperlink>
          </w:p>
        </w:tc>
        <w:tc>
          <w:tcPr>
            <w:tcW w:w="180" w:type="dxa"/>
            <w:vAlign w:val="bottom"/>
            <w:gridSpan w:val="2"/>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36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rFonts w:ascii="Arial" w:cs="Arial" w:eastAsia="Arial" w:hAnsi="Arial"/>
                <w:sz w:val="18"/>
                <w:szCs w:val="18"/>
                <w:color w:val="0000FF"/>
                <w:w w:val="93"/>
              </w:rPr>
            </w:pPr>
            <w:hyperlink r:id="rId73">
              <w:r>
                <w:rPr>
                  <w:rFonts w:ascii="Arial" w:cs="Arial" w:eastAsia="Arial" w:hAnsi="Arial"/>
                  <w:sz w:val="18"/>
                  <w:szCs w:val="18"/>
                  <w:color w:val="0000FF"/>
                  <w:w w:val="93"/>
                </w:rPr>
                <w:t>Amendment No. 8 to the Credit Agreement, dated as of March 24, 2023, among Uniti Group LP, Uniti Group Finance Inc. and CSL</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80" w:type="dxa"/>
            <w:vAlign w:val="bottom"/>
            <w:tcBorders>
              <w:top w:val="single" w:sz="8" w:color="0000FF"/>
              <w:bottom w:val="single" w:sz="8" w:color="0000FF"/>
            </w:tcBorders>
            <w:gridSpan w:val="10"/>
          </w:tcPr>
          <w:p>
            <w:pPr>
              <w:spacing w:after="0" w:line="182" w:lineRule="exact"/>
              <w:rPr>
                <w:rFonts w:ascii="Arial" w:cs="Arial" w:eastAsia="Arial" w:hAnsi="Arial"/>
                <w:sz w:val="18"/>
                <w:szCs w:val="18"/>
                <w:color w:val="0000FF"/>
                <w:w w:val="89"/>
              </w:rPr>
            </w:pPr>
            <w:hyperlink r:id="rId73">
              <w:r>
                <w:rPr>
                  <w:rFonts w:ascii="Arial" w:cs="Arial" w:eastAsia="Arial" w:hAnsi="Arial"/>
                  <w:sz w:val="18"/>
                  <w:szCs w:val="18"/>
                  <w:color w:val="0000FF"/>
                  <w:w w:val="89"/>
                </w:rPr>
                <w:t>Capital LLC, as borrowers, the guarantor party thereto, the lenders party thereto, and Bank of America, N.A., as administrative agent</w:t>
              </w:r>
            </w:hyperlink>
          </w:p>
        </w:tc>
        <w:tc>
          <w:tcPr>
            <w:tcW w:w="60" w:type="dxa"/>
            <w:vAlign w:val="bottom"/>
            <w:tcBorders>
              <w:bottom w:val="single" w:sz="8" w:color="0000FF"/>
            </w:tcBorders>
            <w:gridSpan w:val="2"/>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60" w:type="dxa"/>
            <w:vAlign w:val="bottom"/>
            <w:gridSpan w:val="18"/>
          </w:tcPr>
          <w:p>
            <w:pPr>
              <w:spacing w:after="0" w:line="196" w:lineRule="exact"/>
              <w:rPr>
                <w:rFonts w:ascii="Arial" w:cs="Arial" w:eastAsia="Arial" w:hAnsi="Arial"/>
                <w:sz w:val="18"/>
                <w:szCs w:val="18"/>
                <w:color w:val="0000FF"/>
                <w:w w:val="92"/>
              </w:rPr>
            </w:pPr>
            <w:hyperlink r:id="rId73">
              <w:r>
                <w:rPr>
                  <w:rFonts w:ascii="Arial" w:cs="Arial" w:eastAsia="Arial" w:hAnsi="Arial"/>
                  <w:sz w:val="18"/>
                  <w:szCs w:val="18"/>
                  <w:color w:val="0000FF"/>
                  <w:w w:val="92"/>
                </w:rPr>
                <w:t>and collateral agent (incorporated by reference to Exhibit 10.1 to the Company’s Current Report on Form 8-K dated and filed with the</w:t>
              </w:r>
            </w:hyperlink>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0"/>
              </w:rPr>
            </w:pPr>
            <w:hyperlink r:id="rId73">
              <w:r>
                <w:rPr>
                  <w:rFonts w:ascii="Arial" w:cs="Arial" w:eastAsia="Arial" w:hAnsi="Arial"/>
                  <w:sz w:val="18"/>
                  <w:szCs w:val="18"/>
                  <w:color w:val="0000FF"/>
                  <w:w w:val="90"/>
                </w:rPr>
                <w:t>SEC as of March 27, 2023 (File No. 001-36708))</w:t>
              </w:r>
            </w:hyperlink>
          </w:p>
        </w:tc>
        <w:tc>
          <w:tcPr>
            <w:tcW w:w="6100" w:type="dxa"/>
            <w:vAlign w:val="bottom"/>
            <w:tcBorders>
              <w:top w:val="single" w:sz="8" w:color="0000FF"/>
            </w:tcBorders>
            <w:gridSpan w:val="15"/>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136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1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0"/>
              </w:rPr>
              <w:t>Uniti Group Inc. 2015 Equity Incentive Plan, as amended and restated April 11, 2023</w:t>
            </w:r>
          </w:p>
        </w:tc>
        <w:tc>
          <w:tcPr>
            <w:tcW w:w="36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36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EE"/>
                <w:w w:val="92"/>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0"/>
              </w:rPr>
              <w:t>Adopted Pursuant to Section 302 of the Sarbanes-Oxley Act of 2002.</w:t>
            </w:r>
          </w:p>
        </w:tc>
        <w:tc>
          <w:tcPr>
            <w:tcW w:w="4640" w:type="dxa"/>
            <w:vAlign w:val="bottom"/>
            <w:tcBorders>
              <w:top w:val="single" w:sz="8" w:color="0000EE"/>
            </w:tcBorders>
            <w:gridSpan w:val="13"/>
          </w:tcPr>
          <w:p>
            <w:pPr>
              <w:spacing w:after="0"/>
              <w:rPr>
                <w:sz w:val="15"/>
                <w:szCs w:val="15"/>
                <w:color w:val="auto"/>
              </w:rPr>
            </w:pPr>
          </w:p>
        </w:tc>
        <w:tc>
          <w:tcPr>
            <w:tcW w:w="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136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EE"/>
                <w:w w:val="92"/>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80" w:type="dxa"/>
            <w:vAlign w:val="bottom"/>
            <w:tcBorders>
              <w:top w:val="single" w:sz="8" w:color="0000EE"/>
              <w:bottom w:val="single" w:sz="8" w:color="0000EE"/>
            </w:tcBorders>
            <w:gridSpan w:val="3"/>
          </w:tcPr>
          <w:p>
            <w:pPr>
              <w:spacing w:after="0" w:line="182" w:lineRule="exact"/>
              <w:rPr>
                <w:sz w:val="20"/>
                <w:szCs w:val="20"/>
                <w:color w:val="auto"/>
              </w:rPr>
            </w:pPr>
            <w:r>
              <w:rPr>
                <w:rFonts w:ascii="Arial" w:cs="Arial" w:eastAsia="Arial" w:hAnsi="Arial"/>
                <w:sz w:val="18"/>
                <w:szCs w:val="18"/>
                <w:color w:val="0000EE"/>
                <w:w w:val="90"/>
              </w:rPr>
              <w:t>Adopted Pursuant to Section 302 of the Sarbanes-Oxley Act of 2002.</w:t>
            </w:r>
          </w:p>
        </w:tc>
        <w:tc>
          <w:tcPr>
            <w:tcW w:w="4580" w:type="dxa"/>
            <w:vAlign w:val="bottom"/>
            <w:tcBorders>
              <w:top w:val="single" w:sz="8" w:color="0000EE"/>
            </w:tcBorders>
            <w:gridSpan w:val="10"/>
          </w:tcPr>
          <w:p>
            <w:pPr>
              <w:spacing w:after="0"/>
              <w:rPr>
                <w:sz w:val="15"/>
                <w:szCs w:val="15"/>
                <w:color w:val="auto"/>
              </w:rPr>
            </w:pPr>
          </w:p>
        </w:tc>
        <w:tc>
          <w:tcPr>
            <w:tcW w:w="40" w:type="dxa"/>
            <w:vAlign w:val="bottom"/>
            <w:gridSpan w:val="2"/>
          </w:tcPr>
          <w:p>
            <w:pPr>
              <w:spacing w:after="0"/>
              <w:rPr>
                <w:sz w:val="15"/>
                <w:szCs w:val="15"/>
                <w:color w:val="auto"/>
              </w:rPr>
            </w:pP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136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EE"/>
                <w:w w:val="92"/>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82"/>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2"/>
              </w:rPr>
              <w:t>Oxley Act of 2002.</w:t>
            </w:r>
          </w:p>
        </w:tc>
        <w:tc>
          <w:tcPr>
            <w:tcW w:w="8220" w:type="dxa"/>
            <w:vAlign w:val="bottom"/>
            <w:tcBorders>
              <w:top w:val="single" w:sz="8" w:color="0000EE"/>
            </w:tcBorders>
            <w:gridSpan w:val="14"/>
          </w:tcPr>
          <w:p>
            <w:pPr>
              <w:spacing w:after="0"/>
              <w:rPr>
                <w:sz w:val="15"/>
                <w:szCs w:val="15"/>
                <w:color w:val="auto"/>
              </w:rPr>
            </w:pPr>
          </w:p>
        </w:tc>
        <w:tc>
          <w:tcPr>
            <w:tcW w:w="1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136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0000EE"/>
                <w:w w:val="92"/>
              </w:rPr>
              <w:t>Certification of Principal Financial Officer Pursuant to 18 U.S.C. Section 1350, as Adopted Pursuant to Section 906 of the Sarbanes-</w:t>
            </w:r>
          </w:p>
        </w:tc>
        <w:tc>
          <w:tcPr>
            <w:tcW w:w="0" w:type="dxa"/>
            <w:vAlign w:val="bottom"/>
          </w:tcPr>
          <w:p>
            <w:pPr>
              <w:spacing w:after="0"/>
              <w:rPr>
                <w:sz w:val="1"/>
                <w:szCs w:val="1"/>
                <w:color w:val="auto"/>
              </w:rPr>
            </w:pPr>
          </w:p>
        </w:tc>
      </w:tr>
      <w:tr>
        <w:trPr>
          <w:trHeight w:val="183"/>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2"/>
              </w:rPr>
              <w:t>Oxley Act of 2002.</w:t>
            </w:r>
          </w:p>
        </w:tc>
        <w:tc>
          <w:tcPr>
            <w:tcW w:w="8160" w:type="dxa"/>
            <w:vAlign w:val="bottom"/>
            <w:tcBorders>
              <w:top w:val="single" w:sz="8" w:color="0000EE"/>
            </w:tcBorders>
            <w:gridSpan w:val="11"/>
          </w:tcPr>
          <w:p>
            <w:pPr>
              <w:spacing w:after="0"/>
              <w:rPr>
                <w:sz w:val="15"/>
                <w:szCs w:val="15"/>
                <w:color w:val="auto"/>
              </w:rPr>
            </w:pPr>
          </w:p>
        </w:tc>
        <w:tc>
          <w:tcPr>
            <w:tcW w:w="2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459"/>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432"/>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760" w:type="dxa"/>
            <w:vAlign w:val="bottom"/>
            <w:gridSpan w:val="18"/>
            <w:vMerge w:val="restart"/>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60" w:type="dxa"/>
            <w:vAlign w:val="bottom"/>
            <w:gridSpan w:val="18"/>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146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432"/>
        </w:trPr>
        <w:tc>
          <w:tcPr>
            <w:tcW w:w="136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60" w:type="dxa"/>
            <w:vAlign w:val="bottom"/>
            <w:gridSpan w:val="18"/>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6"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UNITI GROUP INC.</w:t>
      </w:r>
    </w:p>
    <w:p>
      <w:pPr>
        <w:spacing w:after="0" w:line="29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2023</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Paul E. Bullington</w:t>
      </w:r>
    </w:p>
    <w:p>
      <w:pPr>
        <w:ind w:left="4840"/>
        <w:spacing w:after="0" w:line="219" w:lineRule="auto"/>
        <w:rPr>
          <w:sz w:val="20"/>
          <w:szCs w:val="20"/>
          <w:color w:val="auto"/>
        </w:rPr>
      </w:pPr>
      <w:r>
        <w:rPr>
          <w:rFonts w:ascii="Arial" w:cs="Arial" w:eastAsia="Arial" w:hAnsi="Arial"/>
          <w:sz w:val="18"/>
          <w:szCs w:val="18"/>
          <w:b w:val="1"/>
          <w:bCs w:val="1"/>
          <w:color w:val="auto"/>
        </w:rPr>
        <w:t>Senior Vice President – Chief Financial Officer and Treasurer</w:t>
      </w:r>
    </w:p>
    <w:p>
      <w:pPr>
        <w:ind w:left="4840"/>
        <w:spacing w:after="0"/>
        <w:rPr>
          <w:sz w:val="20"/>
          <w:szCs w:val="20"/>
          <w:color w:val="auto"/>
        </w:rPr>
      </w:pPr>
      <w:r>
        <w:rPr>
          <w:rFonts w:ascii="Arial" w:cs="Arial" w:eastAsia="Arial" w:hAnsi="Arial"/>
          <w:sz w:val="18"/>
          <w:szCs w:val="18"/>
          <w:b w:val="1"/>
          <w:bCs w:val="1"/>
          <w:color w:val="auto"/>
        </w:rPr>
        <w:t>(Principal Financial Officer)</w:t>
      </w:r>
    </w:p>
    <w:p>
      <w:pPr>
        <w:spacing w:after="0" w:line="277" w:lineRule="exact"/>
        <w:rPr>
          <w:sz w:val="20"/>
          <w:szCs w:val="20"/>
          <w:color w:val="auto"/>
        </w:rPr>
      </w:pPr>
    </w:p>
    <w:p>
      <w:pPr>
        <w:ind w:left="20"/>
        <w:spacing w:after="0"/>
        <w:tabs>
          <w:tab w:leader="none" w:pos="900" w:val="left"/>
          <w:tab w:leader="none" w:pos="4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4, 2023</w:t>
      </w:r>
      <w:r>
        <w:rPr>
          <w:sz w:val="20"/>
          <w:szCs w:val="20"/>
          <w:color w:val="auto"/>
        </w:rPr>
        <w:tab/>
      </w:r>
      <w:r>
        <w:rPr>
          <w:rFonts w:ascii="Arial" w:cs="Arial" w:eastAsia="Arial" w:hAnsi="Arial"/>
          <w:sz w:val="16"/>
          <w:szCs w:val="16"/>
          <w:color w:val="auto"/>
        </w:rPr>
        <w:t>/s/ Travis T.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14605</wp:posOffset>
            </wp:positionV>
            <wp:extent cx="40716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Travis T. Black</w:t>
      </w:r>
    </w:p>
    <w:p>
      <w:pPr>
        <w:ind w:left="4840"/>
        <w:spacing w:after="0" w:line="219" w:lineRule="auto"/>
        <w:rPr>
          <w:sz w:val="20"/>
          <w:szCs w:val="20"/>
          <w:color w:val="auto"/>
        </w:rPr>
      </w:pPr>
      <w:r>
        <w:rPr>
          <w:rFonts w:ascii="Arial" w:cs="Arial" w:eastAsia="Arial" w:hAnsi="Arial"/>
          <w:sz w:val="18"/>
          <w:szCs w:val="18"/>
          <w:b w:val="1"/>
          <w:bCs w:val="1"/>
          <w:color w:val="auto"/>
        </w:rPr>
        <w:t>Vice President – Chief Accounting Officer</w:t>
      </w:r>
    </w:p>
    <w:p>
      <w:pPr>
        <w:ind w:left="484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00"/>
          </w:cols>
          <w:pgMar w:left="320" w:top="341" w:right="37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225"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400" w:val="left"/>
          <w:tab w:leader="none" w:pos="750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23495</wp:posOffset>
            </wp:positionV>
            <wp:extent cx="35229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39"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8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Paul E. Bullington,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644"/>
        <w:spacing w:after="0" w:line="263" w:lineRule="auto"/>
        <w:tabs>
          <w:tab w:leader="none" w:pos="1297"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644"/>
        <w:spacing w:after="0" w:line="263"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652"/>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644"/>
        <w:spacing w:after="0" w:line="342" w:lineRule="auto"/>
        <w:tabs>
          <w:tab w:leader="none" w:pos="129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644"/>
        <w:spacing w:after="0" w:line="277" w:lineRule="auto"/>
        <w:tabs>
          <w:tab w:leader="none" w:pos="1294"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80"/>
        <w:spacing w:after="0"/>
        <w:rPr>
          <w:sz w:val="20"/>
          <w:szCs w:val="20"/>
          <w:color w:val="auto"/>
        </w:rPr>
      </w:pPr>
      <w:r>
        <w:rPr>
          <w:rFonts w:ascii="Arial" w:cs="Arial" w:eastAsia="Arial" w:hAnsi="Arial"/>
          <w:sz w:val="18"/>
          <w:szCs w:val="18"/>
          <w:b w:val="1"/>
          <w:bCs w:val="1"/>
          <w:color w:val="auto"/>
        </w:rPr>
        <w:t>Senior Vice President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120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0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2023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460" w:hanging="966"/>
        <w:spacing w:after="0"/>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460" w:right="120" w:hanging="966"/>
        <w:spacing w:after="0" w:line="277" w:lineRule="auto"/>
        <w:tabs>
          <w:tab w:leader="none" w:pos="145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46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Kenneth A. Gunderman</w:t>
      </w:r>
    </w:p>
    <w:p>
      <w:pPr>
        <w:spacing w:after="0" w:line="50" w:lineRule="exact"/>
        <w:rPr>
          <w:sz w:val="20"/>
          <w:szCs w:val="20"/>
          <w:color w:val="auto"/>
        </w:rPr>
      </w:pPr>
    </w:p>
    <w:p>
      <w:pPr>
        <w:jc w:val="center"/>
        <w:ind w:left="564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114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March 31, 2023 as filed with the Securities and Exchange Commission on the date hereof (the “Report”), I certify, pursuant to 18 U.S.C. § 1350, as adopted pursuant to § 906 of the Sarbanes-Oxley Act of 2002, to my knowledge, that:</w:t>
      </w:r>
    </w:p>
    <w:p>
      <w:pPr>
        <w:spacing w:after="0" w:line="184" w:lineRule="exact"/>
        <w:rPr>
          <w:sz w:val="20"/>
          <w:szCs w:val="20"/>
          <w:color w:val="auto"/>
        </w:rPr>
      </w:pPr>
    </w:p>
    <w:p>
      <w:pPr>
        <w:ind w:left="1620" w:hanging="964"/>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620" w:right="220" w:hanging="964"/>
        <w:spacing w:after="0" w:line="277" w:lineRule="auto"/>
        <w:tabs>
          <w:tab w:leader="none" w:pos="16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4" w:lineRule="exact"/>
        <w:rPr>
          <w:sz w:val="20"/>
          <w:szCs w:val="20"/>
          <w:color w:val="auto"/>
        </w:rPr>
      </w:pPr>
    </w:p>
    <w:p>
      <w:pPr>
        <w:ind w:left="20"/>
        <w:spacing w:after="0"/>
        <w:tabs>
          <w:tab w:leader="none" w:pos="5360" w:val="left"/>
          <w:tab w:leader="none" w:pos="7660" w:val="left"/>
        </w:tabs>
        <w:rPr>
          <w:sz w:val="20"/>
          <w:szCs w:val="20"/>
          <w:color w:val="auto"/>
        </w:rPr>
      </w:pPr>
      <w:r>
        <w:rPr>
          <w:rFonts w:ascii="Arial" w:cs="Arial" w:eastAsia="Arial" w:hAnsi="Arial"/>
          <w:sz w:val="18"/>
          <w:szCs w:val="18"/>
          <w:color w:val="auto"/>
        </w:rPr>
        <w:t>Date: May 4, 2023</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Paul E. Bullington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23495</wp:posOffset>
            </wp:positionV>
            <wp:extent cx="35401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39"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Paul E. Bullington</w:t>
      </w:r>
    </w:p>
    <w:p>
      <w:pPr>
        <w:spacing w:after="0" w:line="50" w:lineRule="exact"/>
        <w:rPr>
          <w:sz w:val="20"/>
          <w:szCs w:val="20"/>
          <w:color w:val="auto"/>
        </w:rPr>
      </w:pPr>
    </w:p>
    <w:p>
      <w:pPr>
        <w:ind w:left="6640"/>
        <w:spacing w:after="0"/>
        <w:rPr>
          <w:sz w:val="20"/>
          <w:szCs w:val="20"/>
          <w:color w:val="auto"/>
        </w:rPr>
      </w:pPr>
      <w:r>
        <w:rPr>
          <w:rFonts w:ascii="Arial" w:cs="Arial" w:eastAsia="Arial" w:hAnsi="Arial"/>
          <w:sz w:val="18"/>
          <w:szCs w:val="18"/>
          <w:b w:val="1"/>
          <w:bCs w:val="1"/>
          <w:color w:val="auto"/>
        </w:rPr>
        <w:t>Senior Vice President – Chief Financial Officer</w:t>
      </w:r>
    </w:p>
    <w:p>
      <w:pPr>
        <w:spacing w:after="0" w:line="16"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114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20"/>
        <w:spacing w:after="0"/>
        <w:rPr>
          <w:sz w:val="20"/>
          <w:szCs w:val="20"/>
          <w:color w:val="auto"/>
        </w:rPr>
      </w:pPr>
      <w:r>
        <w:rPr>
          <w:rFonts w:ascii="Arial" w:cs="Arial" w:eastAsia="Arial" w:hAnsi="Arial"/>
          <w:sz w:val="20"/>
          <w:szCs w:val="20"/>
          <w:b w:val="1"/>
          <w:bCs w:val="1"/>
          <w:color w:val="auto"/>
        </w:rPr>
        <w:t>UNITI GROUP INC.</w:t>
      </w:r>
    </w:p>
    <w:p>
      <w:pPr>
        <w:ind w:left="4140"/>
        <w:spacing w:after="0" w:line="197" w:lineRule="auto"/>
        <w:rPr>
          <w:sz w:val="20"/>
          <w:szCs w:val="20"/>
          <w:color w:val="auto"/>
        </w:rPr>
      </w:pPr>
      <w:r>
        <w:rPr>
          <w:rFonts w:ascii="Arial" w:cs="Arial" w:eastAsia="Arial" w:hAnsi="Arial"/>
          <w:sz w:val="20"/>
          <w:szCs w:val="20"/>
          <w:b w:val="1"/>
          <w:bCs w:val="1"/>
          <w:color w:val="auto"/>
        </w:rPr>
        <w:t>2015 EQUITY INCENTIVE PLAN</w:t>
      </w:r>
    </w:p>
    <w:p>
      <w:pPr>
        <w:jc w:val="center"/>
        <w:spacing w:after="0"/>
        <w:rPr>
          <w:sz w:val="20"/>
          <w:szCs w:val="20"/>
          <w:color w:val="auto"/>
        </w:rPr>
      </w:pPr>
      <w:r>
        <w:rPr>
          <w:rFonts w:ascii="Arial" w:cs="Arial" w:eastAsia="Arial" w:hAnsi="Arial"/>
          <w:sz w:val="20"/>
          <w:szCs w:val="20"/>
          <w:b w:val="1"/>
          <w:bCs w:val="1"/>
          <w:color w:val="auto"/>
        </w:rPr>
        <w:t>(as amended and restated effective April 11, 2023)</w:t>
      </w:r>
    </w:p>
    <w:p>
      <w:pPr>
        <w:spacing w:after="0" w:line="167" w:lineRule="exact"/>
        <w:rPr>
          <w:sz w:val="20"/>
          <w:szCs w:val="20"/>
          <w:color w:val="auto"/>
        </w:rPr>
      </w:pPr>
    </w:p>
    <w:p>
      <w:pPr>
        <w:ind w:right="180" w:firstLine="449"/>
        <w:spacing w:after="0" w:line="225" w:lineRule="auto"/>
        <w:tabs>
          <w:tab w:leader="none" w:pos="639"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Purpose of the Plan</w:t>
      </w:r>
      <w:r>
        <w:rPr>
          <w:rFonts w:ascii="Arial" w:cs="Arial" w:eastAsia="Arial" w:hAnsi="Arial"/>
          <w:sz w:val="20"/>
          <w:szCs w:val="20"/>
          <w:color w:val="auto"/>
        </w:rPr>
        <w:t>. The purpose of this 2015 Equity Incentive Plan (this “</w:t>
      </w:r>
      <w:r>
        <w:rPr>
          <w:rFonts w:ascii="Arial" w:cs="Arial" w:eastAsia="Arial" w:hAnsi="Arial"/>
          <w:sz w:val="20"/>
          <w:szCs w:val="20"/>
          <w:u w:val="single" w:color="auto"/>
          <w:color w:val="auto"/>
        </w:rPr>
        <w:t>Plan</w:t>
      </w:r>
      <w:r>
        <w:rPr>
          <w:rFonts w:ascii="Arial" w:cs="Arial" w:eastAsia="Arial" w:hAnsi="Arial"/>
          <w:sz w:val="20"/>
          <w:szCs w:val="20"/>
          <w:color w:val="auto"/>
        </w:rPr>
        <w:t>”) is to attract, retain and motivate the officers, key</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consultants and directors of Uniti Group Inc. (the “</w:t>
      </w:r>
      <w:r>
        <w:rPr>
          <w:rFonts w:ascii="Arial" w:cs="Arial" w:eastAsia="Arial" w:hAnsi="Arial"/>
          <w:sz w:val="20"/>
          <w:szCs w:val="20"/>
          <w:u w:val="single" w:color="auto"/>
          <w:color w:val="auto"/>
        </w:rPr>
        <w:t>Company</w:t>
      </w:r>
      <w:r>
        <w:rPr>
          <w:rFonts w:ascii="Arial" w:cs="Arial" w:eastAsia="Arial" w:hAnsi="Arial"/>
          <w:sz w:val="20"/>
          <w:szCs w:val="20"/>
          <w:color w:val="auto"/>
        </w:rPr>
        <w:t>”) and its Affiliates and to provide to such persons incentives and rewards for superior performance and contribution.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20"/>
          <w:szCs w:val="20"/>
          <w:color w:val="auto"/>
        </w:rPr>
        <w:t>The Plan is hereby amended and restated as of April 11, 2023.</w:t>
      </w:r>
    </w:p>
    <w:p>
      <w:pPr>
        <w:spacing w:after="0" w:line="183" w:lineRule="exact"/>
        <w:rPr>
          <w:sz w:val="20"/>
          <w:szCs w:val="20"/>
          <w:color w:val="auto"/>
        </w:rPr>
      </w:pPr>
    </w:p>
    <w:p>
      <w:pPr>
        <w:ind w:left="640" w:hanging="191"/>
        <w:spacing w:after="0"/>
        <w:tabs>
          <w:tab w:leader="none" w:pos="64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Definitions</w:t>
      </w:r>
      <w:r>
        <w:rPr>
          <w:rFonts w:ascii="Arial" w:cs="Arial" w:eastAsia="Arial" w:hAnsi="Arial"/>
          <w:sz w:val="20"/>
          <w:szCs w:val="20"/>
          <w:color w:val="auto"/>
        </w:rPr>
        <w:t>. Capitalized terms used herein have the meanings assigned to such terms in this Section 2.</w:t>
      </w:r>
    </w:p>
    <w:p>
      <w:pPr>
        <w:spacing w:after="0" w:line="181" w:lineRule="exact"/>
        <w:rPr>
          <w:sz w:val="20"/>
          <w:szCs w:val="20"/>
          <w:color w:val="auto"/>
        </w:rPr>
      </w:pPr>
    </w:p>
    <w:p>
      <w:pPr>
        <w:ind w:right="260" w:firstLine="881"/>
        <w:spacing w:after="0" w:line="22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any corporation that is a Subsidiary of the Company and, for purposes other than the grant of Incentive Stock Options, any limited liability company, partnership, corporation, joint venture, or any other entity in which the Company or any such Subsidiary owns an equity interest.</w:t>
      </w:r>
    </w:p>
    <w:p>
      <w:pPr>
        <w:spacing w:after="0" w:line="157" w:lineRule="exact"/>
        <w:rPr>
          <w:sz w:val="20"/>
          <w:szCs w:val="20"/>
          <w:color w:val="auto"/>
        </w:rPr>
      </w:pPr>
    </w:p>
    <w:p>
      <w:pPr>
        <w:ind w:right="280" w:firstLine="881"/>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Laws</w:t>
      </w:r>
      <w:r>
        <w:rPr>
          <w:rFonts w:ascii="Arial" w:cs="Arial" w:eastAsia="Arial" w:hAnsi="Arial"/>
          <w:sz w:val="16"/>
          <w:szCs w:val="16"/>
          <w:color w:val="auto"/>
        </w:rPr>
        <w:t>” means the requirements relating to the administration of equity-based compensation plans under U.S. state corporate laws, U.S. federal and state securities laws, the Code, any stock exchange or quotation system on which the Common Shares are</w:t>
      </w:r>
    </w:p>
    <w:p>
      <w:pPr>
        <w:spacing w:after="0" w:line="1" w:lineRule="exact"/>
        <w:rPr>
          <w:sz w:val="20"/>
          <w:szCs w:val="20"/>
          <w:color w:val="auto"/>
        </w:rPr>
      </w:pPr>
    </w:p>
    <w:p>
      <w:pPr>
        <w:ind w:right="660"/>
        <w:spacing w:after="0" w:line="220" w:lineRule="auto"/>
        <w:rPr>
          <w:sz w:val="20"/>
          <w:szCs w:val="20"/>
          <w:color w:val="auto"/>
        </w:rPr>
      </w:pPr>
      <w:r>
        <w:rPr>
          <w:rFonts w:ascii="Arial" w:cs="Arial" w:eastAsia="Arial" w:hAnsi="Arial"/>
          <w:sz w:val="20"/>
          <w:szCs w:val="20"/>
          <w:color w:val="auto"/>
        </w:rPr>
        <w:t>listed or quoted and the applicable laws of any other country or jurisdiction where Awards are granted under this Plan, in each case as applicable to an Award made hereunder.</w:t>
      </w:r>
    </w:p>
    <w:p>
      <w:pPr>
        <w:spacing w:after="0" w:line="170" w:lineRule="exact"/>
        <w:rPr>
          <w:sz w:val="20"/>
          <w:szCs w:val="20"/>
          <w:color w:val="auto"/>
        </w:rPr>
      </w:pPr>
    </w:p>
    <w:p>
      <w:pPr>
        <w:ind w:right="68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Appreciation Right</w:t>
      </w:r>
      <w:r>
        <w:rPr>
          <w:rFonts w:ascii="Arial" w:cs="Arial" w:eastAsia="Arial" w:hAnsi="Arial"/>
          <w:sz w:val="20"/>
          <w:szCs w:val="20"/>
          <w:color w:val="auto"/>
        </w:rPr>
        <w:t>” means a right granted pursuant to Section 5 or Section 9 of this Plan, and shall include both Tandem Appreciation Rights and Free-Standing Appreciation Rights.</w:t>
      </w:r>
    </w:p>
    <w:p>
      <w:pPr>
        <w:spacing w:after="0" w:line="155" w:lineRule="exact"/>
        <w:rPr>
          <w:sz w:val="20"/>
          <w:szCs w:val="20"/>
          <w:color w:val="auto"/>
        </w:rPr>
      </w:pPr>
    </w:p>
    <w:p>
      <w:pPr>
        <w:ind w:right="46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Award</w:t>
      </w:r>
      <w:r>
        <w:rPr>
          <w:rFonts w:ascii="Arial" w:cs="Arial" w:eastAsia="Arial" w:hAnsi="Arial"/>
          <w:sz w:val="20"/>
          <w:szCs w:val="20"/>
          <w:color w:val="auto"/>
        </w:rPr>
        <w:t>” means an award of Option Rights, Appreciation Rights, Performance Units, Performance Shares, Restricted Shares, Restricted Stock Units, or other awards granted under Section 10 of this Plan.</w:t>
      </w:r>
    </w:p>
    <w:p>
      <w:pPr>
        <w:spacing w:after="0" w:line="155" w:lineRule="exact"/>
        <w:rPr>
          <w:sz w:val="20"/>
          <w:szCs w:val="20"/>
          <w:color w:val="auto"/>
        </w:rPr>
      </w:pPr>
    </w:p>
    <w:p>
      <w:pPr>
        <w:ind w:right="2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Price</w:t>
      </w:r>
      <w:r>
        <w:rPr>
          <w:rFonts w:ascii="Arial" w:cs="Arial" w:eastAsia="Arial" w:hAnsi="Arial"/>
          <w:sz w:val="20"/>
          <w:szCs w:val="20"/>
          <w:color w:val="auto"/>
        </w:rPr>
        <w:t>” means the price to be used as the basis for determining the Spread upon the exercise of a Free-Standing Appreciation Right or a Tandem Appreciation Right.</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Board</w:t>
      </w:r>
      <w:r>
        <w:rPr>
          <w:rFonts w:ascii="Arial" w:cs="Arial" w:eastAsia="Arial" w:hAnsi="Arial"/>
          <w:sz w:val="20"/>
          <w:szCs w:val="20"/>
          <w:color w:val="auto"/>
        </w:rPr>
        <w:t>” means the Board of Directors of the Company.</w:t>
      </w:r>
    </w:p>
    <w:p>
      <w:pPr>
        <w:spacing w:after="0" w:line="175" w:lineRule="exact"/>
        <w:rPr>
          <w:sz w:val="20"/>
          <w:szCs w:val="20"/>
          <w:color w:val="auto"/>
        </w:rPr>
      </w:pPr>
    </w:p>
    <w:p>
      <w:pPr>
        <w:ind w:firstLine="88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means, except as otherwise provided in an Evidence of Award: (a) the failure of the Participant to make a good faith effort to substantially perform his or her duties (other than any such failure due to the Participant’s Disability) or Participant’s insubordination</w:t>
      </w:r>
    </w:p>
    <w:p>
      <w:pPr>
        <w:ind w:right="20"/>
        <w:spacing w:after="0" w:line="226" w:lineRule="auto"/>
        <w:rPr>
          <w:sz w:val="20"/>
          <w:szCs w:val="20"/>
          <w:color w:val="auto"/>
        </w:rPr>
      </w:pPr>
      <w:r>
        <w:rPr>
          <w:rFonts w:ascii="Arial" w:cs="Arial" w:eastAsia="Arial" w:hAnsi="Arial"/>
          <w:sz w:val="18"/>
          <w:szCs w:val="18"/>
          <w:color w:val="auto"/>
        </w:rPr>
        <w:t>with respect to a specific directive of the Participant’s supervisor or officer (or, if such Participant reports directly to the Board, the Board) to which the Participant reports directly or indirectly; (b) Participant’s dishonesty, gross negligence in the performance of the duties of his or her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employment or engaging in willful misconduct, which in the case of any such gross negligence, has caused or is reasonably expected to result</w:t>
      </w:r>
    </w:p>
    <w:p>
      <w:pPr>
        <w:spacing w:after="0" w:line="19"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in direct or indirect material injury to the Company or any of its Affiliates; (c) breach by Participant of any material provision of any written agreement with the Company or any of its Affiliates or material violation of any Company policy applicable to Participant; or (d)</w:t>
      </w:r>
    </w:p>
    <w:p>
      <w:pPr>
        <w:spacing w:after="0" w:line="224" w:lineRule="auto"/>
        <w:rPr>
          <w:sz w:val="20"/>
          <w:szCs w:val="20"/>
          <w:color w:val="auto"/>
        </w:rPr>
      </w:pPr>
      <w:r>
        <w:rPr>
          <w:rFonts w:ascii="Arial" w:cs="Arial" w:eastAsia="Arial" w:hAnsi="Arial"/>
          <w:sz w:val="19"/>
          <w:szCs w:val="19"/>
          <w:color w:val="auto"/>
        </w:rPr>
        <w:t>Participant’s commission of a crime that constitutes a felony or other crime of moral turpitude or fraud. If, subsequent to Participant’s</w:t>
      </w:r>
    </w:p>
    <w:p>
      <w:pPr>
        <w:ind w:right="340"/>
        <w:spacing w:after="0" w:line="255" w:lineRule="auto"/>
        <w:rPr>
          <w:sz w:val="20"/>
          <w:szCs w:val="20"/>
          <w:color w:val="auto"/>
        </w:rPr>
      </w:pPr>
      <w:r>
        <w:rPr>
          <w:rFonts w:ascii="Arial" w:cs="Arial" w:eastAsia="Arial" w:hAnsi="Arial"/>
          <w:sz w:val="16"/>
          <w:szCs w:val="16"/>
          <w:color w:val="auto"/>
        </w:rPr>
        <w:t>termination of employment hereunder for other than Cause, it is determined in good faith by the Company that Participant’s employment could have been terminated for Cause hereunder, Participant’s employment shall, at the election of the Company, be deemed to have been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terminated for Cause retroactively to the date the events giving rise to Cause occurred.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except as otherwise provided in an Evidence of Award, the occurrence of any of the following:</w:t>
      </w:r>
    </w:p>
    <w:p>
      <w:pPr>
        <w:spacing w:after="0" w:line="187" w:lineRule="exact"/>
        <w:rPr>
          <w:sz w:val="20"/>
          <w:szCs w:val="20"/>
          <w:color w:val="auto"/>
        </w:rPr>
      </w:pPr>
    </w:p>
    <w:p>
      <w:pPr>
        <w:ind w:right="100" w:firstLine="1432"/>
        <w:spacing w:after="0" w:line="236" w:lineRule="auto"/>
        <w:rPr>
          <w:sz w:val="20"/>
          <w:szCs w:val="20"/>
          <w:color w:val="auto"/>
        </w:rPr>
      </w:pPr>
      <w:r>
        <w:rPr>
          <w:rFonts w:ascii="Arial" w:cs="Arial" w:eastAsia="Arial" w:hAnsi="Arial"/>
          <w:sz w:val="20"/>
          <w:szCs w:val="20"/>
          <w:color w:val="auto"/>
        </w:rPr>
        <w:t>a. any sale, lease, exchange or other transfer (in one transaction or a series of related transactions) of all or substantially all of the assets of the Company to any Person or group of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color w:val="auto"/>
        </w:rPr>
        <w:t>Persons for purposes of Section 13(d) of the Exchange Act (a “</w:t>
      </w:r>
      <w:r>
        <w:rPr>
          <w:rFonts w:ascii="Arial" w:cs="Arial" w:eastAsia="Arial" w:hAnsi="Arial"/>
          <w:sz w:val="20"/>
          <w:szCs w:val="20"/>
          <w:u w:val="single" w:color="auto"/>
          <w:color w:val="auto"/>
        </w:rPr>
        <w:t>Group</w:t>
      </w:r>
      <w:r>
        <w:rPr>
          <w:rFonts w:ascii="Arial" w:cs="Arial" w:eastAsia="Arial" w:hAnsi="Arial"/>
          <w:sz w:val="20"/>
          <w:szCs w:val="20"/>
          <w:color w:val="auto"/>
        </w:rPr>
        <w:t>”), together with any affiliates thereof;</w:t>
      </w:r>
    </w:p>
    <w:p>
      <w:pPr>
        <w:spacing w:after="0" w:line="189" w:lineRule="exact"/>
        <w:rPr>
          <w:sz w:val="20"/>
          <w:szCs w:val="20"/>
          <w:color w:val="auto"/>
        </w:rPr>
      </w:pPr>
    </w:p>
    <w:p>
      <w:pPr>
        <w:ind w:right="40" w:firstLine="1432"/>
        <w:spacing w:after="0" w:line="229" w:lineRule="auto"/>
        <w:rPr>
          <w:sz w:val="20"/>
          <w:szCs w:val="20"/>
          <w:color w:val="auto"/>
        </w:rPr>
      </w:pPr>
      <w:r>
        <w:rPr>
          <w:rFonts w:ascii="Arial" w:cs="Arial" w:eastAsia="Arial" w:hAnsi="Arial"/>
          <w:sz w:val="20"/>
          <w:szCs w:val="20"/>
          <w:color w:val="auto"/>
        </w:rPr>
        <w:t>b. the commencement of the liquidation or dissolution of the Company that occurs following the approval by the holders of capital stock of the Company of any plan or proposal for such liquidation or dissolution of the Company;</w:t>
      </w:r>
    </w:p>
    <w:p>
      <w:pPr>
        <w:spacing w:after="0" w:line="16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 any Person or Group becomes the beneficial owner (within the meaning of Section 13(d) of the Exchange Act), directly</w:t>
      </w:r>
    </w:p>
    <w:p>
      <w:pPr>
        <w:spacing w:after="0" w:line="12"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or indirectly, of shares representing more than 50% of the aggregate voting power of the issued and outstanding stock entitled to vote in the election of directors, managers or trustees of the Company and such Person or Group actually has the power to vote such shares in any such</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election;</w:t>
      </w:r>
    </w:p>
    <w:p>
      <w:pPr>
        <w:spacing w:after="0" w:line="173" w:lineRule="exact"/>
        <w:rPr>
          <w:sz w:val="20"/>
          <w:szCs w:val="20"/>
          <w:color w:val="auto"/>
        </w:rPr>
      </w:pPr>
    </w:p>
    <w:p>
      <w:pPr>
        <w:ind w:right="160" w:firstLine="1432"/>
        <w:spacing w:after="0" w:line="265" w:lineRule="auto"/>
        <w:rPr>
          <w:sz w:val="20"/>
          <w:szCs w:val="20"/>
          <w:color w:val="auto"/>
        </w:rPr>
      </w:pPr>
      <w:r>
        <w:rPr>
          <w:rFonts w:ascii="Arial" w:cs="Arial" w:eastAsia="Arial" w:hAnsi="Arial"/>
          <w:sz w:val="16"/>
          <w:szCs w:val="16"/>
          <w:color w:val="auto"/>
        </w:rPr>
        <w:t>d. the replacement of a majority of the Board over a two-year period from the directors who constituted the Board at the beginning of such period, and such replacement shall not have been approved by a vote of at least a majority of the Board then still in office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who either were members of such Board at the beginning of such period; or</w:t>
      </w:r>
    </w:p>
    <w:p>
      <w:pPr>
        <w:spacing w:after="0" w:line="173" w:lineRule="exact"/>
        <w:rPr>
          <w:sz w:val="20"/>
          <w:szCs w:val="20"/>
          <w:color w:val="auto"/>
        </w:rPr>
      </w:pPr>
    </w:p>
    <w:p>
      <w:pPr>
        <w:ind w:right="20" w:firstLine="1432"/>
        <w:spacing w:after="0" w:line="236" w:lineRule="auto"/>
        <w:rPr>
          <w:sz w:val="20"/>
          <w:szCs w:val="20"/>
          <w:color w:val="auto"/>
        </w:rPr>
      </w:pPr>
      <w:r>
        <w:rPr>
          <w:rFonts w:ascii="Arial" w:cs="Arial" w:eastAsia="Arial" w:hAnsi="Arial"/>
          <w:sz w:val="18"/>
          <w:szCs w:val="18"/>
          <w:color w:val="auto"/>
        </w:rPr>
        <w:t>e. a merger or consolidation of the Company with another entity in which holders of the Common Shares immediately prior to the consummation of the transaction hold, directly or indirectly, immediately following the consummation of the transaction, 50% or less</w:t>
      </w:r>
    </w:p>
    <w:p>
      <w:pPr>
        <w:spacing w:after="0"/>
        <w:rPr>
          <w:sz w:val="20"/>
          <w:szCs w:val="20"/>
          <w:color w:val="auto"/>
        </w:rPr>
      </w:pPr>
      <w:r>
        <w:rPr>
          <w:rFonts w:ascii="Arial" w:cs="Arial" w:eastAsia="Arial" w:hAnsi="Arial"/>
          <w:sz w:val="20"/>
          <w:szCs w:val="20"/>
          <w:color w:val="auto"/>
        </w:rPr>
        <w:t>of the common equity interest in the surviving corporation in such transaction.</w:t>
      </w:r>
    </w:p>
    <w:p>
      <w:pPr>
        <w:spacing w:after="0" w:line="173" w:lineRule="exact"/>
        <w:rPr>
          <w:sz w:val="20"/>
          <w:szCs w:val="20"/>
          <w:color w:val="auto"/>
        </w:rPr>
      </w:pPr>
    </w:p>
    <w:p>
      <w:pPr>
        <w:ind w:firstLine="881"/>
        <w:spacing w:after="0" w:line="236" w:lineRule="auto"/>
        <w:rPr>
          <w:sz w:val="20"/>
          <w:szCs w:val="20"/>
          <w:color w:val="auto"/>
        </w:rPr>
      </w:pPr>
      <w:r>
        <w:rPr>
          <w:rFonts w:ascii="Arial" w:cs="Arial" w:eastAsia="Arial" w:hAnsi="Arial"/>
          <w:sz w:val="18"/>
          <w:szCs w:val="18"/>
          <w:color w:val="auto"/>
        </w:rPr>
        <w:t>Notwithstanding anything herein to the contrary, an event described above shall be considered a Change in Control hereunder only if it also constitutes a “change in control event” under Section 409A of the Code, to the extent necessary to avoid the adverse tax</w:t>
      </w:r>
    </w:p>
    <w:p>
      <w:pPr>
        <w:spacing w:after="0"/>
        <w:rPr>
          <w:sz w:val="20"/>
          <w:szCs w:val="20"/>
          <w:color w:val="auto"/>
        </w:rPr>
      </w:pPr>
      <w:r>
        <w:rPr>
          <w:rFonts w:ascii="Arial" w:cs="Arial" w:eastAsia="Arial" w:hAnsi="Arial"/>
          <w:sz w:val="20"/>
          <w:szCs w:val="20"/>
          <w:color w:val="auto"/>
        </w:rPr>
        <w:t>consequences thereunder with respect to any Award subject to Section 409A of the Code.</w:t>
      </w:r>
    </w:p>
    <w:p>
      <w:pPr>
        <w:spacing w:after="0" w:line="173" w:lineRule="exact"/>
        <w:rPr>
          <w:sz w:val="20"/>
          <w:szCs w:val="20"/>
          <w:color w:val="auto"/>
        </w:rPr>
      </w:pPr>
    </w:p>
    <w:p>
      <w:pPr>
        <w:ind w:right="30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and the rules and regulations promulgated thereunder, as such law, rules and regulations may be amended, supplemented or replaced from time to time.</w:t>
      </w:r>
    </w:p>
    <w:p>
      <w:pPr>
        <w:spacing w:after="0" w:line="169" w:lineRule="exact"/>
        <w:rPr>
          <w:sz w:val="20"/>
          <w:szCs w:val="20"/>
          <w:color w:val="auto"/>
        </w:rPr>
      </w:pPr>
    </w:p>
    <w:p>
      <w:pPr>
        <w:ind w:right="64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Committee</w:t>
      </w:r>
      <w:r>
        <w:rPr>
          <w:rFonts w:ascii="Arial" w:cs="Arial" w:eastAsia="Arial" w:hAnsi="Arial"/>
          <w:sz w:val="20"/>
          <w:szCs w:val="20"/>
          <w:color w:val="auto"/>
        </w:rPr>
        <w:t>” means the committee of directors appointed by the Board to administer this Plan. In the absence of a specific appointment, “Committee” means the Compensation Committee of the Board.</w:t>
      </w:r>
    </w:p>
    <w:p>
      <w:pPr>
        <w:spacing w:after="0" w:line="169" w:lineRule="exact"/>
        <w:rPr>
          <w:sz w:val="20"/>
          <w:szCs w:val="20"/>
          <w:color w:val="auto"/>
        </w:rPr>
      </w:pPr>
    </w:p>
    <w:p>
      <w:pPr>
        <w:ind w:right="140" w:firstLine="881"/>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Common Shares</w:t>
      </w:r>
      <w:r>
        <w:rPr>
          <w:rFonts w:ascii="Arial" w:cs="Arial" w:eastAsia="Arial" w:hAnsi="Arial"/>
          <w:sz w:val="19"/>
          <w:szCs w:val="19"/>
          <w:color w:val="auto"/>
        </w:rPr>
        <w:t>” means shares of common stock, par value $0.0001, of the Company or any security into which such Common Shares may be changed by reason of any transaction or event of the type referred to in Section 12 of this Plan.</w:t>
      </w:r>
    </w:p>
    <w:p>
      <w:pPr>
        <w:spacing w:after="0" w:line="140" w:lineRule="exact"/>
        <w:rPr>
          <w:sz w:val="20"/>
          <w:szCs w:val="20"/>
          <w:color w:val="auto"/>
        </w:rPr>
      </w:pPr>
    </w:p>
    <w:p>
      <w:pPr>
        <w:ind w:right="8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Date of Grant</w:t>
      </w:r>
      <w:r>
        <w:rPr>
          <w:rFonts w:ascii="Arial" w:cs="Arial" w:eastAsia="Arial" w:hAnsi="Arial"/>
          <w:sz w:val="20"/>
          <w:szCs w:val="20"/>
          <w:color w:val="auto"/>
        </w:rPr>
        <w:t>” means the date specified by the Committee on which a grant of an Award shall become effective (which date will not be earlier than the date on which the Committee takes action with respect thereto).</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Director</w:t>
      </w:r>
      <w:r>
        <w:rPr>
          <w:rFonts w:ascii="Arial" w:cs="Arial" w:eastAsia="Arial" w:hAnsi="Arial"/>
          <w:sz w:val="20"/>
          <w:szCs w:val="20"/>
          <w:color w:val="auto"/>
        </w:rPr>
        <w:t>” means a member of the Board.</w:t>
      </w:r>
    </w:p>
    <w:p>
      <w:pPr>
        <w:spacing w:after="0" w:line="175" w:lineRule="exact"/>
        <w:rPr>
          <w:sz w:val="20"/>
          <w:szCs w:val="20"/>
          <w:color w:val="auto"/>
        </w:rPr>
      </w:pPr>
    </w:p>
    <w:p>
      <w:pPr>
        <w:ind w:right="160" w:firstLine="88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except as otherwise provided in an Evidence of Award, that the Participant is unable to engage in any substantial gainful activity by reason of any medically determinable physical or mental impairment which can be expected to result in death</w:t>
      </w:r>
    </w:p>
    <w:p>
      <w:pPr>
        <w:ind w:right="360"/>
        <w:spacing w:after="0" w:line="226" w:lineRule="auto"/>
        <w:rPr>
          <w:sz w:val="20"/>
          <w:szCs w:val="20"/>
          <w:color w:val="auto"/>
        </w:rPr>
      </w:pPr>
      <w:r>
        <w:rPr>
          <w:rFonts w:ascii="Arial" w:cs="Arial" w:eastAsia="Arial" w:hAnsi="Arial"/>
          <w:sz w:val="18"/>
          <w:szCs w:val="18"/>
          <w:color w:val="auto"/>
        </w:rPr>
        <w:t>or which has lasted or can be expected to last for a continuous period of not less than 12 months, provided, however, for purposes of determining the term of an Incentive Stock Option, the term Disability shall have the meaning ascribed to it under Section 22(e)(3) of the</w:t>
      </w:r>
    </w:p>
    <w:p>
      <w:pPr>
        <w:spacing w:after="0" w:line="236" w:lineRule="auto"/>
        <w:rPr>
          <w:sz w:val="20"/>
          <w:szCs w:val="20"/>
          <w:color w:val="auto"/>
        </w:rPr>
      </w:pPr>
      <w:r>
        <w:rPr>
          <w:rFonts w:ascii="Arial" w:cs="Arial" w:eastAsia="Arial" w:hAnsi="Arial"/>
          <w:sz w:val="18"/>
          <w:szCs w:val="18"/>
          <w:color w:val="auto"/>
        </w:rPr>
        <w:t>Code. The determination of whether an individual has a Disability shall be determined under procedures established by the Committee.</w:t>
      </w:r>
    </w:p>
    <w:p>
      <w:pPr>
        <w:spacing w:after="0" w:line="1"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Except in situations where the Committee is determining Disability for purposes of the term of an Incentive Stock Option within the meaning of Section 22(e)(3) of the Code, the Committee may rely on any determination that a Participant is disabled for purposes of benefits under</w:t>
      </w:r>
    </w:p>
    <w:p>
      <w:pPr>
        <w:spacing w:after="0" w:line="2" w:lineRule="exact"/>
        <w:rPr>
          <w:sz w:val="20"/>
          <w:szCs w:val="20"/>
          <w:color w:val="auto"/>
        </w:rPr>
      </w:pPr>
    </w:p>
    <w:p>
      <w:pPr>
        <w:ind w:right="180"/>
        <w:spacing w:after="0" w:line="227" w:lineRule="auto"/>
        <w:rPr>
          <w:sz w:val="20"/>
          <w:szCs w:val="20"/>
          <w:color w:val="auto"/>
        </w:rPr>
      </w:pPr>
      <w:r>
        <w:rPr>
          <w:rFonts w:ascii="Arial" w:cs="Arial" w:eastAsia="Arial" w:hAnsi="Arial"/>
          <w:sz w:val="20"/>
          <w:szCs w:val="20"/>
          <w:color w:val="auto"/>
        </w:rPr>
        <w:t>any long-term disability plan maintained by the Company or any Affiliate in which a Participant participates, provided that the definition of disability applied under such disability plan meets the requirements of a Disability in the first sentence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Evidence of Award</w:t>
      </w:r>
      <w:r>
        <w:rPr>
          <w:rFonts w:ascii="Arial" w:cs="Arial" w:eastAsia="Arial" w:hAnsi="Arial"/>
          <w:sz w:val="18"/>
          <w:szCs w:val="18"/>
          <w:color w:val="auto"/>
        </w:rPr>
        <w:t>” means an agreement, certificate, resolution or other type or form of writing or other evidence approved by</w:t>
      </w:r>
    </w:p>
    <w:p>
      <w:pPr>
        <w:spacing w:after="0" w:line="12" w:lineRule="exact"/>
        <w:rPr>
          <w:sz w:val="20"/>
          <w:szCs w:val="20"/>
          <w:color w:val="auto"/>
        </w:rPr>
      </w:pPr>
    </w:p>
    <w:p>
      <w:pPr>
        <w:ind w:right="560"/>
        <w:spacing w:after="0" w:line="226" w:lineRule="auto"/>
        <w:rPr>
          <w:sz w:val="20"/>
          <w:szCs w:val="20"/>
          <w:color w:val="auto"/>
        </w:rPr>
      </w:pPr>
      <w:r>
        <w:rPr>
          <w:rFonts w:ascii="Arial" w:cs="Arial" w:eastAsia="Arial" w:hAnsi="Arial"/>
          <w:sz w:val="18"/>
          <w:szCs w:val="18"/>
          <w:color w:val="auto"/>
        </w:rPr>
        <w:t>the Committee which sets forth the terms and conditions of an Award. An Evidence of Award may be in an electronic medium, may be limited to a notation on the books and records of the Company and, with the approval of the Committee, need not be signed by a</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representative of the Company or a Participant.</w:t>
      </w:r>
    </w:p>
    <w:p>
      <w:pPr>
        <w:spacing w:after="0" w:line="173" w:lineRule="exact"/>
        <w:rPr>
          <w:sz w:val="20"/>
          <w:szCs w:val="20"/>
          <w:color w:val="auto"/>
        </w:rPr>
      </w:pPr>
    </w:p>
    <w:p>
      <w:pPr>
        <w:ind w:right="26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Act</w:t>
      </w:r>
      <w:r>
        <w:rPr>
          <w:rFonts w:ascii="Arial" w:cs="Arial" w:eastAsia="Arial" w:hAnsi="Arial"/>
          <w:sz w:val="20"/>
          <w:szCs w:val="20"/>
          <w:color w:val="auto"/>
        </w:rPr>
        <w:t>” means the Securities Exchange Act of 1934 and the rules and regulations promulgated thereunder, as such law, rules and regulations may be amended, supplemented or replaced from time to time.</w:t>
      </w:r>
    </w:p>
    <w:p>
      <w:pPr>
        <w:spacing w:after="0" w:line="169" w:lineRule="exact"/>
        <w:rPr>
          <w:sz w:val="20"/>
          <w:szCs w:val="20"/>
          <w:color w:val="auto"/>
        </w:rPr>
      </w:pPr>
    </w:p>
    <w:p>
      <w:pPr>
        <w:ind w:right="26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Free-Standing Appreciation Right</w:t>
      </w:r>
      <w:r>
        <w:rPr>
          <w:rFonts w:ascii="Arial" w:cs="Arial" w:eastAsia="Arial" w:hAnsi="Arial"/>
          <w:sz w:val="20"/>
          <w:szCs w:val="20"/>
          <w:color w:val="auto"/>
        </w:rPr>
        <w:t>” means an Appreciation Right granted pursuant to Section 5 or Section 9 of this Plan that is not granted in tandem with an Option Right.</w:t>
      </w:r>
    </w:p>
    <w:p>
      <w:pPr>
        <w:spacing w:after="0" w:line="155" w:lineRule="exact"/>
        <w:rPr>
          <w:sz w:val="20"/>
          <w:szCs w:val="20"/>
          <w:color w:val="auto"/>
        </w:rPr>
      </w:pPr>
    </w:p>
    <w:p>
      <w:pPr>
        <w:ind w:right="520" w:firstLine="881"/>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Good Reason</w:t>
      </w:r>
      <w:r>
        <w:rPr>
          <w:rFonts w:ascii="Arial" w:cs="Arial" w:eastAsia="Arial" w:hAnsi="Arial"/>
          <w:sz w:val="18"/>
          <w:szCs w:val="18"/>
          <w:color w:val="auto"/>
        </w:rPr>
        <w:t>” means any one of the following: (a) a material diminution in Participant’s base compensation; (b) a material diminution in authority, duties, or responsibilities of Participant; (c) a material diminution in the budget over which Participant retains</w:t>
      </w:r>
    </w:p>
    <w:p>
      <w:pPr>
        <w:ind w:right="40"/>
        <w:spacing w:after="0" w:line="226" w:lineRule="auto"/>
        <w:rPr>
          <w:sz w:val="20"/>
          <w:szCs w:val="20"/>
          <w:color w:val="auto"/>
        </w:rPr>
      </w:pPr>
      <w:r>
        <w:rPr>
          <w:rFonts w:ascii="Arial" w:cs="Arial" w:eastAsia="Arial" w:hAnsi="Arial"/>
          <w:sz w:val="18"/>
          <w:szCs w:val="18"/>
          <w:color w:val="auto"/>
        </w:rPr>
        <w:t>authority; (d) a material change in the geographic location (i.e., to a location more than 50 miles from the Participant’s primary work location prior to such change) at which Participant is required to perform services; and (e) any other action or inaction that constitutes a material</w:t>
      </w:r>
    </w:p>
    <w:p>
      <w:pPr>
        <w:spacing w:after="0" w:line="236" w:lineRule="auto"/>
        <w:rPr>
          <w:sz w:val="20"/>
          <w:szCs w:val="20"/>
          <w:color w:val="auto"/>
        </w:rPr>
      </w:pPr>
      <w:r>
        <w:rPr>
          <w:rFonts w:ascii="Arial" w:cs="Arial" w:eastAsia="Arial" w:hAnsi="Arial"/>
          <w:sz w:val="18"/>
          <w:szCs w:val="18"/>
          <w:color w:val="auto"/>
        </w:rPr>
        <w:t>breach of the Participant’s employment agreement, if any, with the Company or any Affiliate; provided, however, that for the Participant to</w:t>
      </w:r>
    </w:p>
    <w:p>
      <w:pPr>
        <w:spacing w:after="0" w:line="1"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be able to resign for “Good Reason,” the Participant must give the Company and the applicable Affiliate, if any, notice of the above conditions within 90 days after the condition first exists, the Company and/or Affiliate must not have not remedied the condition within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days after receiving written notice, and the Participant must resign within 60 days after the Company’s and/or Affiliate’s failure to remedy.</w:t>
      </w:r>
    </w:p>
    <w:p>
      <w:pPr>
        <w:spacing w:after="0" w:line="196" w:lineRule="exact"/>
        <w:rPr>
          <w:sz w:val="20"/>
          <w:szCs w:val="20"/>
          <w:color w:val="auto"/>
        </w:rPr>
      </w:pPr>
    </w:p>
    <w:p>
      <w:pPr>
        <w:ind w:right="10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Incentive Stock Options</w:t>
      </w:r>
      <w:r>
        <w:rPr>
          <w:rFonts w:ascii="Arial" w:cs="Arial" w:eastAsia="Arial" w:hAnsi="Arial"/>
          <w:sz w:val="20"/>
          <w:szCs w:val="20"/>
          <w:color w:val="auto"/>
        </w:rPr>
        <w:t>” means Option Rights that are intended to qualify as “incentive stock options” under Section 422 of the Code or any successor provision.</w:t>
      </w:r>
    </w:p>
    <w:p>
      <w:pPr>
        <w:spacing w:after="0" w:line="169" w:lineRule="exact"/>
        <w:rPr>
          <w:sz w:val="20"/>
          <w:szCs w:val="20"/>
          <w:color w:val="auto"/>
        </w:rPr>
      </w:pPr>
    </w:p>
    <w:p>
      <w:pPr>
        <w:ind w:right="620" w:firstLine="881"/>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Objectives</w:t>
      </w:r>
      <w:r>
        <w:rPr>
          <w:rFonts w:ascii="Arial" w:cs="Arial" w:eastAsia="Arial" w:hAnsi="Arial"/>
          <w:sz w:val="16"/>
          <w:szCs w:val="16"/>
          <w:color w:val="auto"/>
        </w:rPr>
        <w:t>” means the measurable performance objective or objectives established pursuant to this Plan for Participants who have received grants of Performance Units or Performance Shares or, when so determined by the Committee, Option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Rights, Appreciation Rights, Restricted Shares and Restricted Stock Units pursuant to this Plan. Management Objectives may be described in</w:t>
      </w:r>
    </w:p>
    <w:p>
      <w:pPr>
        <w:spacing w:after="0" w:line="19" w:lineRule="exact"/>
        <w:rPr>
          <w:sz w:val="20"/>
          <w:szCs w:val="20"/>
          <w:color w:val="auto"/>
        </w:rPr>
      </w:pPr>
    </w:p>
    <w:p>
      <w:pPr>
        <w:ind w:right="340"/>
        <w:spacing w:after="0" w:line="226" w:lineRule="auto"/>
        <w:rPr>
          <w:sz w:val="20"/>
          <w:szCs w:val="20"/>
          <w:color w:val="auto"/>
        </w:rPr>
      </w:pPr>
      <w:r>
        <w:rPr>
          <w:rFonts w:ascii="Arial" w:cs="Arial" w:eastAsia="Arial" w:hAnsi="Arial"/>
          <w:sz w:val="18"/>
          <w:szCs w:val="18"/>
          <w:color w:val="auto"/>
        </w:rPr>
        <w:t>terms of Company-wide objectives or objectives that are related to the performance of the individual Participant or of the Affiliate, Subsidiary, division, department, region or function within the Company, Affiliate or Subsidiary in which the Participant is employed and</w:t>
      </w:r>
    </w:p>
    <w:p>
      <w:pPr>
        <w:spacing w:after="0" w:line="224" w:lineRule="auto"/>
        <w:rPr>
          <w:sz w:val="20"/>
          <w:szCs w:val="20"/>
          <w:color w:val="auto"/>
        </w:rPr>
      </w:pPr>
      <w:r>
        <w:rPr>
          <w:rFonts w:ascii="Arial" w:cs="Arial" w:eastAsia="Arial" w:hAnsi="Arial"/>
          <w:sz w:val="19"/>
          <w:szCs w:val="19"/>
          <w:color w:val="auto"/>
        </w:rPr>
        <w:t>may be made relative to the performance of other companies. If the Committee determines that a change in the business, operations,</w:t>
      </w:r>
    </w:p>
    <w:p>
      <w:pPr>
        <w:ind w:right="20"/>
        <w:spacing w:after="0" w:line="255" w:lineRule="auto"/>
        <w:rPr>
          <w:sz w:val="20"/>
          <w:szCs w:val="20"/>
          <w:color w:val="auto"/>
        </w:rPr>
      </w:pPr>
      <w:r>
        <w:rPr>
          <w:rFonts w:ascii="Arial" w:cs="Arial" w:eastAsia="Arial" w:hAnsi="Arial"/>
          <w:sz w:val="16"/>
          <w:szCs w:val="16"/>
          <w:color w:val="auto"/>
        </w:rPr>
        <w:t>corporate structure or capital structure of the Company, or the manner in which it conducts its business, or other events or circumstances (including those events and circumstances described in Section 12 of this Plan) render the Management Objectives unsuitable, the Committee</w:t>
      </w:r>
    </w:p>
    <w:p>
      <w:pPr>
        <w:spacing w:after="0" w:line="1" w:lineRule="exact"/>
        <w:rPr>
          <w:sz w:val="20"/>
          <w:szCs w:val="20"/>
          <w:color w:val="auto"/>
        </w:rPr>
      </w:pPr>
    </w:p>
    <w:p>
      <w:pPr>
        <w:ind w:right="220"/>
        <w:spacing w:after="0" w:line="227" w:lineRule="auto"/>
        <w:rPr>
          <w:sz w:val="20"/>
          <w:szCs w:val="20"/>
          <w:color w:val="auto"/>
        </w:rPr>
      </w:pPr>
      <w:r>
        <w:rPr>
          <w:rFonts w:ascii="Arial" w:cs="Arial" w:eastAsia="Arial" w:hAnsi="Arial"/>
          <w:sz w:val="20"/>
          <w:szCs w:val="20"/>
          <w:color w:val="auto"/>
        </w:rPr>
        <w:t>may, at its discretion, modify such Management Objectives or the related minimum acceptable level of achievement, in whole or in part, as the Committee deems appropriate and equitable.</w:t>
      </w:r>
    </w:p>
    <w:p>
      <w:pPr>
        <w:spacing w:after="0" w:line="156" w:lineRule="exact"/>
        <w:rPr>
          <w:sz w:val="20"/>
          <w:szCs w:val="20"/>
          <w:color w:val="auto"/>
        </w:rPr>
      </w:pPr>
    </w:p>
    <w:p>
      <w:pPr>
        <w:ind w:right="140" w:firstLine="881"/>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 per Share</w:t>
      </w:r>
      <w:r>
        <w:rPr>
          <w:rFonts w:ascii="Arial" w:cs="Arial" w:eastAsia="Arial" w:hAnsi="Arial"/>
          <w:sz w:val="16"/>
          <w:szCs w:val="16"/>
          <w:color w:val="auto"/>
        </w:rPr>
        <w:t>” means, as of any particular date, (i) the closing sale price per Common Share as reported on the principal exchange on which Common Shares are then trading, or if there are no sales on such day, on the next preceding trading day during</w:t>
      </w:r>
    </w:p>
    <w:p>
      <w:pPr>
        <w:spacing w:after="0" w:line="1" w:lineRule="exact"/>
        <w:rPr>
          <w:sz w:val="20"/>
          <w:szCs w:val="20"/>
          <w:color w:val="auto"/>
        </w:rPr>
      </w:pPr>
    </w:p>
    <w:p>
      <w:pPr>
        <w:ind w:right="160"/>
        <w:spacing w:after="0" w:line="220" w:lineRule="auto"/>
        <w:rPr>
          <w:sz w:val="20"/>
          <w:szCs w:val="20"/>
          <w:color w:val="auto"/>
        </w:rPr>
      </w:pPr>
      <w:r>
        <w:rPr>
          <w:rFonts w:ascii="Arial" w:cs="Arial" w:eastAsia="Arial" w:hAnsi="Arial"/>
          <w:sz w:val="20"/>
          <w:szCs w:val="20"/>
          <w:color w:val="auto"/>
        </w:rPr>
        <w:t>which a sale occurred, or (ii) if the Common Shares are not then-currently traded on an exchange, the fair market value of a Common Share as determined by the Committee in discretion.</w:t>
      </w:r>
    </w:p>
    <w:p>
      <w:pPr>
        <w:spacing w:after="0" w:line="170" w:lineRule="exact"/>
        <w:rPr>
          <w:sz w:val="20"/>
          <w:szCs w:val="20"/>
          <w:color w:val="auto"/>
        </w:rPr>
      </w:pPr>
    </w:p>
    <w:p>
      <w:pPr>
        <w:ind w:right="38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Non-Employee Director</w:t>
      </w:r>
      <w:r>
        <w:rPr>
          <w:rFonts w:ascii="Arial" w:cs="Arial" w:eastAsia="Arial" w:hAnsi="Arial"/>
          <w:sz w:val="20"/>
          <w:szCs w:val="20"/>
          <w:color w:val="auto"/>
        </w:rPr>
        <w:t>” means a member of the Board who is a “non-employee director” within the meaning of Rule 16b-3 under the Exchange Act.</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Optionee</w:t>
      </w:r>
      <w:r>
        <w:rPr>
          <w:rFonts w:ascii="Arial" w:cs="Arial" w:eastAsia="Arial" w:hAnsi="Arial"/>
          <w:sz w:val="20"/>
          <w:szCs w:val="20"/>
          <w:color w:val="auto"/>
        </w:rPr>
        <w:t>” means the optionee named in an agreement evidencing an outstanding Option Right.</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Price</w:t>
      </w:r>
      <w:r>
        <w:rPr>
          <w:rFonts w:ascii="Arial" w:cs="Arial" w:eastAsia="Arial" w:hAnsi="Arial"/>
          <w:sz w:val="20"/>
          <w:szCs w:val="20"/>
          <w:color w:val="auto"/>
        </w:rPr>
        <w:t>” means the purchase price payable on exercise of an Option Right.</w:t>
      </w:r>
    </w:p>
    <w:p>
      <w:pPr>
        <w:spacing w:after="0" w:line="189" w:lineRule="exact"/>
        <w:rPr>
          <w:sz w:val="20"/>
          <w:szCs w:val="20"/>
          <w:color w:val="auto"/>
        </w:rPr>
      </w:pPr>
    </w:p>
    <w:p>
      <w:pPr>
        <w:ind w:right="2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Option Right</w:t>
      </w:r>
      <w:r>
        <w:rPr>
          <w:rFonts w:ascii="Arial" w:cs="Arial" w:eastAsia="Arial" w:hAnsi="Arial"/>
          <w:sz w:val="20"/>
          <w:szCs w:val="20"/>
          <w:color w:val="auto"/>
        </w:rPr>
        <w:t>” means the right to purchase Common Shares upon exercise of an option granted pursuant to Section 4 or Section 9 of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 person who is selected by the Committee to receive benefits under this Plan and who is at the time an</w:t>
      </w:r>
    </w:p>
    <w:p>
      <w:pPr>
        <w:spacing w:after="0" w:line="12" w:lineRule="exact"/>
        <w:rPr>
          <w:sz w:val="20"/>
          <w:szCs w:val="20"/>
          <w:color w:val="auto"/>
        </w:rPr>
      </w:pPr>
    </w:p>
    <w:p>
      <w:pPr>
        <w:ind w:right="280"/>
        <w:spacing w:after="0" w:line="220" w:lineRule="auto"/>
        <w:rPr>
          <w:sz w:val="20"/>
          <w:szCs w:val="20"/>
          <w:color w:val="auto"/>
        </w:rPr>
      </w:pPr>
      <w:r>
        <w:rPr>
          <w:rFonts w:ascii="Arial" w:cs="Arial" w:eastAsia="Arial" w:hAnsi="Arial"/>
          <w:sz w:val="20"/>
          <w:szCs w:val="20"/>
          <w:color w:val="auto"/>
        </w:rPr>
        <w:t>officer, consultant or other key employee of the Company or any Affiliate and also includes each Non-Employee Director who receives an Award under this Plan.</w:t>
      </w:r>
    </w:p>
    <w:p>
      <w:pPr>
        <w:spacing w:after="0" w:line="170" w:lineRule="exact"/>
        <w:rPr>
          <w:sz w:val="20"/>
          <w:szCs w:val="20"/>
          <w:color w:val="auto"/>
        </w:rPr>
      </w:pPr>
    </w:p>
    <w:p>
      <w:pPr>
        <w:ind w:right="140" w:firstLine="881"/>
        <w:spacing w:after="0" w:line="35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in respect of a Performance Unit or Performance Share, a period of time established pursuant to Section 6 of this Plan within which the Management Objectives relating to such Performance Share or Performance Unit are to be achieved.</w:t>
      </w:r>
    </w:p>
    <w:p>
      <w:pPr>
        <w:spacing w:after="0" w:line="71" w:lineRule="exact"/>
        <w:rPr>
          <w:sz w:val="20"/>
          <w:szCs w:val="20"/>
          <w:color w:val="auto"/>
        </w:rPr>
      </w:pPr>
    </w:p>
    <w:p>
      <w:pPr>
        <w:ind w:right="2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Performance Share</w:t>
      </w:r>
      <w:r>
        <w:rPr>
          <w:rFonts w:ascii="Arial" w:cs="Arial" w:eastAsia="Arial" w:hAnsi="Arial"/>
          <w:sz w:val="20"/>
          <w:szCs w:val="20"/>
          <w:color w:val="auto"/>
        </w:rPr>
        <w:t>” means a bookkeeping entry that records the equivalent of one Common Share awarded pursuant to Section 6 of this Plan.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Unit</w:t>
      </w:r>
      <w:r>
        <w:rPr>
          <w:rFonts w:ascii="Arial" w:cs="Arial" w:eastAsia="Arial" w:hAnsi="Arial"/>
          <w:sz w:val="18"/>
          <w:szCs w:val="18"/>
          <w:color w:val="auto"/>
        </w:rPr>
        <w:t>” means a bookkeeping entry that records a unit equivalent to $1.00 awarded pursuant to Section 6 of this Plan.</w:t>
      </w:r>
    </w:p>
    <w:p>
      <w:pPr>
        <w:spacing w:after="0" w:line="198" w:lineRule="exact"/>
        <w:rPr>
          <w:sz w:val="20"/>
          <w:szCs w:val="20"/>
          <w:color w:val="auto"/>
        </w:rPr>
      </w:pPr>
    </w:p>
    <w:p>
      <w:pPr>
        <w:ind w:right="50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partnership, corporation, limited liability company, unincorporated organization, trust or joint venture, or a governmental agency or political subdivision thereof.</w:t>
      </w:r>
    </w:p>
    <w:p>
      <w:pPr>
        <w:spacing w:after="0" w:line="169" w:lineRule="exact"/>
        <w:rPr>
          <w:sz w:val="20"/>
          <w:szCs w:val="20"/>
          <w:color w:val="auto"/>
        </w:rPr>
      </w:pPr>
    </w:p>
    <w:p>
      <w:pPr>
        <w:ind w:right="12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Shares</w:t>
      </w:r>
      <w:r>
        <w:rPr>
          <w:rFonts w:ascii="Arial" w:cs="Arial" w:eastAsia="Arial" w:hAnsi="Arial"/>
          <w:sz w:val="20"/>
          <w:szCs w:val="20"/>
          <w:color w:val="auto"/>
        </w:rPr>
        <w:t>” means Common Shares granted or sold pursuant to Section 7 or Section 9 of this Plan as to which neither the substantial risk of forfeiture nor the prohibition on transfers referred to in such Section 7 has expired.</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Restricted Stock Units</w:t>
      </w:r>
      <w:r>
        <w:rPr>
          <w:rFonts w:ascii="Arial" w:cs="Arial" w:eastAsia="Arial" w:hAnsi="Arial"/>
          <w:sz w:val="20"/>
          <w:szCs w:val="20"/>
          <w:color w:val="auto"/>
        </w:rPr>
        <w:t>” means an Award made pursuant to Section 8 or Section 9 of this Plan.</w:t>
      </w:r>
    </w:p>
    <w:p>
      <w:pPr>
        <w:spacing w:after="0" w:line="189" w:lineRule="exact"/>
        <w:rPr>
          <w:sz w:val="20"/>
          <w:szCs w:val="20"/>
          <w:color w:val="auto"/>
        </w:rPr>
      </w:pPr>
    </w:p>
    <w:p>
      <w:pPr>
        <w:ind w:right="640" w:firstLine="881"/>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Restriction Period</w:t>
      </w:r>
      <w:r>
        <w:rPr>
          <w:rFonts w:ascii="Arial" w:cs="Arial" w:eastAsia="Arial" w:hAnsi="Arial"/>
          <w:sz w:val="20"/>
          <w:szCs w:val="20"/>
          <w:color w:val="auto"/>
        </w:rPr>
        <w:t>” means the period of time during which Restricted Stock Units are subject to transfer limitations under Section 8 of this Plan.</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Spread</w:t>
      </w:r>
      <w:r>
        <w:rPr>
          <w:rFonts w:ascii="Arial" w:cs="Arial" w:eastAsia="Arial" w:hAnsi="Arial"/>
          <w:sz w:val="18"/>
          <w:szCs w:val="18"/>
          <w:color w:val="auto"/>
        </w:rPr>
        <w:t>” means the excess of the Market Value of a Share on the date when an Appreciation Right is exercised, or on the date</w:t>
      </w:r>
    </w:p>
    <w:p>
      <w:pPr>
        <w:spacing w:after="0" w:line="12" w:lineRule="exact"/>
        <w:rPr>
          <w:sz w:val="20"/>
          <w:szCs w:val="20"/>
          <w:color w:val="auto"/>
        </w:rPr>
      </w:pPr>
    </w:p>
    <w:p>
      <w:pPr>
        <w:ind w:right="60"/>
        <w:spacing w:after="0" w:line="220" w:lineRule="auto"/>
        <w:rPr>
          <w:sz w:val="20"/>
          <w:szCs w:val="20"/>
          <w:color w:val="auto"/>
        </w:rPr>
      </w:pPr>
      <w:r>
        <w:rPr>
          <w:rFonts w:ascii="Arial" w:cs="Arial" w:eastAsia="Arial" w:hAnsi="Arial"/>
          <w:sz w:val="20"/>
          <w:szCs w:val="20"/>
          <w:color w:val="auto"/>
        </w:rPr>
        <w:t>when Option Rights are surrendered in payment of the Option Price of other Option Rights, over the per share Option Price or per share Base Price provided for in the related Option Right or Free-Standing Appreciation Right, respectively.</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as that term is defined in Section 424(f) of the Code, or any successor provision.</w:t>
      </w:r>
    </w:p>
    <w:p>
      <w:pPr>
        <w:spacing w:after="0" w:line="198" w:lineRule="exact"/>
        <w:rPr>
          <w:sz w:val="20"/>
          <w:szCs w:val="20"/>
          <w:color w:val="auto"/>
        </w:rPr>
      </w:pPr>
    </w:p>
    <w:p>
      <w:pPr>
        <w:ind w:right="120" w:firstLine="881"/>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Tandem Appreciation Right</w:t>
      </w:r>
      <w:r>
        <w:rPr>
          <w:rFonts w:ascii="Arial" w:cs="Arial" w:eastAsia="Arial" w:hAnsi="Arial"/>
          <w:sz w:val="20"/>
          <w:szCs w:val="20"/>
          <w:color w:val="auto"/>
        </w:rPr>
        <w:t>” means an Appreciation Right granted pursuant to Section 5 or Section 9 of this Plan that is granted in tandem with an Option Right.</w:t>
      </w:r>
    </w:p>
    <w:p>
      <w:pPr>
        <w:spacing w:after="0" w:line="163" w:lineRule="exact"/>
        <w:rPr>
          <w:sz w:val="20"/>
          <w:szCs w:val="20"/>
          <w:color w:val="auto"/>
        </w:rPr>
      </w:pPr>
    </w:p>
    <w:p>
      <w:pPr>
        <w:ind w:left="640" w:hanging="191"/>
        <w:spacing w:after="0"/>
        <w:tabs>
          <w:tab w:leader="none" w:pos="64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Shares Available Under the Plan</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ind w:right="20" w:firstLine="881"/>
        <w:spacing w:after="0" w:line="223" w:lineRule="auto"/>
        <w:rPr>
          <w:rFonts w:ascii="Arial" w:cs="Arial" w:eastAsia="Arial" w:hAnsi="Arial"/>
          <w:sz w:val="20"/>
          <w:szCs w:val="20"/>
          <w:b w:val="1"/>
          <w:bCs w:val="1"/>
          <w:color w:val="auto"/>
        </w:rPr>
      </w:pPr>
      <w:r>
        <w:rPr>
          <w:rFonts w:ascii="Arial" w:cs="Arial" w:eastAsia="Arial" w:hAnsi="Arial"/>
          <w:sz w:val="19"/>
          <w:szCs w:val="19"/>
          <w:color w:val="auto"/>
        </w:rPr>
        <w:t>a. Subject to adjustment as provided in Section 12 of this Plan, the number of Common Shares (the “Aggregate Plan Limit”) that may be issued or transferred (i) upon the exercise of Option Rights or Appreciation Rights, (ii) as Restricted Shares, (iii) in payment of Restricted Stock Units, (iv) in payment of Performance Units or Performance Shares that have been earned, (v) as Awards to Non-Employee Directors, (vi) in payment of Awards granted under Section 10 of this Plan or (vii) in payment of dividend equivalents paid with respect to Awards made under the Plan shall not exceed in the aggregate 6,000,000 Common Shares, plus any shares relating to Awards that expire, are forfeited or cancelled; provided, however, that the Aggregate Plan Limit shall be increased to 14,000,000, subject to approval of the Company’s stockholders within one year of April 11, 2023. Notwithstanding anything to the contrary contained herein: (A) Common Shares tendered in payment of the Option Price of an Option Right shall not be added to the Aggregate Plan Limit; (B) Common Shares withheld by the Company to satisfy the tax withholding obligation shall not be added to Aggregate Plan Limit; (C) Common Shares that are repurchased by the Company with Option Right proceeds shall not be added to the Aggregate Plan Limit; and (D) all Common Shares covered by an Appreciation Right, to the extent that it is exercised and settled in Common Shares, and whether or not Common Shares are actually issued to the Participant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exercise of the right, shall be considered issued or transferred pursuant to the Plan. Such Common Shares may be shares of original issuance or treasury shares or a combination of the foregoing.</w:t>
      </w:r>
    </w:p>
    <w:p>
      <w:pPr>
        <w:spacing w:after="0" w:line="155" w:lineRule="exact"/>
        <w:rPr>
          <w:sz w:val="20"/>
          <w:szCs w:val="20"/>
          <w:color w:val="auto"/>
        </w:rPr>
      </w:pPr>
    </w:p>
    <w:p>
      <w:pPr>
        <w:ind w:right="40" w:firstLine="881"/>
        <w:spacing w:after="0" w:line="285" w:lineRule="auto"/>
        <w:rPr>
          <w:sz w:val="20"/>
          <w:szCs w:val="20"/>
          <w:color w:val="auto"/>
        </w:rPr>
      </w:pPr>
      <w:r>
        <w:rPr>
          <w:rFonts w:ascii="Arial" w:cs="Arial" w:eastAsia="Arial" w:hAnsi="Arial"/>
          <w:sz w:val="18"/>
          <w:szCs w:val="18"/>
          <w:color w:val="auto"/>
        </w:rPr>
        <w:t>b. If, under this Plan, a Participant has elected to give up the right to receive compensation in exchange for Common Shares based on fair market value, such Common Shares will not count against the number of shares available in Section 3(a) above.</w:t>
      </w:r>
    </w:p>
    <w:p>
      <w:pPr>
        <w:spacing w:after="0" w:line="129" w:lineRule="exact"/>
        <w:rPr>
          <w:sz w:val="20"/>
          <w:szCs w:val="20"/>
          <w:color w:val="auto"/>
        </w:rPr>
      </w:pPr>
    </w:p>
    <w:p>
      <w:pPr>
        <w:ind w:right="240" w:firstLine="881"/>
        <w:spacing w:after="0" w:line="236" w:lineRule="auto"/>
        <w:rPr>
          <w:sz w:val="20"/>
          <w:szCs w:val="20"/>
          <w:color w:val="auto"/>
        </w:rPr>
      </w:pPr>
      <w:r>
        <w:rPr>
          <w:rFonts w:ascii="Arial" w:cs="Arial" w:eastAsia="Arial" w:hAnsi="Arial"/>
          <w:sz w:val="18"/>
          <w:szCs w:val="18"/>
          <w:color w:val="auto"/>
        </w:rPr>
        <w:t>c. Notwithstanding anything in this Section 3, or elsewhere in this Plan, to the contrary and subject to adjustment as provided in Section 12 of this Plan, (i) the aggregate number of Common Shares actually issued or transferred by the Company upon the exercise of</w:t>
      </w:r>
    </w:p>
    <w:p>
      <w:pPr>
        <w:ind w:right="80"/>
        <w:spacing w:after="0" w:line="227" w:lineRule="auto"/>
        <w:rPr>
          <w:sz w:val="20"/>
          <w:szCs w:val="20"/>
          <w:color w:val="auto"/>
        </w:rPr>
      </w:pPr>
      <w:r>
        <w:rPr>
          <w:rFonts w:ascii="Arial" w:cs="Arial" w:eastAsia="Arial" w:hAnsi="Arial"/>
          <w:sz w:val="20"/>
          <w:szCs w:val="20"/>
          <w:color w:val="auto"/>
        </w:rPr>
        <w:t>Incentive Stock Options shall not exceed 2,000,000 Common Shares; and (ii) no Participant shall be granted Option Rights and Appreciation Rights, in the aggregate, for more than 2,000,000 Common Shares during any calendar year.</w:t>
      </w:r>
    </w:p>
    <w:p>
      <w:pPr>
        <w:spacing w:after="0" w:line="156" w:lineRule="exact"/>
        <w:rPr>
          <w:sz w:val="20"/>
          <w:szCs w:val="20"/>
          <w:color w:val="auto"/>
        </w:rPr>
      </w:pPr>
    </w:p>
    <w:p>
      <w:pPr>
        <w:ind w:right="200" w:firstLine="881"/>
        <w:spacing w:after="0" w:line="274" w:lineRule="auto"/>
        <w:rPr>
          <w:sz w:val="20"/>
          <w:szCs w:val="20"/>
          <w:color w:val="auto"/>
        </w:rPr>
      </w:pPr>
      <w:r>
        <w:rPr>
          <w:rFonts w:ascii="Arial" w:cs="Arial" w:eastAsia="Arial" w:hAnsi="Arial"/>
          <w:sz w:val="16"/>
          <w:szCs w:val="16"/>
          <w:color w:val="auto"/>
        </w:rPr>
        <w:t>d. Notwithstanding any other provision of this Plan to the contrary, in no event shall any Participant in any calendar year receive an award of (i) Performance Shares, Restricted Shares or Restricted Stock Units that specify Management Objectives, in the aggregate, for</w:t>
      </w:r>
    </w:p>
    <w:p>
      <w:pPr>
        <w:spacing w:after="0" w:line="1" w:lineRule="exact"/>
        <w:rPr>
          <w:sz w:val="20"/>
          <w:szCs w:val="20"/>
          <w:color w:val="auto"/>
        </w:rPr>
      </w:pPr>
    </w:p>
    <w:p>
      <w:pPr>
        <w:ind w:right="100"/>
        <w:spacing w:after="0" w:line="220" w:lineRule="auto"/>
        <w:rPr>
          <w:sz w:val="20"/>
          <w:szCs w:val="20"/>
          <w:color w:val="auto"/>
        </w:rPr>
      </w:pPr>
      <w:r>
        <w:rPr>
          <w:rFonts w:ascii="Arial" w:cs="Arial" w:eastAsia="Arial" w:hAnsi="Arial"/>
          <w:sz w:val="20"/>
          <w:szCs w:val="20"/>
          <w:color w:val="auto"/>
        </w:rPr>
        <w:t>more than 1,000,000 Common Shares or (ii) Performance Units having an aggregate maximum value as of their respective Dates of Grant in excess of $5,000,000.</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 Notwithstanding any other provision of this Plan to the contrary, but subject to any provision accelerating vesting due to death,</w:t>
      </w:r>
    </w:p>
    <w:p>
      <w:pPr>
        <w:spacing w:after="0" w:line="12" w:lineRule="exact"/>
        <w:rPr>
          <w:sz w:val="20"/>
          <w:szCs w:val="20"/>
          <w:color w:val="auto"/>
        </w:rPr>
      </w:pPr>
    </w:p>
    <w:p>
      <w:pPr>
        <w:ind w:right="360"/>
        <w:spacing w:after="0" w:line="220" w:lineRule="auto"/>
        <w:rPr>
          <w:sz w:val="20"/>
          <w:szCs w:val="20"/>
          <w:color w:val="auto"/>
        </w:rPr>
      </w:pPr>
      <w:r>
        <w:rPr>
          <w:rFonts w:ascii="Arial" w:cs="Arial" w:eastAsia="Arial" w:hAnsi="Arial"/>
          <w:sz w:val="20"/>
          <w:szCs w:val="20"/>
          <w:color w:val="auto"/>
        </w:rPr>
        <w:t>Disability, or qualifying termination in connection with a Change in Control, Awards granted under this Plan shall vest no earlier than the first anniversary of the Date of Grant.</w:t>
      </w:r>
    </w:p>
    <w:p>
      <w:pPr>
        <w:spacing w:after="0" w:line="164" w:lineRule="exact"/>
        <w:rPr>
          <w:sz w:val="20"/>
          <w:szCs w:val="20"/>
          <w:color w:val="auto"/>
        </w:rPr>
      </w:pPr>
    </w:p>
    <w:p>
      <w:pPr>
        <w:jc w:val="both"/>
        <w:ind w:right="580" w:firstLine="449"/>
        <w:spacing w:after="0" w:line="225" w:lineRule="auto"/>
        <w:tabs>
          <w:tab w:leader="none" w:pos="639"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Option Rights</w:t>
      </w:r>
      <w:r>
        <w:rPr>
          <w:rFonts w:ascii="Arial" w:cs="Arial" w:eastAsia="Arial" w:hAnsi="Arial"/>
          <w:sz w:val="20"/>
          <w:szCs w:val="20"/>
          <w:color w:val="auto"/>
        </w:rPr>
        <w:t>. The Committee may, from time to time and upon such terms and conditions as it may determine, authorize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granting to Participants of Option Rights. Each such grant may utilize any or all of the authorizations, and shall be subject to all of the limitations, contained in the following provisions:</w:t>
      </w:r>
    </w:p>
    <w:p>
      <w:pPr>
        <w:spacing w:after="0" w:line="169" w:lineRule="exact"/>
        <w:rPr>
          <w:rFonts w:ascii="Arial" w:cs="Arial" w:eastAsia="Arial" w:hAnsi="Arial"/>
          <w:sz w:val="20"/>
          <w:szCs w:val="20"/>
          <w:b w:val="1"/>
          <w:bCs w:val="1"/>
          <w:color w:val="auto"/>
        </w:rPr>
      </w:pPr>
    </w:p>
    <w:p>
      <w:pPr>
        <w:ind w:left="1080" w:hanging="191"/>
        <w:spacing w:after="0"/>
        <w:tabs>
          <w:tab w:leader="none" w:pos="1080" w:val="left"/>
        </w:tabs>
        <w:numPr>
          <w:ilvl w:val="1"/>
          <w:numId w:val="17"/>
        </w:numPr>
        <w:rPr>
          <w:rFonts w:ascii="Arial" w:cs="Arial" w:eastAsia="Arial" w:hAnsi="Arial"/>
          <w:sz w:val="20"/>
          <w:szCs w:val="20"/>
          <w:color w:val="auto"/>
        </w:rPr>
      </w:pPr>
      <w:r>
        <w:rPr>
          <w:rFonts w:ascii="Arial" w:cs="Arial" w:eastAsia="Arial" w:hAnsi="Arial"/>
          <w:sz w:val="20"/>
          <w:szCs w:val="20"/>
          <w:color w:val="auto"/>
        </w:rPr>
        <w:t>Each grant shall specify the number of Common Shares to which it pertains.</w:t>
      </w:r>
    </w:p>
    <w:p>
      <w:pPr>
        <w:spacing w:after="0" w:line="175" w:lineRule="exact"/>
        <w:rPr>
          <w:rFonts w:ascii="Arial" w:cs="Arial" w:eastAsia="Arial" w:hAnsi="Arial"/>
          <w:sz w:val="20"/>
          <w:szCs w:val="20"/>
          <w:color w:val="auto"/>
        </w:rPr>
      </w:pPr>
    </w:p>
    <w:p>
      <w:pPr>
        <w:ind w:left="1080" w:hanging="191"/>
        <w:spacing w:after="0"/>
        <w:tabs>
          <w:tab w:leader="none" w:pos="108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grant shall specify an Option Price per share, which may not be less than the Market Value per Share on the Date of Grant.</w:t>
      </w:r>
    </w:p>
    <w:p>
      <w:pPr>
        <w:spacing w:after="0" w:line="234" w:lineRule="exact"/>
        <w:rPr>
          <w:rFonts w:ascii="Arial" w:cs="Arial" w:eastAsia="Arial" w:hAnsi="Arial"/>
          <w:sz w:val="16"/>
          <w:szCs w:val="16"/>
          <w:color w:val="auto"/>
        </w:rPr>
      </w:pPr>
    </w:p>
    <w:p>
      <w:pPr>
        <w:ind w:right="40" w:firstLine="889"/>
        <w:spacing w:after="0" w:line="287" w:lineRule="auto"/>
        <w:tabs>
          <w:tab w:leader="none" w:pos="1068" w:val="left"/>
        </w:tabs>
        <w:numPr>
          <w:ilvl w:val="1"/>
          <w:numId w:val="17"/>
        </w:numPr>
        <w:rPr>
          <w:rFonts w:ascii="Arial" w:cs="Arial" w:eastAsia="Arial" w:hAnsi="Arial"/>
          <w:sz w:val="16"/>
          <w:szCs w:val="16"/>
          <w:color w:val="auto"/>
        </w:rPr>
      </w:pPr>
      <w:r>
        <w:rPr>
          <w:rFonts w:ascii="Arial" w:cs="Arial" w:eastAsia="Arial" w:hAnsi="Arial"/>
          <w:sz w:val="16"/>
          <w:szCs w:val="16"/>
          <w:color w:val="auto"/>
        </w:rPr>
        <w:t>Each grant shall specify whether the Option Price shall be payable (i) in cash or by check acceptable to the Company, (ii) by the actual or constructive transfer to the Company of nonforfeitable, unrestricted Common Shares owned by the Optionee having a value at the time of exercise equal to the total Option Price, on such basis as the Committee may determine, (iii) in any other legal consideration that the Committee may deem appropriate, on such basis as the Committee may determine, or (iv) by a combination of such methods of payment.</w:t>
      </w:r>
    </w:p>
    <w:p>
      <w:pPr>
        <w:spacing w:after="0" w:line="132" w:lineRule="exact"/>
        <w:rPr>
          <w:rFonts w:ascii="Arial" w:cs="Arial" w:eastAsia="Arial" w:hAnsi="Arial"/>
          <w:sz w:val="16"/>
          <w:szCs w:val="16"/>
          <w:color w:val="auto"/>
        </w:rPr>
      </w:pPr>
    </w:p>
    <w:p>
      <w:pPr>
        <w:ind w:right="40" w:firstLine="889"/>
        <w:spacing w:after="0" w:line="220" w:lineRule="auto"/>
        <w:tabs>
          <w:tab w:leader="none" w:pos="1079" w:val="left"/>
        </w:tabs>
        <w:numPr>
          <w:ilvl w:val="1"/>
          <w:numId w:val="17"/>
        </w:numPr>
        <w:rPr>
          <w:rFonts w:ascii="Arial" w:cs="Arial" w:eastAsia="Arial" w:hAnsi="Arial"/>
          <w:sz w:val="20"/>
          <w:szCs w:val="20"/>
          <w:color w:val="auto"/>
        </w:rPr>
      </w:pPr>
      <w:r>
        <w:rPr>
          <w:rFonts w:ascii="Arial" w:cs="Arial" w:eastAsia="Arial" w:hAnsi="Arial"/>
          <w:sz w:val="20"/>
          <w:szCs w:val="20"/>
          <w:color w:val="auto"/>
        </w:rPr>
        <w:t>To the extent permitted by law, any grant may provide for (i) deferred payment of the Option Price from the proceeds of sale through a bank or broker on a date satisfactory to the Company of some or all of the shares to which such exercise relates; (ii) payment of the Option Price, at the election of the Optionee, in installments or using a promissory note, upon terms determined by the Committee in its discretion; or (iii) any combination of such methods.</w:t>
      </w:r>
    </w:p>
    <w:p>
      <w:pPr>
        <w:spacing w:after="0" w:line="155" w:lineRule="exact"/>
        <w:rPr>
          <w:rFonts w:ascii="Arial" w:cs="Arial" w:eastAsia="Arial" w:hAnsi="Arial"/>
          <w:sz w:val="20"/>
          <w:szCs w:val="20"/>
          <w:color w:val="auto"/>
        </w:rPr>
      </w:pPr>
    </w:p>
    <w:p>
      <w:pPr>
        <w:ind w:right="40" w:firstLine="889"/>
        <w:spacing w:after="0" w:line="236" w:lineRule="auto"/>
        <w:tabs>
          <w:tab w:leader="none" w:pos="1068" w:val="left"/>
        </w:tabs>
        <w:numPr>
          <w:ilvl w:val="1"/>
          <w:numId w:val="17"/>
        </w:numPr>
        <w:rPr>
          <w:rFonts w:ascii="Arial" w:cs="Arial" w:eastAsia="Arial" w:hAnsi="Arial"/>
          <w:sz w:val="20"/>
          <w:szCs w:val="20"/>
          <w:color w:val="auto"/>
        </w:rPr>
      </w:pPr>
      <w:r>
        <w:rPr>
          <w:rFonts w:ascii="Arial" w:cs="Arial" w:eastAsia="Arial" w:hAnsi="Arial"/>
          <w:sz w:val="20"/>
          <w:szCs w:val="20"/>
          <w:color w:val="auto"/>
        </w:rPr>
        <w:t>Successive grants may be made to the same Participant whether or not any Option Rights previously granted to such Participant remain unexercised.</w:t>
      </w:r>
    </w:p>
    <w:p>
      <w:pPr>
        <w:spacing w:after="0" w:line="168" w:lineRule="exact"/>
        <w:rPr>
          <w:rFonts w:ascii="Arial" w:cs="Arial" w:eastAsia="Arial" w:hAnsi="Arial"/>
          <w:sz w:val="20"/>
          <w:szCs w:val="20"/>
          <w:color w:val="auto"/>
        </w:rPr>
      </w:pPr>
    </w:p>
    <w:p>
      <w:pPr>
        <w:ind w:right="220" w:firstLine="889"/>
        <w:spacing w:after="0" w:line="215" w:lineRule="auto"/>
        <w:tabs>
          <w:tab w:leader="none" w:pos="1046" w:val="left"/>
        </w:tabs>
        <w:numPr>
          <w:ilvl w:val="1"/>
          <w:numId w:val="17"/>
        </w:numPr>
        <w:rPr>
          <w:rFonts w:ascii="Arial" w:cs="Arial" w:eastAsia="Arial" w:hAnsi="Arial"/>
          <w:sz w:val="20"/>
          <w:szCs w:val="20"/>
          <w:color w:val="auto"/>
        </w:rPr>
      </w:pPr>
      <w:r>
        <w:rPr>
          <w:rFonts w:ascii="Arial" w:cs="Arial" w:eastAsia="Arial" w:hAnsi="Arial"/>
          <w:sz w:val="20"/>
          <w:szCs w:val="20"/>
          <w:color w:val="auto"/>
        </w:rPr>
        <w:t>Each grant shall specify the period or periods of continuous service by the Optionee with the Company or any Affiliate that is necessary before the Option Rights or installments thereof will become exercisable and may provide for accelerated vesting of such Option Rights in the event of a Change in Control, retirement, death or Disability of the Optionee or other similar transaction or event as approved by the Committee; provided that in no event will any Option Right vest or become exercisable early solely as the result of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g. Any grant of Option Rights may specify Management Objectives that must be achieved as a condition to the exercise of such</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rights.</w:t>
      </w:r>
    </w:p>
    <w:p>
      <w:pPr>
        <w:spacing w:after="0" w:line="159" w:lineRule="exact"/>
        <w:rPr>
          <w:sz w:val="20"/>
          <w:szCs w:val="20"/>
          <w:color w:val="auto"/>
        </w:rPr>
      </w:pPr>
    </w:p>
    <w:p>
      <w:pPr>
        <w:ind w:right="100" w:firstLine="881"/>
        <w:spacing w:after="0" w:line="244" w:lineRule="auto"/>
        <w:rPr>
          <w:sz w:val="20"/>
          <w:szCs w:val="20"/>
          <w:color w:val="auto"/>
        </w:rPr>
      </w:pPr>
      <w:r>
        <w:rPr>
          <w:rFonts w:ascii="Arial" w:cs="Arial" w:eastAsia="Arial" w:hAnsi="Arial"/>
          <w:sz w:val="18"/>
          <w:szCs w:val="18"/>
          <w:color w:val="auto"/>
        </w:rPr>
        <w:t>h. Option Rights granted under this Plan may be (i) Incentive Stock Options, that are intended to qualify under Section 422 of the Code (or any successor to such section), (ii) “nonqualified stock options” that are not intended to so qualify, or (iii) a combination of the</w:t>
      </w:r>
    </w:p>
    <w:p>
      <w:pPr>
        <w:ind w:right="60"/>
        <w:spacing w:after="0" w:line="220" w:lineRule="auto"/>
        <w:rPr>
          <w:sz w:val="20"/>
          <w:szCs w:val="20"/>
          <w:color w:val="auto"/>
        </w:rPr>
      </w:pPr>
      <w:r>
        <w:rPr>
          <w:rFonts w:ascii="Arial" w:cs="Arial" w:eastAsia="Arial" w:hAnsi="Arial"/>
          <w:sz w:val="20"/>
          <w:szCs w:val="20"/>
          <w:color w:val="auto"/>
        </w:rPr>
        <w:t>foregoing. Incentive Stock Options may only be granted to Participants who meet the definition of “employees” under Section 3401(c) of the Code on the Date of Grant.</w:t>
      </w:r>
    </w:p>
    <w:p>
      <w:pPr>
        <w:spacing w:after="0" w:line="170" w:lineRule="exact"/>
        <w:rPr>
          <w:sz w:val="20"/>
          <w:szCs w:val="20"/>
          <w:color w:val="auto"/>
        </w:rPr>
      </w:pPr>
    </w:p>
    <w:p>
      <w:pPr>
        <w:ind w:right="360" w:firstLine="881"/>
        <w:spacing w:after="0" w:line="236" w:lineRule="auto"/>
        <w:rPr>
          <w:sz w:val="20"/>
          <w:szCs w:val="20"/>
          <w:color w:val="auto"/>
        </w:rPr>
      </w:pPr>
      <w:r>
        <w:rPr>
          <w:rFonts w:ascii="Arial" w:cs="Arial" w:eastAsia="Arial" w:hAnsi="Arial"/>
          <w:sz w:val="20"/>
          <w:szCs w:val="20"/>
          <w:color w:val="auto"/>
        </w:rPr>
        <w:t>i. The exercise of an Option Right shall result in the cancellation on a share-for-share basis of any Tandem Appreciation Right authorized under Section 5 of this Plan.</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20"/>
          <w:szCs w:val="20"/>
          <w:color w:val="auto"/>
        </w:rPr>
        <w:t>j. No Option Right shall be exercisable more than 10 years from the Date of Grant.</w:t>
      </w:r>
    </w:p>
    <w:p>
      <w:pPr>
        <w:spacing w:after="0" w:line="189" w:lineRule="exact"/>
        <w:rPr>
          <w:sz w:val="20"/>
          <w:szCs w:val="20"/>
          <w:color w:val="auto"/>
        </w:rPr>
      </w:pPr>
    </w:p>
    <w:p>
      <w:pPr>
        <w:ind w:right="620" w:firstLine="881"/>
        <w:spacing w:after="0" w:line="236" w:lineRule="auto"/>
        <w:rPr>
          <w:sz w:val="20"/>
          <w:szCs w:val="20"/>
          <w:color w:val="auto"/>
        </w:rPr>
      </w:pPr>
      <w:r>
        <w:rPr>
          <w:rFonts w:ascii="Arial" w:cs="Arial" w:eastAsia="Arial" w:hAnsi="Arial"/>
          <w:sz w:val="20"/>
          <w:szCs w:val="20"/>
          <w:color w:val="auto"/>
        </w:rPr>
        <w:t>k. Each grant of Option Rights shall be evidenced by an Evidence of Award which shall contain such terms and provisions, consistent with this Plan and applicable sections of the Code, as the Committee may approve.</w:t>
      </w:r>
    </w:p>
    <w:p>
      <w:pPr>
        <w:spacing w:after="0" w:line="149" w:lineRule="exact"/>
        <w:rPr>
          <w:sz w:val="20"/>
          <w:szCs w:val="20"/>
          <w:color w:val="auto"/>
        </w:rPr>
      </w:pPr>
    </w:p>
    <w:p>
      <w:pPr>
        <w:ind w:left="640" w:hanging="191"/>
        <w:spacing w:after="0"/>
        <w:tabs>
          <w:tab w:leader="none" w:pos="64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Appreciation Rights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firstLine="889"/>
        <w:spacing w:after="0" w:line="235" w:lineRule="auto"/>
        <w:tabs>
          <w:tab w:leader="none" w:pos="1068"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Committee may authorize the granting (i) to any Optionee, of Tandem Appreciation Rights in respect of Option Rights granted hereunder, and (ii) to any Participant, of Free-Standing Appreciation Rights. A Tandem Appreciation Right shall be a right of the Optionee, exercisable by surrender of the related Option Right, to receive from the Company an amount determined by the Committee, which shall be expressed as a percentage of the Spread (not exceeding 100 percent) at the time of exercise. Tandem Appreciation Rights may be granted at any time prior to the exercise or termination of the related Option Rights; provided, however, that a Tandem Appreciation Right awarded in relation to an Incentive Stock Option must be granted concurrently with such Incentive Stock Option. A Free-Standing Appreciation Right shall be a right of the Participant to receive from the Company an amount determined by the Committee, which shall be expressed as a percentage of the Spread (not exceeding 100 percent) at the time of exercise.</w:t>
      </w:r>
    </w:p>
    <w:p>
      <w:pPr>
        <w:spacing w:after="0" w:line="174" w:lineRule="exact"/>
        <w:rPr>
          <w:rFonts w:ascii="Arial" w:cs="Arial" w:eastAsia="Arial" w:hAnsi="Arial"/>
          <w:sz w:val="18"/>
          <w:szCs w:val="18"/>
          <w:color w:val="auto"/>
        </w:rPr>
      </w:pPr>
    </w:p>
    <w:p>
      <w:pPr>
        <w:ind w:right="300" w:firstLine="889"/>
        <w:spacing w:after="0" w:line="236" w:lineRule="auto"/>
        <w:tabs>
          <w:tab w:leader="none" w:pos="1079" w:val="left"/>
        </w:tabs>
        <w:numPr>
          <w:ilvl w:val="1"/>
          <w:numId w:val="18"/>
        </w:numPr>
        <w:rPr>
          <w:rFonts w:ascii="Arial" w:cs="Arial" w:eastAsia="Arial" w:hAnsi="Arial"/>
          <w:sz w:val="20"/>
          <w:szCs w:val="20"/>
          <w:color w:val="auto"/>
        </w:rPr>
      </w:pPr>
      <w:r>
        <w:rPr>
          <w:rFonts w:ascii="Arial" w:cs="Arial" w:eastAsia="Arial" w:hAnsi="Arial"/>
          <w:sz w:val="20"/>
          <w:szCs w:val="20"/>
          <w:color w:val="auto"/>
        </w:rPr>
        <w:t>Each grant of Appreciation Rights may utilize any or all of the authorizations, and shall be subject to all of the requirements, contained in the following provisions:</w:t>
      </w:r>
    </w:p>
    <w:p>
      <w:pPr>
        <w:spacing w:after="0" w:line="155" w:lineRule="exact"/>
        <w:rPr>
          <w:rFonts w:ascii="Arial" w:cs="Arial" w:eastAsia="Arial" w:hAnsi="Arial"/>
          <w:sz w:val="20"/>
          <w:szCs w:val="20"/>
          <w:color w:val="auto"/>
        </w:rPr>
      </w:pPr>
    </w:p>
    <w:p>
      <w:pPr>
        <w:jc w:val="both"/>
        <w:ind w:right="260" w:firstLine="1440"/>
        <w:spacing w:after="0" w:line="227" w:lineRule="auto"/>
        <w:tabs>
          <w:tab w:leader="none" w:pos="1668" w:val="left"/>
        </w:tabs>
        <w:numPr>
          <w:ilvl w:val="2"/>
          <w:numId w:val="18"/>
        </w:numPr>
        <w:rPr>
          <w:rFonts w:ascii="Arial" w:cs="Arial" w:eastAsia="Arial" w:hAnsi="Arial"/>
          <w:sz w:val="20"/>
          <w:szCs w:val="20"/>
          <w:color w:val="auto"/>
        </w:rPr>
      </w:pPr>
      <w:r>
        <w:rPr>
          <w:rFonts w:ascii="Arial" w:cs="Arial" w:eastAsia="Arial" w:hAnsi="Arial"/>
          <w:sz w:val="20"/>
          <w:szCs w:val="20"/>
          <w:color w:val="auto"/>
        </w:rPr>
        <w:t>Any grant may specify that the amount payable on exercise of an Appreciation Right may be paid by the Company in cash, in Common Shares or in any combination thereof and may either grant to the Participant or retain in the Committee the right to elect among those alternatives.</w:t>
      </w:r>
    </w:p>
    <w:p>
      <w:pPr>
        <w:spacing w:after="0" w:line="157" w:lineRule="exact"/>
        <w:rPr>
          <w:rFonts w:ascii="Arial" w:cs="Arial" w:eastAsia="Arial" w:hAnsi="Arial"/>
          <w:sz w:val="20"/>
          <w:szCs w:val="20"/>
          <w:color w:val="auto"/>
        </w:rPr>
      </w:pPr>
    </w:p>
    <w:p>
      <w:pPr>
        <w:ind w:right="500" w:firstLine="1440"/>
        <w:spacing w:after="0" w:line="236" w:lineRule="auto"/>
        <w:tabs>
          <w:tab w:leader="none" w:pos="1723" w:val="left"/>
        </w:tabs>
        <w:numPr>
          <w:ilvl w:val="2"/>
          <w:numId w:val="18"/>
        </w:numPr>
        <w:rPr>
          <w:rFonts w:ascii="Arial" w:cs="Arial" w:eastAsia="Arial" w:hAnsi="Arial"/>
          <w:sz w:val="20"/>
          <w:szCs w:val="20"/>
          <w:color w:val="auto"/>
        </w:rPr>
      </w:pPr>
      <w:r>
        <w:rPr>
          <w:rFonts w:ascii="Arial" w:cs="Arial" w:eastAsia="Arial" w:hAnsi="Arial"/>
          <w:sz w:val="20"/>
          <w:szCs w:val="20"/>
          <w:color w:val="auto"/>
        </w:rPr>
        <w:t>Any grant may specify that the amount payable on exercise of an Appreciation Right may not exceed a maximum specified by the Committee at the Date of Grant.</w:t>
      </w:r>
    </w:p>
    <w:p>
      <w:pPr>
        <w:spacing w:after="0" w:line="168" w:lineRule="exact"/>
        <w:rPr>
          <w:rFonts w:ascii="Arial" w:cs="Arial" w:eastAsia="Arial" w:hAnsi="Arial"/>
          <w:sz w:val="20"/>
          <w:szCs w:val="20"/>
          <w:color w:val="auto"/>
        </w:rPr>
      </w:pPr>
    </w:p>
    <w:p>
      <w:pPr>
        <w:ind w:right="220" w:firstLine="1440"/>
        <w:spacing w:after="0" w:line="215" w:lineRule="auto"/>
        <w:tabs>
          <w:tab w:leader="none" w:pos="1778" w:val="left"/>
        </w:tabs>
        <w:numPr>
          <w:ilvl w:val="2"/>
          <w:numId w:val="18"/>
        </w:numPr>
        <w:rPr>
          <w:rFonts w:ascii="Arial" w:cs="Arial" w:eastAsia="Arial" w:hAnsi="Arial"/>
          <w:sz w:val="20"/>
          <w:szCs w:val="20"/>
          <w:color w:val="auto"/>
        </w:rPr>
      </w:pPr>
      <w:r>
        <w:rPr>
          <w:rFonts w:ascii="Arial" w:cs="Arial" w:eastAsia="Arial" w:hAnsi="Arial"/>
          <w:sz w:val="20"/>
          <w:szCs w:val="20"/>
          <w:color w:val="auto"/>
        </w:rPr>
        <w:t>Each grant shall specify the period or periods of continuous service by the Participant with the Company or any Affiliate that is necessary before the Appreciation Right or installments thereof will become exercisable and may provide for accelerated vesting of such Appreciation Rights in the event of a Change in Control, retirement, death or Disability of the Participant or other similar transaction or event as approved by the Committee; provided that in no event will any Appreciation Right vest or become exercisable early solely as the result of a Change in Control.</w:t>
      </w:r>
    </w:p>
    <w:p>
      <w:pPr>
        <w:spacing w:after="0" w:line="171" w:lineRule="exact"/>
        <w:rPr>
          <w:rFonts w:ascii="Arial" w:cs="Arial" w:eastAsia="Arial" w:hAnsi="Arial"/>
          <w:sz w:val="20"/>
          <w:szCs w:val="20"/>
          <w:color w:val="auto"/>
        </w:rPr>
      </w:pPr>
    </w:p>
    <w:p>
      <w:pPr>
        <w:ind w:right="420" w:firstLine="1440"/>
        <w:spacing w:after="0" w:line="220" w:lineRule="auto"/>
        <w:tabs>
          <w:tab w:leader="none" w:pos="1767" w:val="left"/>
        </w:tabs>
        <w:numPr>
          <w:ilvl w:val="2"/>
          <w:numId w:val="18"/>
        </w:numPr>
        <w:rPr>
          <w:rFonts w:ascii="Arial" w:cs="Arial" w:eastAsia="Arial" w:hAnsi="Arial"/>
          <w:sz w:val="20"/>
          <w:szCs w:val="20"/>
          <w:color w:val="auto"/>
        </w:rPr>
      </w:pPr>
      <w:r>
        <w:rPr>
          <w:rFonts w:ascii="Arial" w:cs="Arial" w:eastAsia="Arial" w:hAnsi="Arial"/>
          <w:sz w:val="20"/>
          <w:szCs w:val="20"/>
          <w:color w:val="auto"/>
        </w:rPr>
        <w:t>Each grant of an Appreciation Right shall be evidenced by an Evidence of Award, which shall describe such Appreciation Right, identify any related Option Right, state that such Appreciation Right is subject to all the terms and conditions of this Plan, and contain such other terms and provisions, consistent with this Plan and applicable sections of the Code, as the Committee may approve.</w:t>
      </w:r>
    </w:p>
    <w:p>
      <w:pPr>
        <w:spacing w:after="0" w:line="169" w:lineRule="exact"/>
        <w:rPr>
          <w:rFonts w:ascii="Arial" w:cs="Arial" w:eastAsia="Arial" w:hAnsi="Arial"/>
          <w:sz w:val="20"/>
          <w:szCs w:val="20"/>
          <w:color w:val="auto"/>
        </w:rPr>
      </w:pPr>
    </w:p>
    <w:p>
      <w:pPr>
        <w:jc w:val="both"/>
        <w:ind w:right="460" w:firstLine="889"/>
        <w:spacing w:after="0" w:line="333" w:lineRule="auto"/>
        <w:tabs>
          <w:tab w:leader="none" w:pos="1068"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grant of Tandem Appreciation Rights shall provide that such Rights may be exercised only at a time when the related Option Right is also exercisable and at a time when the Spread is positive, and by surrender of the related Option Right for cancellation.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940"/>
        <w:spacing w:after="0"/>
        <w:rPr>
          <w:sz w:val="20"/>
          <w:szCs w:val="20"/>
          <w:color w:val="auto"/>
        </w:rPr>
      </w:pPr>
      <w:r>
        <w:rPr>
          <w:rFonts w:ascii="Arial" w:cs="Arial" w:eastAsia="Arial" w:hAnsi="Arial"/>
          <w:sz w:val="20"/>
          <w:szCs w:val="20"/>
          <w:color w:val="auto"/>
        </w:rPr>
        <w:t>d. Regarding Free-Standing Appreciation Rights only:</w:t>
      </w:r>
    </w:p>
    <w:p>
      <w:pPr>
        <w:spacing w:after="0" w:line="189" w:lineRule="exact"/>
        <w:rPr>
          <w:sz w:val="20"/>
          <w:szCs w:val="20"/>
          <w:color w:val="auto"/>
        </w:rPr>
      </w:pPr>
    </w:p>
    <w:p>
      <w:pPr>
        <w:ind w:right="180" w:firstLine="1440"/>
        <w:spacing w:after="0" w:line="229" w:lineRule="auto"/>
        <w:tabs>
          <w:tab w:leader="none" w:pos="1668" w:val="left"/>
        </w:tabs>
        <w:numPr>
          <w:ilvl w:val="2"/>
          <w:numId w:val="19"/>
        </w:numPr>
        <w:rPr>
          <w:rFonts w:ascii="Arial" w:cs="Arial" w:eastAsia="Arial" w:hAnsi="Arial"/>
          <w:sz w:val="20"/>
          <w:szCs w:val="20"/>
          <w:color w:val="auto"/>
        </w:rPr>
      </w:pPr>
      <w:r>
        <w:rPr>
          <w:rFonts w:ascii="Arial" w:cs="Arial" w:eastAsia="Arial" w:hAnsi="Arial"/>
          <w:sz w:val="20"/>
          <w:szCs w:val="20"/>
          <w:color w:val="auto"/>
        </w:rPr>
        <w:t>Each grant shall specify in respect of each Free-Standing Appreciation Right a Base Price, which shall not be less than the Market Value per Share on the Date of Grant;</w:t>
      </w:r>
    </w:p>
    <w:p>
      <w:pPr>
        <w:spacing w:after="0" w:line="168" w:lineRule="exact"/>
        <w:rPr>
          <w:rFonts w:ascii="Arial" w:cs="Arial" w:eastAsia="Arial" w:hAnsi="Arial"/>
          <w:sz w:val="20"/>
          <w:szCs w:val="20"/>
          <w:color w:val="auto"/>
        </w:rPr>
      </w:pPr>
    </w:p>
    <w:p>
      <w:pPr>
        <w:ind w:right="240" w:firstLine="1440"/>
        <w:spacing w:after="0" w:line="236" w:lineRule="auto"/>
        <w:tabs>
          <w:tab w:leader="none" w:pos="1723" w:val="left"/>
        </w:tabs>
        <w:numPr>
          <w:ilvl w:val="2"/>
          <w:numId w:val="19"/>
        </w:numPr>
        <w:rPr>
          <w:rFonts w:ascii="Arial" w:cs="Arial" w:eastAsia="Arial" w:hAnsi="Arial"/>
          <w:sz w:val="20"/>
          <w:szCs w:val="20"/>
          <w:color w:val="auto"/>
        </w:rPr>
      </w:pPr>
      <w:r>
        <w:rPr>
          <w:rFonts w:ascii="Arial" w:cs="Arial" w:eastAsia="Arial" w:hAnsi="Arial"/>
          <w:sz w:val="20"/>
          <w:szCs w:val="20"/>
          <w:color w:val="auto"/>
        </w:rPr>
        <w:t>Successive grants may be made to the same Participant regardless of whether any Free-Standing Appreciation Rights previously granted to the Participant remain unexercised; and</w:t>
      </w:r>
    </w:p>
    <w:p>
      <w:pPr>
        <w:spacing w:after="0" w:line="155" w:lineRule="exact"/>
        <w:rPr>
          <w:rFonts w:ascii="Arial" w:cs="Arial" w:eastAsia="Arial" w:hAnsi="Arial"/>
          <w:sz w:val="20"/>
          <w:szCs w:val="20"/>
          <w:color w:val="auto"/>
        </w:rPr>
      </w:pPr>
    </w:p>
    <w:p>
      <w:pPr>
        <w:ind w:left="1780" w:hanging="340"/>
        <w:spacing w:after="0"/>
        <w:tabs>
          <w:tab w:leader="none" w:pos="1780" w:val="left"/>
        </w:tabs>
        <w:numPr>
          <w:ilvl w:val="2"/>
          <w:numId w:val="19"/>
        </w:numPr>
        <w:rPr>
          <w:rFonts w:ascii="Arial" w:cs="Arial" w:eastAsia="Arial" w:hAnsi="Arial"/>
          <w:sz w:val="18"/>
          <w:szCs w:val="18"/>
          <w:color w:val="auto"/>
        </w:rPr>
      </w:pPr>
      <w:r>
        <w:rPr>
          <w:rFonts w:ascii="Arial" w:cs="Arial" w:eastAsia="Arial" w:hAnsi="Arial"/>
          <w:sz w:val="18"/>
          <w:szCs w:val="18"/>
          <w:color w:val="auto"/>
        </w:rPr>
        <w:t>No Free-Standing Appreciation Right granted under this Plan may be exercised more than 10 years from the Date of</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Grant.</w:t>
      </w:r>
    </w:p>
    <w:p>
      <w:pPr>
        <w:spacing w:after="0" w:line="170" w:lineRule="exact"/>
        <w:rPr>
          <w:rFonts w:ascii="Arial" w:cs="Arial" w:eastAsia="Arial" w:hAnsi="Arial"/>
          <w:sz w:val="18"/>
          <w:szCs w:val="18"/>
          <w:color w:val="auto"/>
        </w:rPr>
      </w:pPr>
    </w:p>
    <w:p>
      <w:pPr>
        <w:ind w:left="1080" w:hanging="191"/>
        <w:spacing w:after="0"/>
        <w:tabs>
          <w:tab w:leader="none" w:pos="108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grant of Appreciation Rights may specify Management Objectives that must be achieved as a condition to exercise such</w:t>
      </w:r>
    </w:p>
    <w:p>
      <w:pPr>
        <w:spacing w:after="0"/>
        <w:rPr>
          <w:rFonts w:ascii="Arial" w:cs="Arial" w:eastAsia="Arial" w:hAnsi="Arial"/>
          <w:sz w:val="18"/>
          <w:szCs w:val="18"/>
          <w:color w:val="auto"/>
        </w:rPr>
      </w:pPr>
      <w:r>
        <w:rPr>
          <w:rFonts w:ascii="Arial" w:cs="Arial" w:eastAsia="Arial" w:hAnsi="Arial"/>
          <w:sz w:val="20"/>
          <w:szCs w:val="20"/>
          <w:color w:val="auto"/>
        </w:rPr>
        <w:t>rights.</w:t>
      </w:r>
    </w:p>
    <w:p>
      <w:pPr>
        <w:spacing w:after="0" w:line="166" w:lineRule="exact"/>
        <w:rPr>
          <w:rFonts w:ascii="Arial" w:cs="Arial" w:eastAsia="Arial" w:hAnsi="Arial"/>
          <w:sz w:val="18"/>
          <w:szCs w:val="18"/>
          <w:color w:val="auto"/>
        </w:rPr>
      </w:pPr>
    </w:p>
    <w:p>
      <w:pPr>
        <w:ind w:right="40" w:firstLine="449"/>
        <w:spacing w:after="0" w:line="255" w:lineRule="auto"/>
        <w:tabs>
          <w:tab w:leader="none" w:pos="639"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Units and Performance Shares</w:t>
      </w:r>
      <w:r>
        <w:rPr>
          <w:rFonts w:ascii="Arial" w:cs="Arial" w:eastAsia="Arial" w:hAnsi="Arial"/>
          <w:sz w:val="18"/>
          <w:szCs w:val="18"/>
          <w:color w:val="auto"/>
        </w:rPr>
        <w:t>. The Committee may also authorize the granting to Participants of Performance Units</w:t>
      </w:r>
      <w:r>
        <w:rPr>
          <w:rFonts w:ascii="Arial" w:cs="Arial" w:eastAsia="Arial" w:hAnsi="Arial"/>
          <w:sz w:val="18"/>
          <w:szCs w:val="18"/>
          <w:b w:val="1"/>
          <w:bCs w:val="1"/>
          <w:color w:val="auto"/>
        </w:rPr>
        <w:t xml:space="preserve"> </w:t>
      </w:r>
      <w:r>
        <w:rPr>
          <w:rFonts w:ascii="Arial" w:cs="Arial" w:eastAsia="Arial" w:hAnsi="Arial"/>
          <w:sz w:val="18"/>
          <w:szCs w:val="18"/>
          <w:color w:val="auto"/>
        </w:rPr>
        <w:t>and Performance Shares that will become payable to a Participant upon achievement of specified Management Objectives. Each such grant may utilize any or all of the authorizations, and shall be subject to all of the limitations, contained in the following provisions:</w:t>
      </w:r>
    </w:p>
    <w:p>
      <w:pPr>
        <w:spacing w:after="0" w:line="156" w:lineRule="exact"/>
        <w:rPr>
          <w:rFonts w:ascii="Arial" w:cs="Arial" w:eastAsia="Arial" w:hAnsi="Arial"/>
          <w:sz w:val="18"/>
          <w:szCs w:val="18"/>
          <w:b w:val="1"/>
          <w:bCs w:val="1"/>
          <w:color w:val="auto"/>
        </w:rPr>
      </w:pPr>
    </w:p>
    <w:p>
      <w:pPr>
        <w:ind w:right="280" w:firstLine="889"/>
        <w:spacing w:after="0" w:line="236" w:lineRule="auto"/>
        <w:tabs>
          <w:tab w:leader="none" w:pos="1068" w:val="left"/>
        </w:tabs>
        <w:numPr>
          <w:ilvl w:val="1"/>
          <w:numId w:val="21"/>
        </w:numPr>
        <w:rPr>
          <w:rFonts w:ascii="Arial" w:cs="Arial" w:eastAsia="Arial" w:hAnsi="Arial"/>
          <w:sz w:val="20"/>
          <w:szCs w:val="20"/>
          <w:color w:val="auto"/>
        </w:rPr>
      </w:pPr>
      <w:r>
        <w:rPr>
          <w:rFonts w:ascii="Arial" w:cs="Arial" w:eastAsia="Arial" w:hAnsi="Arial"/>
          <w:sz w:val="20"/>
          <w:szCs w:val="20"/>
          <w:color w:val="auto"/>
        </w:rPr>
        <w:t>Each grant shall specify the number of Performance Units or Performance Shares to which it pertains, which number may be subject to adjustment to reflect changes in compensation or other factors.</w:t>
      </w:r>
    </w:p>
    <w:p>
      <w:pPr>
        <w:spacing w:after="0" w:line="155" w:lineRule="exact"/>
        <w:rPr>
          <w:rFonts w:ascii="Arial" w:cs="Arial" w:eastAsia="Arial" w:hAnsi="Arial"/>
          <w:sz w:val="20"/>
          <w:szCs w:val="20"/>
          <w:color w:val="auto"/>
        </w:rPr>
      </w:pPr>
    </w:p>
    <w:p>
      <w:pPr>
        <w:ind w:right="40" w:firstLine="889"/>
        <w:spacing w:after="0" w:line="220" w:lineRule="auto"/>
        <w:tabs>
          <w:tab w:leader="none" w:pos="1079"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Performance Period with respect to each Performance Unit or Performance Share shall be such period of time commencing with the Date of Grant as shall be determined by the Committee at the time of grant. Each grant may provide for the earlier lapse or other modification of such Performance Period in the event of a Change in Control, retirement, or death or Disability of the Participant or other similar transaction or event as approved by the Committee.</w:t>
      </w:r>
    </w:p>
    <w:p>
      <w:pPr>
        <w:spacing w:after="0" w:line="169" w:lineRule="exact"/>
        <w:rPr>
          <w:rFonts w:ascii="Arial" w:cs="Arial" w:eastAsia="Arial" w:hAnsi="Arial"/>
          <w:sz w:val="20"/>
          <w:szCs w:val="20"/>
          <w:color w:val="auto"/>
        </w:rPr>
      </w:pPr>
    </w:p>
    <w:p>
      <w:pPr>
        <w:ind w:right="140" w:firstLine="889"/>
        <w:spacing w:after="0" w:line="238" w:lineRule="auto"/>
        <w:tabs>
          <w:tab w:leader="none" w:pos="1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grant of Performance Units or Performance Shares shall specify Management Objectives which, if achieved, will result in payment of the Award, and each grant may specify in respect of such specified Management Objectives a minimum acceptable level of achievement and shall set forth a formula for determining the number of Performance Units or Performance Shares that will be earned if performance is at or above the minimum level, but falls short of full achievement of the specified Management Objectives. Each grant of Performance Units or Performance Shares shall specify that, before any Performance Shares or Performance Units are earned and paid, the Committee must determine that at least the minimum level of Management Objectives has been satisfied.</w:t>
      </w:r>
    </w:p>
    <w:p>
      <w:pPr>
        <w:spacing w:after="0" w:line="172" w:lineRule="exact"/>
        <w:rPr>
          <w:rFonts w:ascii="Arial" w:cs="Arial" w:eastAsia="Arial" w:hAnsi="Arial"/>
          <w:sz w:val="18"/>
          <w:szCs w:val="18"/>
          <w:color w:val="auto"/>
        </w:rPr>
      </w:pPr>
    </w:p>
    <w:p>
      <w:pPr>
        <w:ind w:right="220" w:firstLine="889"/>
        <w:spacing w:after="0" w:line="220" w:lineRule="auto"/>
        <w:tabs>
          <w:tab w:leader="none" w:pos="1079" w:val="left"/>
        </w:tabs>
        <w:numPr>
          <w:ilvl w:val="1"/>
          <w:numId w:val="21"/>
        </w:numPr>
        <w:rPr>
          <w:rFonts w:ascii="Arial" w:cs="Arial" w:eastAsia="Arial" w:hAnsi="Arial"/>
          <w:sz w:val="20"/>
          <w:szCs w:val="20"/>
          <w:color w:val="auto"/>
        </w:rPr>
      </w:pPr>
      <w:r>
        <w:rPr>
          <w:rFonts w:ascii="Arial" w:cs="Arial" w:eastAsia="Arial" w:hAnsi="Arial"/>
          <w:sz w:val="20"/>
          <w:szCs w:val="20"/>
          <w:color w:val="auto"/>
        </w:rPr>
        <w:t>Each grant shall specify the time and manner of payment of Performance Units or Performance Shares that have been earned. Any grant may specify that the amount payable with respect thereto may be paid by the Company to the Participant in cash, in Common Shares or in any combination thereof, and may either grant to the Participant or retain in the Committee the right to elect among those alternatives.</w:t>
      </w:r>
    </w:p>
    <w:p>
      <w:pPr>
        <w:spacing w:after="0" w:line="155" w:lineRule="exact"/>
        <w:rPr>
          <w:rFonts w:ascii="Arial" w:cs="Arial" w:eastAsia="Arial" w:hAnsi="Arial"/>
          <w:sz w:val="20"/>
          <w:szCs w:val="20"/>
          <w:color w:val="auto"/>
        </w:rPr>
      </w:pPr>
    </w:p>
    <w:p>
      <w:pPr>
        <w:ind w:right="220" w:firstLine="889"/>
        <w:spacing w:after="0" w:line="259" w:lineRule="auto"/>
        <w:tabs>
          <w:tab w:leader="none" w:pos="106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grant of Performance Units may specify that the amount payable or the number of Common Shares issued with respect thereto may not exceed maximums specified by the Committee at the Date of Grant. Any grant of Performance Shares may specify that the amount payable with respect thereto may not exceed a maximum specified by the Committee at the Date of Grant.</w:t>
      </w:r>
    </w:p>
    <w:p>
      <w:pPr>
        <w:spacing w:after="0" w:line="139" w:lineRule="exact"/>
        <w:rPr>
          <w:rFonts w:ascii="Arial" w:cs="Arial" w:eastAsia="Arial" w:hAnsi="Arial"/>
          <w:sz w:val="18"/>
          <w:szCs w:val="18"/>
          <w:color w:val="auto"/>
        </w:rPr>
      </w:pPr>
    </w:p>
    <w:p>
      <w:pPr>
        <w:ind w:right="120" w:firstLine="889"/>
        <w:spacing w:after="0" w:line="257" w:lineRule="auto"/>
        <w:tabs>
          <w:tab w:leader="none" w:pos="1046" w:val="left"/>
        </w:tabs>
        <w:numPr>
          <w:ilvl w:val="1"/>
          <w:numId w:val="21"/>
        </w:numPr>
        <w:rPr>
          <w:rFonts w:ascii="Arial" w:cs="Arial" w:eastAsia="Arial" w:hAnsi="Arial"/>
          <w:sz w:val="19"/>
          <w:szCs w:val="19"/>
          <w:color w:val="auto"/>
        </w:rPr>
      </w:pPr>
      <w:r>
        <w:rPr>
          <w:rFonts w:ascii="Arial" w:cs="Arial" w:eastAsia="Arial" w:hAnsi="Arial"/>
          <w:sz w:val="19"/>
          <w:szCs w:val="19"/>
          <w:color w:val="auto"/>
        </w:rPr>
        <w:t>Each grant of Performance Units or Performance Shares shall be evidenced by an Evidence of Award, which shall contain such terms and provisions, consistent with this Plan and applicable sections of the Code, as the Committee may approve.</w:t>
      </w:r>
    </w:p>
    <w:p>
      <w:pPr>
        <w:spacing w:after="0" w:line="153" w:lineRule="exact"/>
        <w:rPr>
          <w:rFonts w:ascii="Arial" w:cs="Arial" w:eastAsia="Arial" w:hAnsi="Arial"/>
          <w:sz w:val="19"/>
          <w:szCs w:val="19"/>
          <w:color w:val="auto"/>
        </w:rPr>
      </w:pPr>
    </w:p>
    <w:p>
      <w:pPr>
        <w:ind w:right="60" w:firstLine="889"/>
        <w:spacing w:after="0" w:line="223" w:lineRule="auto"/>
        <w:tabs>
          <w:tab w:leader="none" w:pos="1079"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Committee may, at the Date of Grant of Performance Shares, provide for the payment of dividend equivalents to the holder thereof on either a current or deferred or contingent basis, either in cash or in additional Common Shares. Notwithstanding the foregoing, in no event shall dividend equivalents be paid prior to the vesting of the underlying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40" w:firstLine="449"/>
        <w:spacing w:after="0" w:line="292" w:lineRule="auto"/>
        <w:tabs>
          <w:tab w:leader="none" w:pos="63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Shares</w:t>
      </w:r>
      <w:r>
        <w:rPr>
          <w:rFonts w:ascii="Arial" w:cs="Arial" w:eastAsia="Arial" w:hAnsi="Arial"/>
          <w:sz w:val="18"/>
          <w:szCs w:val="18"/>
          <w:color w:val="auto"/>
        </w:rPr>
        <w:t>. The Committee may also authorize the grant or sale of Restricted Shares to Participants. Each such grant or sale</w:t>
      </w:r>
      <w:r>
        <w:rPr>
          <w:rFonts w:ascii="Arial" w:cs="Arial" w:eastAsia="Arial" w:hAnsi="Arial"/>
          <w:sz w:val="18"/>
          <w:szCs w:val="18"/>
          <w:b w:val="1"/>
          <w:bCs w:val="1"/>
          <w:color w:val="auto"/>
        </w:rPr>
        <w:t xml:space="preserve"> </w:t>
      </w:r>
      <w:r>
        <w:rPr>
          <w:rFonts w:ascii="Arial" w:cs="Arial" w:eastAsia="Arial" w:hAnsi="Arial"/>
          <w:sz w:val="18"/>
          <w:szCs w:val="18"/>
          <w:color w:val="auto"/>
        </w:rPr>
        <w:t>may utilize any or all of the authorizations, and shall be subject to all of the limitations, contained in the following provisions:</w:t>
      </w:r>
    </w:p>
    <w:p>
      <w:pPr>
        <w:spacing w:after="0" w:line="109" w:lineRule="exact"/>
        <w:rPr>
          <w:rFonts w:ascii="Arial" w:cs="Arial" w:eastAsia="Arial" w:hAnsi="Arial"/>
          <w:sz w:val="18"/>
          <w:szCs w:val="18"/>
          <w:b w:val="1"/>
          <w:bCs w:val="1"/>
          <w:color w:val="auto"/>
        </w:rPr>
      </w:pPr>
    </w:p>
    <w:p>
      <w:pPr>
        <w:ind w:right="480" w:firstLine="889"/>
        <w:spacing w:after="0" w:line="259" w:lineRule="auto"/>
        <w:tabs>
          <w:tab w:leader="none" w:pos="1068"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such grant or sale shall constitute an immediate transfer of the ownership of Common Shares to the Participant in consideration of the performance of services, entitling such Participant to voting, dividend and other ownership rights (unless otherwise determined by the Committee), but subject to the substantial risk of forfeiture and restrictions on transfer hereinafter referred to.</w:t>
      </w:r>
    </w:p>
    <w:p>
      <w:pPr>
        <w:spacing w:after="0" w:line="139" w:lineRule="exact"/>
        <w:rPr>
          <w:rFonts w:ascii="Arial" w:cs="Arial" w:eastAsia="Arial" w:hAnsi="Arial"/>
          <w:sz w:val="18"/>
          <w:szCs w:val="18"/>
          <w:color w:val="auto"/>
        </w:rPr>
      </w:pPr>
    </w:p>
    <w:p>
      <w:pPr>
        <w:ind w:right="80" w:firstLine="889"/>
        <w:spacing w:after="0" w:line="236" w:lineRule="auto"/>
        <w:tabs>
          <w:tab w:leader="none" w:pos="1079"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such grant or sale may be made without additional consideration or in consideration of a payment by such Participant that is less than Market Value per Share at the Date of Grant.</w:t>
      </w:r>
    </w:p>
    <w:p>
      <w:pPr>
        <w:spacing w:after="0" w:line="168" w:lineRule="exact"/>
        <w:rPr>
          <w:rFonts w:ascii="Arial" w:cs="Arial" w:eastAsia="Arial" w:hAnsi="Arial"/>
          <w:sz w:val="20"/>
          <w:szCs w:val="20"/>
          <w:color w:val="auto"/>
        </w:rPr>
      </w:pPr>
    </w:p>
    <w:p>
      <w:pPr>
        <w:ind w:right="20" w:firstLine="889"/>
        <w:spacing w:after="0" w:line="215" w:lineRule="auto"/>
        <w:tabs>
          <w:tab w:leader="none" w:pos="1068"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such grant or sale shall provide that the Restricted Shares covered by such grant or sale shall be subject to a “substantial risk of forfeiture” within the meaning of Section 83 of the Code for a period to be determined by the Committee at the Date of Grant and may provide for the earlier lapse of such substantial risk of forfeiture in the event of a Change in Control, retirement, or death or Disability of the Participant or other similar transaction or event as approved by the Committee; provided that in no event will such substantial risk of forfeiture lapse early solely as the result of a Change in Control.</w:t>
      </w:r>
    </w:p>
    <w:p>
      <w:pPr>
        <w:spacing w:after="0" w:line="171" w:lineRule="exact"/>
        <w:rPr>
          <w:rFonts w:ascii="Arial" w:cs="Arial" w:eastAsia="Arial" w:hAnsi="Arial"/>
          <w:sz w:val="20"/>
          <w:szCs w:val="20"/>
          <w:color w:val="auto"/>
        </w:rPr>
      </w:pPr>
    </w:p>
    <w:p>
      <w:pPr>
        <w:ind w:right="340" w:firstLine="889"/>
        <w:spacing w:after="0" w:line="246" w:lineRule="auto"/>
        <w:tabs>
          <w:tab w:leader="none" w:pos="107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such grant or sale shall provide that during the period for which such substantial risk of forfeiture is to continue, the transferability of the Restricted Shares shall be prohibited or restricted in the manner and to the extent prescribed by the Committee at the Date of Grant (which restrictions may include, without limitation, rights of repurchase or first refusal in the Company or provisions subjecting the Restricted Shares to a continuing substantial risk of forfeiture in the hands of any transferee).</w:t>
      </w:r>
    </w:p>
    <w:p>
      <w:pPr>
        <w:spacing w:after="0" w:line="163" w:lineRule="exact"/>
        <w:rPr>
          <w:rFonts w:ascii="Arial" w:cs="Arial" w:eastAsia="Arial" w:hAnsi="Arial"/>
          <w:sz w:val="18"/>
          <w:szCs w:val="18"/>
          <w:color w:val="auto"/>
        </w:rPr>
      </w:pPr>
    </w:p>
    <w:p>
      <w:pPr>
        <w:ind w:right="520" w:firstLine="889"/>
        <w:spacing w:after="0" w:line="281" w:lineRule="auto"/>
        <w:tabs>
          <w:tab w:leader="none" w:pos="1068"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grant of Restricted Shares may specify Management Objectives that, if achieved, will result in termination or early termination of the restrictions applicable to such shares. Each grant may specify in respect of such Management Objectives a minimum acceptable level of achievement and may set forth a formula for determining the number of Restricted Shares on which restrictions will terminate if performance is at or above the minimum level, but falls short of full achievement of the specified Management Objectives.</w:t>
      </w:r>
    </w:p>
    <w:p>
      <w:pPr>
        <w:spacing w:after="0" w:line="137" w:lineRule="exact"/>
        <w:rPr>
          <w:rFonts w:ascii="Arial" w:cs="Arial" w:eastAsia="Arial" w:hAnsi="Arial"/>
          <w:sz w:val="16"/>
          <w:szCs w:val="16"/>
          <w:color w:val="auto"/>
        </w:rPr>
      </w:pPr>
    </w:p>
    <w:p>
      <w:pPr>
        <w:ind w:right="200" w:firstLine="889"/>
        <w:spacing w:after="0" w:line="223" w:lineRule="auto"/>
        <w:tabs>
          <w:tab w:leader="none" w:pos="1046" w:val="left"/>
        </w:tabs>
        <w:numPr>
          <w:ilvl w:val="1"/>
          <w:numId w:val="22"/>
        </w:numPr>
        <w:rPr>
          <w:rFonts w:ascii="Arial" w:cs="Arial" w:eastAsia="Arial" w:hAnsi="Arial"/>
          <w:sz w:val="20"/>
          <w:szCs w:val="20"/>
          <w:color w:val="auto"/>
        </w:rPr>
      </w:pPr>
      <w:r>
        <w:rPr>
          <w:rFonts w:ascii="Arial" w:cs="Arial" w:eastAsia="Arial" w:hAnsi="Arial"/>
          <w:sz w:val="20"/>
          <w:szCs w:val="20"/>
          <w:color w:val="auto"/>
        </w:rPr>
        <w:t>Any such grant or sale of Restricted Shares may require that any or all dividends or other distributions paid thereon during the period of such restrictions be automatically deferred and reinvested in additional Restricted Shares, which may be subject to the same restrictions as the underlying Award.</w:t>
      </w:r>
    </w:p>
    <w:p>
      <w:pPr>
        <w:spacing w:after="0" w:line="168" w:lineRule="exact"/>
        <w:rPr>
          <w:rFonts w:ascii="Arial" w:cs="Arial" w:eastAsia="Arial" w:hAnsi="Arial"/>
          <w:sz w:val="20"/>
          <w:szCs w:val="20"/>
          <w:color w:val="auto"/>
        </w:rPr>
      </w:pPr>
    </w:p>
    <w:p>
      <w:pPr>
        <w:ind w:right="200" w:firstLine="889"/>
        <w:spacing w:after="0" w:line="218" w:lineRule="auto"/>
        <w:tabs>
          <w:tab w:leader="none" w:pos="1079"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grant or sale of Restricted Shares shall be evidenced by an Evidence of Award, which shall contain such terms and provisions, consistent with this Plan and applicable sections of the Code, as the Committee may approve. Unless otherwise directed by the Committee, all certificates representing Restricted Shares shall be held in custody by the Company until all restrictions thereon shall have lapsed, together with a stock power or powers executed by the Participant in whose name such certificates are registered, endorsed in blank and covering such Shares.</w:t>
      </w:r>
    </w:p>
    <w:p>
      <w:pPr>
        <w:spacing w:after="0" w:line="151" w:lineRule="exact"/>
        <w:rPr>
          <w:rFonts w:ascii="Arial" w:cs="Arial" w:eastAsia="Arial" w:hAnsi="Arial"/>
          <w:sz w:val="20"/>
          <w:szCs w:val="20"/>
          <w:color w:val="auto"/>
        </w:rPr>
      </w:pPr>
    </w:p>
    <w:p>
      <w:pPr>
        <w:ind w:right="100" w:firstLine="449"/>
        <w:spacing w:after="0" w:line="292" w:lineRule="auto"/>
        <w:tabs>
          <w:tab w:leader="none" w:pos="639"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 The Committee may also authorize the grant or sale of Restricted Stock Units to Participants.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grant or sale may utilize any or all of the authorizations, and shall be subject to all of the requirements contained in the following provisions:</w:t>
      </w:r>
    </w:p>
    <w:p>
      <w:pPr>
        <w:spacing w:after="0" w:line="123" w:lineRule="exact"/>
        <w:rPr>
          <w:rFonts w:ascii="Arial" w:cs="Arial" w:eastAsia="Arial" w:hAnsi="Arial"/>
          <w:sz w:val="18"/>
          <w:szCs w:val="18"/>
          <w:b w:val="1"/>
          <w:bCs w:val="1"/>
          <w:color w:val="auto"/>
        </w:rPr>
      </w:pPr>
    </w:p>
    <w:p>
      <w:pPr>
        <w:ind w:right="100" w:firstLine="889"/>
        <w:spacing w:after="0" w:line="235" w:lineRule="auto"/>
        <w:tabs>
          <w:tab w:leader="none" w:pos="1068" w:val="left"/>
        </w:tabs>
        <w:numPr>
          <w:ilvl w:val="1"/>
          <w:numId w:val="22"/>
        </w:numPr>
        <w:rPr>
          <w:rFonts w:ascii="Arial" w:cs="Arial" w:eastAsia="Arial" w:hAnsi="Arial"/>
          <w:sz w:val="19"/>
          <w:szCs w:val="19"/>
          <w:color w:val="auto"/>
        </w:rPr>
      </w:pPr>
      <w:r>
        <w:rPr>
          <w:rFonts w:ascii="Arial" w:cs="Arial" w:eastAsia="Arial" w:hAnsi="Arial"/>
          <w:sz w:val="19"/>
          <w:szCs w:val="19"/>
          <w:color w:val="auto"/>
        </w:rPr>
        <w:t>Each such grant or sale shall constitute the agreement by the Company to deliver Common Shares, pay an amount in cash, or pay a combination of Common Shares and cash to the Participant in the future in consideration of the performance of services, but subject to the fulfillment of such conditions during the Restriction Period as the Committee may specify.</w:t>
      </w:r>
    </w:p>
    <w:p>
      <w:pPr>
        <w:spacing w:after="0" w:line="168" w:lineRule="exact"/>
        <w:rPr>
          <w:rFonts w:ascii="Arial" w:cs="Arial" w:eastAsia="Arial" w:hAnsi="Arial"/>
          <w:sz w:val="19"/>
          <w:szCs w:val="19"/>
          <w:color w:val="auto"/>
        </w:rPr>
      </w:pPr>
    </w:p>
    <w:p>
      <w:pPr>
        <w:ind w:right="80" w:firstLine="889"/>
        <w:spacing w:after="0" w:line="229" w:lineRule="auto"/>
        <w:tabs>
          <w:tab w:leader="none" w:pos="1079"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such grant or sale may be made without additional consideration or in consideration of a payment by such Participant that is less than the Market Value per Share at the Date of Grant.</w:t>
      </w:r>
    </w:p>
    <w:p>
      <w:pPr>
        <w:spacing w:after="0" w:line="168" w:lineRule="exact"/>
        <w:rPr>
          <w:rFonts w:ascii="Arial" w:cs="Arial" w:eastAsia="Arial" w:hAnsi="Arial"/>
          <w:sz w:val="20"/>
          <w:szCs w:val="20"/>
          <w:color w:val="auto"/>
        </w:rPr>
      </w:pPr>
    </w:p>
    <w:p>
      <w:pPr>
        <w:ind w:right="220" w:firstLine="889"/>
        <w:spacing w:after="0" w:line="223" w:lineRule="auto"/>
        <w:tabs>
          <w:tab w:leader="none" w:pos="1068" w:val="left"/>
        </w:tabs>
        <w:numPr>
          <w:ilvl w:val="1"/>
          <w:numId w:val="22"/>
        </w:numPr>
        <w:rPr>
          <w:rFonts w:ascii="Arial" w:cs="Arial" w:eastAsia="Arial" w:hAnsi="Arial"/>
          <w:sz w:val="20"/>
          <w:szCs w:val="20"/>
          <w:color w:val="auto"/>
        </w:rPr>
      </w:pPr>
      <w:r>
        <w:rPr>
          <w:rFonts w:ascii="Arial" w:cs="Arial" w:eastAsia="Arial" w:hAnsi="Arial"/>
          <w:sz w:val="20"/>
          <w:szCs w:val="20"/>
          <w:color w:val="auto"/>
        </w:rPr>
        <w:t>Each such grant or sale shall be subject to a Restriction Period as determined by the Committee at the Date of Grant, and may provide for the earlier lapse or other modification of such Restriction Period in the event of a Change in Control, retirement, or death or Disability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or other similar transaction or event as approved by the Committee; provided that in no event will a Restriction Period lapse early solely as the result of a Change in Control.</w:t>
      </w:r>
    </w:p>
    <w:p>
      <w:pPr>
        <w:spacing w:after="0" w:line="155" w:lineRule="exact"/>
        <w:rPr>
          <w:sz w:val="20"/>
          <w:szCs w:val="20"/>
          <w:color w:val="auto"/>
        </w:rPr>
      </w:pPr>
    </w:p>
    <w:p>
      <w:pPr>
        <w:ind w:right="280" w:firstLine="881"/>
        <w:spacing w:after="0" w:line="244" w:lineRule="auto"/>
        <w:rPr>
          <w:sz w:val="20"/>
          <w:szCs w:val="20"/>
          <w:color w:val="auto"/>
        </w:rPr>
      </w:pPr>
      <w:r>
        <w:rPr>
          <w:rFonts w:ascii="Arial" w:cs="Arial" w:eastAsia="Arial" w:hAnsi="Arial"/>
          <w:sz w:val="18"/>
          <w:szCs w:val="18"/>
          <w:color w:val="auto"/>
        </w:rPr>
        <w:t>d. Any grant of Restricted Stock Units may specify Management Objectives that, if achieved, will result in termination or early termination of the Restriction Period applicable to such shares. Each grant may specify in respect of such Management Objectives a</w:t>
      </w:r>
    </w:p>
    <w:p>
      <w:pPr>
        <w:ind w:right="200"/>
        <w:spacing w:after="0" w:line="226" w:lineRule="auto"/>
        <w:rPr>
          <w:sz w:val="20"/>
          <w:szCs w:val="20"/>
          <w:color w:val="auto"/>
        </w:rPr>
      </w:pPr>
      <w:r>
        <w:rPr>
          <w:rFonts w:ascii="Arial" w:cs="Arial" w:eastAsia="Arial" w:hAnsi="Arial"/>
          <w:sz w:val="18"/>
          <w:szCs w:val="18"/>
          <w:color w:val="auto"/>
        </w:rPr>
        <w:t>minimum acceptable level of achievement and may set forth a formula for determining the number of Restricted Stock Units on which restrictions will terminate if performance is at or above the minimum level, but falls short of full achievement of the specified Management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Objectives.</w:t>
      </w:r>
    </w:p>
    <w:p>
      <w:pPr>
        <w:spacing w:after="0" w:line="173" w:lineRule="exact"/>
        <w:rPr>
          <w:sz w:val="20"/>
          <w:szCs w:val="20"/>
          <w:color w:val="auto"/>
        </w:rPr>
      </w:pPr>
    </w:p>
    <w:p>
      <w:pPr>
        <w:ind w:right="20" w:firstLine="881"/>
        <w:spacing w:after="0" w:line="236" w:lineRule="auto"/>
        <w:rPr>
          <w:sz w:val="20"/>
          <w:szCs w:val="20"/>
          <w:color w:val="auto"/>
        </w:rPr>
      </w:pPr>
      <w:r>
        <w:rPr>
          <w:rFonts w:ascii="Arial" w:cs="Arial" w:eastAsia="Arial" w:hAnsi="Arial"/>
          <w:sz w:val="18"/>
          <w:szCs w:val="18"/>
          <w:color w:val="auto"/>
        </w:rPr>
        <w:t>e. During the Restriction Period, the Participant shall have no right to transfer any rights under his or her Award and shall have no rights of ownership in the Restricted Stock Units and shall have no right to vote them, but the Committee may, at the Date of Grant, authorize</w:t>
      </w:r>
    </w:p>
    <w:p>
      <w:pPr>
        <w:spacing w:after="0" w:line="235" w:lineRule="auto"/>
        <w:rPr>
          <w:sz w:val="20"/>
          <w:szCs w:val="20"/>
          <w:color w:val="auto"/>
        </w:rPr>
      </w:pPr>
      <w:r>
        <w:rPr>
          <w:rFonts w:ascii="Arial" w:cs="Arial" w:eastAsia="Arial" w:hAnsi="Arial"/>
          <w:sz w:val="18"/>
          <w:szCs w:val="18"/>
          <w:color w:val="auto"/>
        </w:rPr>
        <w:t>the payment of dividend equivalents on such Restricted Stock Units on either a current or deferred or contingent basis, either in cash or in</w:t>
      </w:r>
    </w:p>
    <w:p>
      <w:pPr>
        <w:ind w:right="780"/>
        <w:spacing w:after="0" w:line="220" w:lineRule="auto"/>
        <w:rPr>
          <w:sz w:val="20"/>
          <w:szCs w:val="20"/>
          <w:color w:val="auto"/>
        </w:rPr>
      </w:pPr>
      <w:r>
        <w:rPr>
          <w:rFonts w:ascii="Arial" w:cs="Arial" w:eastAsia="Arial" w:hAnsi="Arial"/>
          <w:sz w:val="20"/>
          <w:szCs w:val="20"/>
          <w:color w:val="auto"/>
        </w:rPr>
        <w:t>additional Common Shares. Notwithstanding the foregoing, in no event shall dividend equivalents be paid prior to the vesting of the underlying Award.</w:t>
      </w:r>
    </w:p>
    <w:p>
      <w:pPr>
        <w:spacing w:after="0" w:line="170" w:lineRule="exact"/>
        <w:rPr>
          <w:sz w:val="20"/>
          <w:szCs w:val="20"/>
          <w:color w:val="auto"/>
        </w:rPr>
      </w:pPr>
    </w:p>
    <w:p>
      <w:pPr>
        <w:ind w:right="280" w:firstLine="881"/>
        <w:spacing w:after="0" w:line="236" w:lineRule="auto"/>
        <w:rPr>
          <w:sz w:val="20"/>
          <w:szCs w:val="20"/>
          <w:color w:val="auto"/>
        </w:rPr>
      </w:pPr>
      <w:r>
        <w:rPr>
          <w:rFonts w:ascii="Arial" w:cs="Arial" w:eastAsia="Arial" w:hAnsi="Arial"/>
          <w:sz w:val="20"/>
          <w:szCs w:val="20"/>
          <w:color w:val="auto"/>
        </w:rPr>
        <w:t>f. Each grant or sale of Restricted Stock Units shall be evidenced by an Evidence of Award, which shall contain such terms and provisions, consistent with this Plan and applicable sections of the Code, as the Committee may approve.</w:t>
      </w:r>
    </w:p>
    <w:p>
      <w:pPr>
        <w:spacing w:after="0" w:line="149" w:lineRule="exact"/>
        <w:rPr>
          <w:sz w:val="20"/>
          <w:szCs w:val="20"/>
          <w:color w:val="auto"/>
        </w:rPr>
      </w:pPr>
    </w:p>
    <w:p>
      <w:pPr>
        <w:ind w:right="180" w:firstLine="449"/>
        <w:spacing w:after="0" w:line="226" w:lineRule="auto"/>
        <w:tabs>
          <w:tab w:leader="none" w:pos="639" w:val="left"/>
        </w:tabs>
        <w:numPr>
          <w:ilvl w:val="0"/>
          <w:numId w:val="23"/>
        </w:numPr>
        <w:rPr>
          <w:rFonts w:ascii="Arial" w:cs="Arial" w:eastAsia="Arial" w:hAnsi="Arial"/>
          <w:sz w:val="19"/>
          <w:szCs w:val="19"/>
          <w:b w:val="1"/>
          <w:bCs w:val="1"/>
          <w:color w:val="auto"/>
        </w:rPr>
      </w:pPr>
      <w:r>
        <w:rPr>
          <w:rFonts w:ascii="Arial" w:cs="Arial" w:eastAsia="Arial" w:hAnsi="Arial"/>
          <w:sz w:val="19"/>
          <w:szCs w:val="19"/>
          <w:b w:val="1"/>
          <w:bCs w:val="1"/>
          <w:color w:val="auto"/>
        </w:rPr>
        <w:t>Awards to Non-Employee Directors</w:t>
      </w:r>
      <w:r>
        <w:rPr>
          <w:rFonts w:ascii="Arial" w:cs="Arial" w:eastAsia="Arial" w:hAnsi="Arial"/>
          <w:sz w:val="19"/>
          <w:szCs w:val="19"/>
          <w:color w:val="auto"/>
        </w:rPr>
        <w:t>. The Board may, from time to time and upon such terms and conditions as it may determine,</w:t>
      </w:r>
      <w:r>
        <w:rPr>
          <w:rFonts w:ascii="Arial" w:cs="Arial" w:eastAsia="Arial" w:hAnsi="Arial"/>
          <w:sz w:val="19"/>
          <w:szCs w:val="19"/>
          <w:b w:val="1"/>
          <w:bCs w:val="1"/>
          <w:color w:val="auto"/>
        </w:rPr>
        <w:t xml:space="preserve"> </w:t>
      </w:r>
      <w:r>
        <w:rPr>
          <w:rFonts w:ascii="Arial" w:cs="Arial" w:eastAsia="Arial" w:hAnsi="Arial"/>
          <w:sz w:val="19"/>
          <w:szCs w:val="19"/>
          <w:color w:val="auto"/>
        </w:rPr>
        <w:t>authorize the grant or sale of Restricted Shares under Section 7 of this Plan, Restricted Stock Units under Section 8 of this Plan or other Awards under Section 10 of this Plan, or any combination of the foregoing. For clarity, the authority to grant Awards to Non-Employee Directors pursuant to this Plan rests exclusively with the Board (and, for the avoidance of doubt, not with the Committee), except to the extent expressly delegated by the Board to a committee or person(s) pursuant to Section 16. The maximum number of Common Shares subject to Awards granted during a single calendar year to any Non-Employee Director shall not exceed a total value of $500,000 (based on the Market Value per Share on the Date of Grant).</w:t>
      </w:r>
    </w:p>
    <w:p>
      <w:pPr>
        <w:spacing w:after="0" w:line="166" w:lineRule="exact"/>
        <w:rPr>
          <w:rFonts w:ascii="Arial" w:cs="Arial" w:eastAsia="Arial" w:hAnsi="Arial"/>
          <w:sz w:val="19"/>
          <w:szCs w:val="19"/>
          <w:b w:val="1"/>
          <w:bCs w:val="1"/>
          <w:color w:val="auto"/>
        </w:rPr>
      </w:pPr>
    </w:p>
    <w:p>
      <w:pPr>
        <w:ind w:left="740" w:hanging="291"/>
        <w:spacing w:after="0"/>
        <w:tabs>
          <w:tab w:leader="none" w:pos="7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Other Awards</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ind w:right="60" w:firstLine="889"/>
        <w:spacing w:after="0" w:line="223" w:lineRule="auto"/>
        <w:tabs>
          <w:tab w:leader="none" w:pos="1068" w:val="left"/>
        </w:tabs>
        <w:numPr>
          <w:ilvl w:val="1"/>
          <w:numId w:val="23"/>
        </w:numPr>
        <w:rPr>
          <w:rFonts w:ascii="Arial" w:cs="Arial" w:eastAsia="Arial" w:hAnsi="Arial"/>
          <w:sz w:val="19"/>
          <w:szCs w:val="19"/>
          <w:color w:val="auto"/>
        </w:rPr>
      </w:pPr>
      <w:r>
        <w:rPr>
          <w:rFonts w:ascii="Arial" w:cs="Arial" w:eastAsia="Arial" w:hAnsi="Arial"/>
          <w:sz w:val="19"/>
          <w:szCs w:val="19"/>
          <w:color w:val="auto"/>
        </w:rPr>
        <w:t>The Committee is authorized, subject to limitations under applicable law, to grant to any Participant such other awards that may be denominated or payable in, valued in whole or in part by reference to, or otherwise based on, or related to, Common Shares or factors that may influence the value of Common Shares, including, without limitation, convertible or exchangeable debt securities, other rights convertible or exchangeable into Common Shares, purchase rights for Common Shares, awards with value and payment contingent upon performance of the Company or business units thereof or any other factors designated by the Committee, and awards valued by reference to the book value of Common Shares or the value of securities of, or the performance of specified Subsidiaries or Affiliates or other business units of, the Company. The Committee shall determine the terms and conditions of such awards. Common Shares delivered pursuant to an award in the nature of a purchase right granted under this Section 10 shall be purchased for such consideration, paid for at such times, by such methods, and in such forms, including, without limitation, cash, Common Shares, other awards, notes or other property, as the Committee shall determine.</w:t>
      </w:r>
    </w:p>
    <w:p>
      <w:pPr>
        <w:spacing w:after="0" w:line="170" w:lineRule="exact"/>
        <w:rPr>
          <w:rFonts w:ascii="Arial" w:cs="Arial" w:eastAsia="Arial" w:hAnsi="Arial"/>
          <w:sz w:val="19"/>
          <w:szCs w:val="19"/>
          <w:color w:val="auto"/>
        </w:rPr>
      </w:pPr>
    </w:p>
    <w:p>
      <w:pPr>
        <w:ind w:right="180" w:firstLine="889"/>
        <w:spacing w:after="0" w:line="236" w:lineRule="auto"/>
        <w:tabs>
          <w:tab w:leader="none" w:pos="1079" w:val="left"/>
        </w:tabs>
        <w:numPr>
          <w:ilvl w:val="1"/>
          <w:numId w:val="23"/>
        </w:numPr>
        <w:rPr>
          <w:rFonts w:ascii="Arial" w:cs="Arial" w:eastAsia="Arial" w:hAnsi="Arial"/>
          <w:sz w:val="20"/>
          <w:szCs w:val="20"/>
          <w:color w:val="auto"/>
        </w:rPr>
      </w:pPr>
      <w:r>
        <w:rPr>
          <w:rFonts w:ascii="Arial" w:cs="Arial" w:eastAsia="Arial" w:hAnsi="Arial"/>
          <w:sz w:val="20"/>
          <w:szCs w:val="20"/>
          <w:color w:val="auto"/>
        </w:rPr>
        <w:t>Cash awards, as an element of or supplement to any other Award granted under this Plan, may also be granted pursuant to this Section 10 of this Plan.</w:t>
      </w:r>
    </w:p>
    <w:p>
      <w:pPr>
        <w:spacing w:after="0" w:line="155" w:lineRule="exact"/>
        <w:rPr>
          <w:rFonts w:ascii="Arial" w:cs="Arial" w:eastAsia="Arial" w:hAnsi="Arial"/>
          <w:sz w:val="20"/>
          <w:szCs w:val="20"/>
          <w:color w:val="auto"/>
        </w:rPr>
      </w:pPr>
    </w:p>
    <w:p>
      <w:pPr>
        <w:ind w:right="640" w:firstLine="889"/>
        <w:spacing w:after="0" w:line="227" w:lineRule="auto"/>
        <w:tabs>
          <w:tab w:leader="none" w:pos="1068" w:val="left"/>
        </w:tabs>
        <w:numPr>
          <w:ilvl w:val="1"/>
          <w:numId w:val="23"/>
        </w:numPr>
        <w:rPr>
          <w:rFonts w:ascii="Arial" w:cs="Arial" w:eastAsia="Arial" w:hAnsi="Arial"/>
          <w:sz w:val="20"/>
          <w:szCs w:val="20"/>
          <w:color w:val="auto"/>
        </w:rPr>
      </w:pPr>
      <w:r>
        <w:rPr>
          <w:rFonts w:ascii="Arial" w:cs="Arial" w:eastAsia="Arial" w:hAnsi="Arial"/>
          <w:sz w:val="20"/>
          <w:szCs w:val="20"/>
          <w:color w:val="auto"/>
        </w:rPr>
        <w:t>The Committee is authorized to grant Common Shares as a bonus, or to grant Common Shares or other awards in lieu of obligations of the Company or an Affiliate to pay cash or deliver other property under the Plan or under other plans or compensatory arrangements, subject to such terms as shall be determined by the Committee.</w:t>
      </w:r>
    </w:p>
    <w:p>
      <w:pPr>
        <w:spacing w:after="0" w:line="151" w:lineRule="exact"/>
        <w:rPr>
          <w:rFonts w:ascii="Arial" w:cs="Arial" w:eastAsia="Arial" w:hAnsi="Arial"/>
          <w:sz w:val="20"/>
          <w:szCs w:val="20"/>
          <w:color w:val="auto"/>
        </w:rPr>
      </w:pPr>
    </w:p>
    <w:p>
      <w:pPr>
        <w:ind w:left="740" w:hanging="291"/>
        <w:spacing w:after="0"/>
        <w:tabs>
          <w:tab w:leader="none" w:pos="74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Transferability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 Except as otherwise determined by the Committee, no Option Right, Appreciation Right or other derivative security granted</w:t>
      </w:r>
    </w:p>
    <w:p>
      <w:pPr>
        <w:spacing w:after="0" w:line="12"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under the Plan shall be transferable by a Participant other than by will or the laws of descent and distribution. Except as otherwise determined by the Committee, Option Rights and Appreciation Rights shall be exercisable during the Optionee’s lifetime only by him or her or by his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her guardian or legal representative.</w:t>
      </w:r>
    </w:p>
    <w:p>
      <w:pPr>
        <w:spacing w:after="0" w:line="173" w:lineRule="exact"/>
        <w:rPr>
          <w:sz w:val="20"/>
          <w:szCs w:val="20"/>
          <w:color w:val="auto"/>
        </w:rPr>
      </w:pPr>
    </w:p>
    <w:p>
      <w:pPr>
        <w:ind w:right="20" w:firstLine="881"/>
        <w:spacing w:after="0" w:line="236" w:lineRule="auto"/>
        <w:rPr>
          <w:sz w:val="20"/>
          <w:szCs w:val="20"/>
          <w:color w:val="auto"/>
        </w:rPr>
      </w:pPr>
      <w:r>
        <w:rPr>
          <w:rFonts w:ascii="Arial" w:cs="Arial" w:eastAsia="Arial" w:hAnsi="Arial"/>
          <w:sz w:val="18"/>
          <w:szCs w:val="18"/>
          <w:color w:val="auto"/>
        </w:rPr>
        <w:t>b. The Committee may specify at the Date of Grant that part or all of the Common Shares that are (i) to be issued or transferred by the Company upon the exercise of Option Rights or Appreciation Rights, upon the termination of the Restriction Period applicable to</w:t>
      </w:r>
    </w:p>
    <w:p>
      <w:pPr>
        <w:ind w:right="60"/>
        <w:spacing w:after="0" w:line="266" w:lineRule="auto"/>
        <w:rPr>
          <w:sz w:val="20"/>
          <w:szCs w:val="20"/>
          <w:color w:val="auto"/>
        </w:rPr>
      </w:pPr>
      <w:r>
        <w:rPr>
          <w:rFonts w:ascii="Arial" w:cs="Arial" w:eastAsia="Arial" w:hAnsi="Arial"/>
          <w:sz w:val="18"/>
          <w:szCs w:val="18"/>
          <w:color w:val="auto"/>
        </w:rPr>
        <w:t>Restricted Stock Units or upon payment under any grant of Performance Units or Performance Shares or (ii) no longer subject to the substantial risk of forfeiture and restrictions on transfer referred to in Section 7 of this Plan, shall be subject to further restrictions on transfer.</w:t>
      </w:r>
    </w:p>
    <w:p>
      <w:pPr>
        <w:spacing w:after="0" w:line="127" w:lineRule="exact"/>
        <w:rPr>
          <w:sz w:val="20"/>
          <w:szCs w:val="20"/>
          <w:color w:val="auto"/>
        </w:rPr>
      </w:pPr>
    </w:p>
    <w:p>
      <w:pPr>
        <w:ind w:firstLine="449"/>
        <w:spacing w:after="0" w:line="233" w:lineRule="auto"/>
        <w:tabs>
          <w:tab w:leader="none" w:pos="73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The Committee shall make or provide for such adjustments in the numbers of Common Shares covered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 Rights, Appreciation Rights, Performance Shares, Restricted Stock Units and share-based awards described in Section 10 of this Plan granted hereunder, in the Option Price and Base Price provided in outstanding Option Rights and Appreciation Rights, and in the kind of shares covered thereby, as the Committee, in its discretion, exercised in good faith, may determine is equitably required to prevent dilution or enlargement of the rights of Participants or Optionees that otherwise would result from (a) any stock dividend, stock split, combination of shares, recapitalization or other change in the capital structure of the Company, or (b) any merger, consolidation, spin-off, split-off, spin-out, split-up, reorganization, partial or complete liquidation or other distribution of assets (including, without limitation, a special or large non-recurring dividend), issuance of rights or warrants to purchase securities, or (c) any other corporate transaction or event having an effect similar to any of the foregoing. Moreover, in the event of any such transaction or event, the Committee, in its discretion, may provide in substitution for any or all outstanding Awards under this Plan such alternative consideration (including cash) as it, in good faith, may determine to be equitable in the circumstances and may require in connection therewith the surrender of all Awards so replaced. The Committee may also make or provide for such adjustments in the numbers of shares specified in Section 3 of this Plan as the Committee, in its discretion, exercised in good faith, may determine is appropriate to reflect any transaction or event described in this Section 12; provided, however, that any such adjustment to the number specified in Section 3(c)(i) shall be made only if and to the extent that such adjustment would not cause any Option intended to qualify as an Incentive Stock Option to fail so to qualify. In no event shall any adjustment be required under this Section 12 if the Committee determines that such action could cause an Award to fail to satisfy the conditions of an applicable exception from the requirements of Section 409A of the Code or otherwise could subject a Participant to the additional tax imposed under Section 409A in respect of an outstanding Award.</w:t>
      </w:r>
    </w:p>
    <w:p>
      <w:pPr>
        <w:spacing w:after="0" w:line="162" w:lineRule="exact"/>
        <w:rPr>
          <w:rFonts w:ascii="Arial" w:cs="Arial" w:eastAsia="Arial" w:hAnsi="Arial"/>
          <w:sz w:val="18"/>
          <w:szCs w:val="18"/>
          <w:b w:val="1"/>
          <w:bCs w:val="1"/>
          <w:color w:val="auto"/>
        </w:rPr>
      </w:pPr>
    </w:p>
    <w:p>
      <w:pPr>
        <w:ind w:right="880" w:firstLine="449"/>
        <w:spacing w:after="0" w:line="239" w:lineRule="auto"/>
        <w:tabs>
          <w:tab w:leader="none" w:pos="738"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Fractional Shares</w:t>
      </w:r>
      <w:r>
        <w:rPr>
          <w:rFonts w:ascii="Arial" w:cs="Arial" w:eastAsia="Arial" w:hAnsi="Arial"/>
          <w:sz w:val="20"/>
          <w:szCs w:val="20"/>
          <w:color w:val="auto"/>
        </w:rPr>
        <w:t>. The Company shall not be required to issue any fractional Common Shares pursuant to this Plan. The</w:t>
      </w:r>
      <w:r>
        <w:rPr>
          <w:rFonts w:ascii="Arial" w:cs="Arial" w:eastAsia="Arial" w:hAnsi="Arial"/>
          <w:sz w:val="20"/>
          <w:szCs w:val="20"/>
          <w:b w:val="1"/>
          <w:bCs w:val="1"/>
          <w:color w:val="auto"/>
        </w:rPr>
        <w:t xml:space="preserve"> </w:t>
      </w:r>
      <w:r>
        <w:rPr>
          <w:rFonts w:ascii="Arial" w:cs="Arial" w:eastAsia="Arial" w:hAnsi="Arial"/>
          <w:sz w:val="20"/>
          <w:szCs w:val="20"/>
          <w:color w:val="auto"/>
        </w:rPr>
        <w:t>Committee may provide for the elimination of fractions or for the settlement of fractions in cash.</w:t>
      </w:r>
    </w:p>
    <w:p>
      <w:pPr>
        <w:spacing w:after="0" w:line="149" w:lineRule="exact"/>
        <w:rPr>
          <w:rFonts w:ascii="Arial" w:cs="Arial" w:eastAsia="Arial" w:hAnsi="Arial"/>
          <w:sz w:val="20"/>
          <w:szCs w:val="20"/>
          <w:b w:val="1"/>
          <w:bCs w:val="1"/>
          <w:color w:val="auto"/>
        </w:rPr>
      </w:pPr>
    </w:p>
    <w:p>
      <w:pPr>
        <w:ind w:right="20" w:firstLine="449"/>
        <w:spacing w:after="0" w:line="226" w:lineRule="auto"/>
        <w:tabs>
          <w:tab w:leader="none" w:pos="738" w:val="left"/>
        </w:tabs>
        <w:numPr>
          <w:ilvl w:val="0"/>
          <w:numId w:val="24"/>
        </w:numPr>
        <w:rPr>
          <w:rFonts w:ascii="Arial" w:cs="Arial" w:eastAsia="Arial" w:hAnsi="Arial"/>
          <w:sz w:val="19"/>
          <w:szCs w:val="19"/>
          <w:b w:val="1"/>
          <w:bCs w:val="1"/>
          <w:color w:val="auto"/>
        </w:rPr>
      </w:pPr>
      <w:r>
        <w:rPr>
          <w:rFonts w:ascii="Arial" w:cs="Arial" w:eastAsia="Arial" w:hAnsi="Arial"/>
          <w:sz w:val="19"/>
          <w:szCs w:val="19"/>
          <w:b w:val="1"/>
          <w:bCs w:val="1"/>
          <w:color w:val="auto"/>
        </w:rPr>
        <w:t>Withholding Taxes</w:t>
      </w:r>
      <w:r>
        <w:rPr>
          <w:rFonts w:ascii="Arial" w:cs="Arial" w:eastAsia="Arial" w:hAnsi="Arial"/>
          <w:sz w:val="19"/>
          <w:szCs w:val="19"/>
          <w:color w:val="auto"/>
        </w:rPr>
        <w:t>. The Company shall have the right to deduct from any payment or benefit realized under this Plan an amount</w:t>
      </w:r>
      <w:r>
        <w:rPr>
          <w:rFonts w:ascii="Arial" w:cs="Arial" w:eastAsia="Arial" w:hAnsi="Arial"/>
          <w:sz w:val="19"/>
          <w:szCs w:val="19"/>
          <w:b w:val="1"/>
          <w:bCs w:val="1"/>
          <w:color w:val="auto"/>
        </w:rPr>
        <w:t xml:space="preserve"> </w:t>
      </w:r>
      <w:r>
        <w:rPr>
          <w:rFonts w:ascii="Arial" w:cs="Arial" w:eastAsia="Arial" w:hAnsi="Arial"/>
          <w:sz w:val="19"/>
          <w:szCs w:val="19"/>
          <w:color w:val="auto"/>
        </w:rPr>
        <w:t>equal to the federal, state, local, foreign and other taxes which in the opinion of the Company are required to be withheld by it with respect to such payment or benefit. To the extent that the amounts available to the Company for such withholding are insufficient, it shall be a condition to the receipt of such payment or the realization of such benefit that the Participant or other recipient make arrangements satisfactory to the Company for payment of the balance of such taxes required to be withheld. At the discretion of the Committee, such arrangements may include relinquishment of a portion of such benefit pursuant to procedures adopted by the Committee from time to time. The Company and a Participant or such other recipient may also make similar arrangements with respect to the payment of any taxes with respect to which withholding is not required.</w:t>
      </w:r>
    </w:p>
    <w:p>
      <w:pPr>
        <w:spacing w:after="0" w:line="163" w:lineRule="exact"/>
        <w:rPr>
          <w:rFonts w:ascii="Arial" w:cs="Arial" w:eastAsia="Arial" w:hAnsi="Arial"/>
          <w:sz w:val="19"/>
          <w:szCs w:val="19"/>
          <w:b w:val="1"/>
          <w:bCs w:val="1"/>
          <w:color w:val="auto"/>
        </w:rPr>
      </w:pPr>
    </w:p>
    <w:p>
      <w:pPr>
        <w:jc w:val="both"/>
        <w:ind w:right="280" w:firstLine="449"/>
        <w:spacing w:after="0" w:line="248" w:lineRule="auto"/>
        <w:tabs>
          <w:tab w:leader="none" w:pos="738"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Foreign Employees</w:t>
      </w:r>
      <w:r>
        <w:rPr>
          <w:rFonts w:ascii="Arial" w:cs="Arial" w:eastAsia="Arial" w:hAnsi="Arial"/>
          <w:sz w:val="18"/>
          <w:szCs w:val="18"/>
          <w:color w:val="auto"/>
        </w:rPr>
        <w:t>. In order to facilitate the making of any grant or combination of grants under this Plan,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for such special terms for Awards to Participants who are foreign nationals or who are employed by the Company or any Affiliate outside of the United States of America as the Committee may consider necessary or appropriate to accommodate differences in local law, tax policy or custom. Moreover, the Committee may approve such supplements to or amendments,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restatements or alternative versions of this Plan as it may consider necessary or appropriate for such purposes, without thereby affecting the</w:t>
      </w:r>
    </w:p>
    <w:p>
      <w:pPr>
        <w:spacing w:after="0" w:line="12"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terms of this Plan as in effect for any other purpose, and the Corporate Secretary or other appropriate officer of the Company may certify any such document as having been approved and adopted in the same manner as this Plan. No such special terms, supplements, amendments or</w:t>
      </w:r>
    </w:p>
    <w:p>
      <w:pPr>
        <w:spacing w:after="0" w:line="1" w:lineRule="exact"/>
        <w:rPr>
          <w:sz w:val="20"/>
          <w:szCs w:val="20"/>
          <w:color w:val="auto"/>
        </w:rPr>
      </w:pPr>
    </w:p>
    <w:p>
      <w:pPr>
        <w:ind w:right="320"/>
        <w:spacing w:after="0" w:line="239" w:lineRule="auto"/>
        <w:rPr>
          <w:sz w:val="20"/>
          <w:szCs w:val="20"/>
          <w:color w:val="auto"/>
        </w:rPr>
      </w:pPr>
      <w:r>
        <w:rPr>
          <w:rFonts w:ascii="Arial" w:cs="Arial" w:eastAsia="Arial" w:hAnsi="Arial"/>
          <w:sz w:val="19"/>
          <w:szCs w:val="19"/>
          <w:color w:val="auto"/>
        </w:rPr>
        <w:t>restatements, however, shall include any provisions that are inconsistent with the terms of this Plan as then in effect unless this Plan could have been amended to eliminate such inconsistency without further approval by the stockholders of the Company.</w:t>
      </w:r>
    </w:p>
    <w:p>
      <w:pPr>
        <w:spacing w:after="0" w:line="150" w:lineRule="exact"/>
        <w:rPr>
          <w:sz w:val="20"/>
          <w:szCs w:val="20"/>
          <w:color w:val="auto"/>
        </w:rPr>
      </w:pPr>
    </w:p>
    <w:p>
      <w:pPr>
        <w:ind w:left="740" w:hanging="291"/>
        <w:spacing w:after="0"/>
        <w:tabs>
          <w:tab w:leader="none" w:pos="74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Administration of the Plan</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firstLine="889"/>
        <w:spacing w:after="0" w:line="223" w:lineRule="auto"/>
        <w:tabs>
          <w:tab w:leader="none" w:pos="1068" w:val="left"/>
        </w:tabs>
        <w:numPr>
          <w:ilvl w:val="1"/>
          <w:numId w:val="25"/>
        </w:numPr>
        <w:rPr>
          <w:rFonts w:ascii="Arial" w:cs="Arial" w:eastAsia="Arial" w:hAnsi="Arial"/>
          <w:sz w:val="19"/>
          <w:szCs w:val="19"/>
          <w:color w:val="auto"/>
        </w:rPr>
      </w:pPr>
      <w:r>
        <w:rPr>
          <w:rFonts w:ascii="Arial" w:cs="Arial" w:eastAsia="Arial" w:hAnsi="Arial"/>
          <w:sz w:val="19"/>
          <w:szCs w:val="19"/>
          <w:color w:val="auto"/>
        </w:rPr>
        <w:t>The Committee shall administer this Plan or delegate its authority to do so as provided in Section 16(c) hereof or, in the Board’s sole discretion or in the absence of the Committee, the Board shall administer this Plan; provided that the authority to grant Awards to Non-Employee Directors pursuant to this Plan rests exclusively with the Board (and, for the avoidance of doubt, not with the Committee), and each reference in this Plan to the Committee shall be deemed, when used in the context of any Award(s) made or to be made to a Non-Employee Director, a reference to the Board. The Committee, or if no Committee has been appointed, the Board, may delegate administration of the Plan to a committee or committees of one or more members of the Board, and the term “Committee” shall apply to any such committee, person(s) to whom such authority has been delegated. The Committee shall have the power to delegate to a subcommittee any of the administrative powers the Committee is authorized to exercise (and references in this Plan to the Committee shall thereafter be to the committee or subcommittee), subject, however, to such resolutions, not inconsistent with the provisions of the Plan, as may be adopted from time to time by the Board. The Board may abolish, suspend or supersede the Committee at any time and revest in the Board the administration of the Plan.</w:t>
      </w:r>
    </w:p>
    <w:p>
      <w:pPr>
        <w:spacing w:after="0" w:line="156" w:lineRule="exact"/>
        <w:rPr>
          <w:rFonts w:ascii="Arial" w:cs="Arial" w:eastAsia="Arial" w:hAnsi="Arial"/>
          <w:sz w:val="19"/>
          <w:szCs w:val="19"/>
          <w:color w:val="auto"/>
        </w:rPr>
      </w:pPr>
    </w:p>
    <w:p>
      <w:pPr>
        <w:ind w:right="20" w:firstLine="889"/>
        <w:spacing w:after="0" w:line="235" w:lineRule="auto"/>
        <w:tabs>
          <w:tab w:leader="none" w:pos="10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Subject to the express provisions of the Plan, the Committee shall have plenary authority, in its discretion, to determine the individuals to whom, and the time or times at which, Awards shall be granted and the number of shares, if applicable, to be subject to each Award. In making such determinations, the Committee may take into account the nature of services rendered by the respective individuals, their present and potential contributions to the Company’s success and such other factors as the Committee deems relevant. Subject to the express provisions of the Plan, the Committee shall also have plenary discretionary authority to interpret the Plan, to prescribe, amend and rescind rules and regulations relating to it, to determine the terms and provisions of the respective Evidence of Award (which need not be identical) and to make all other determinations necessary or advisable for the administration of the Plan. The interpretation and construction by the Committee of any provision of this Plan or of any Evidence of Award and any determination by the Board pursuant to any provision of this Plan or of any such Evidence of Award shall be final, conclusive and binding on the Company and the Participants, unless such decisions are determined by a court having jurisdiction to be arbitrary and capricious. No member of the Board or the Committee shall be liable for any such action or determination made in good faith.</w:t>
      </w:r>
    </w:p>
    <w:p>
      <w:pPr>
        <w:spacing w:after="0" w:line="160" w:lineRule="exact"/>
        <w:rPr>
          <w:rFonts w:ascii="Arial" w:cs="Arial" w:eastAsia="Arial" w:hAnsi="Arial"/>
          <w:sz w:val="18"/>
          <w:szCs w:val="18"/>
          <w:color w:val="auto"/>
        </w:rPr>
      </w:pPr>
    </w:p>
    <w:p>
      <w:pPr>
        <w:ind w:right="20" w:firstLine="889"/>
        <w:spacing w:after="0" w:line="267" w:lineRule="auto"/>
        <w:tabs>
          <w:tab w:leader="none" w:pos="1068" w:val="left"/>
        </w:tabs>
        <w:numPr>
          <w:ilvl w:val="1"/>
          <w:numId w:val="25"/>
        </w:numPr>
        <w:rPr>
          <w:rFonts w:ascii="Arial" w:cs="Arial" w:eastAsia="Arial" w:hAnsi="Arial"/>
          <w:sz w:val="16"/>
          <w:szCs w:val="16"/>
          <w:color w:val="auto"/>
        </w:rPr>
      </w:pPr>
      <w:r>
        <w:rPr>
          <w:rFonts w:ascii="Arial" w:cs="Arial" w:eastAsia="Arial" w:hAnsi="Arial"/>
          <w:sz w:val="16"/>
          <w:szCs w:val="16"/>
          <w:color w:val="auto"/>
        </w:rPr>
        <w:t>To the extent permitted by applicable law, the Committee may delegate to one or more of its members or to one or more officers of the Company, or to one or more agents or advisors, such administrative duties or powers as it may deem advisable, and the Committee, or any person(s) or committee to whom duties or powers have been delegated as aforesaid, may employ one or more persons to render advice with respect to any responsibility the Committee or such person or committee may have under the Plan. To the extent permitted by applicable law, the Committee may, by resolution, authorize one or more officers of the Company to do one or both of the following on the same basis as the Committee: (i) designate employees to be recipients of Awards under this Plan; (ii) determine the size of any such Awards; provided, however, that (A) the Committee shall not delegate such responsibilities to any such officer for Awards granted to an employee who is an officer, Director, or more than 10% beneficial owner of any class of the Company’s equity securities that is registered pursuant to Section 12 of the Exchange Act, as determined by the Committee in accordance with Section 16 of the Exchange Act; (B) the resolution providing for such authorization sets forth the total number of Common Shares such officer(s) may grant; and (iii) the officer(s) shall report periodically to the Committee, as the case may be, regarding the nature and scope of the Awards granted pursuant to the authority delegated.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 Any authority granted to the Committee may also be exercised by the Board or another committee of the Board duly appointed</w:t>
      </w:r>
    </w:p>
    <w:p>
      <w:pPr>
        <w:spacing w:after="0" w:line="12" w:lineRule="exact"/>
        <w:rPr>
          <w:sz w:val="20"/>
          <w:szCs w:val="20"/>
          <w:color w:val="auto"/>
        </w:rPr>
      </w:pPr>
    </w:p>
    <w:p>
      <w:pPr>
        <w:ind w:right="180"/>
        <w:spacing w:after="0" w:line="226" w:lineRule="auto"/>
        <w:rPr>
          <w:sz w:val="20"/>
          <w:szCs w:val="20"/>
          <w:color w:val="auto"/>
        </w:rPr>
      </w:pPr>
      <w:r>
        <w:rPr>
          <w:rFonts w:ascii="Arial" w:cs="Arial" w:eastAsia="Arial" w:hAnsi="Arial"/>
          <w:sz w:val="18"/>
          <w:szCs w:val="18"/>
          <w:color w:val="auto"/>
        </w:rPr>
        <w:t>for such purpose. To the extent that any permitted action taken by the Board conflicts with action taken by the Committee, the Board action shall control. Without limiting the generality of the foregoing, to the extent the Board has delegated any authority under this Plan to another</w:t>
      </w:r>
    </w:p>
    <w:p>
      <w:pPr>
        <w:spacing w:after="0" w:line="2" w:lineRule="exact"/>
        <w:rPr>
          <w:sz w:val="20"/>
          <w:szCs w:val="20"/>
          <w:color w:val="auto"/>
        </w:rPr>
      </w:pPr>
    </w:p>
    <w:p>
      <w:pPr>
        <w:ind w:right="160"/>
        <w:spacing w:after="0" w:line="227" w:lineRule="auto"/>
        <w:rPr>
          <w:sz w:val="20"/>
          <w:szCs w:val="20"/>
          <w:color w:val="auto"/>
        </w:rPr>
      </w:pPr>
      <w:r>
        <w:rPr>
          <w:rFonts w:ascii="Arial" w:cs="Arial" w:eastAsia="Arial" w:hAnsi="Arial"/>
          <w:sz w:val="20"/>
          <w:szCs w:val="20"/>
          <w:color w:val="auto"/>
        </w:rPr>
        <w:t>committee of the Board, such authority shall not be exercised by the Committee unless expressly permitted by the Board in connection with such delegation.</w:t>
      </w:r>
    </w:p>
    <w:p>
      <w:pPr>
        <w:spacing w:after="0" w:line="156" w:lineRule="exact"/>
        <w:rPr>
          <w:sz w:val="20"/>
          <w:szCs w:val="20"/>
          <w:color w:val="auto"/>
        </w:rPr>
      </w:pPr>
    </w:p>
    <w:p>
      <w:pPr>
        <w:ind w:right="60" w:firstLine="881"/>
        <w:spacing w:after="0" w:line="244" w:lineRule="auto"/>
        <w:rPr>
          <w:sz w:val="20"/>
          <w:szCs w:val="20"/>
          <w:color w:val="auto"/>
        </w:rPr>
      </w:pPr>
      <w:r>
        <w:rPr>
          <w:rFonts w:ascii="Arial" w:cs="Arial" w:eastAsia="Arial" w:hAnsi="Arial"/>
          <w:sz w:val="18"/>
          <w:szCs w:val="18"/>
          <w:color w:val="auto"/>
        </w:rPr>
        <w:t>e. The Board shall have discretion to determine whether or not it intends to comply with the exemption requirements of Rule 16b-3 of the Exchange Act. Nothing herein shall create an inference that an Award is not validly granted under the Plan in the event Awards are</w:t>
      </w:r>
    </w:p>
    <w:p>
      <w:pPr>
        <w:ind w:right="400"/>
        <w:spacing w:after="0" w:line="220" w:lineRule="auto"/>
        <w:rPr>
          <w:sz w:val="20"/>
          <w:szCs w:val="20"/>
          <w:color w:val="auto"/>
        </w:rPr>
      </w:pPr>
      <w:r>
        <w:rPr>
          <w:rFonts w:ascii="Arial" w:cs="Arial" w:eastAsia="Arial" w:hAnsi="Arial"/>
          <w:sz w:val="20"/>
          <w:szCs w:val="20"/>
          <w:color w:val="auto"/>
        </w:rPr>
        <w:t>granted under the Plan by a compensation committee of the Board that does not at all times consist solely of two or more Non-Employee Directors.</w:t>
      </w:r>
    </w:p>
    <w:p>
      <w:pPr>
        <w:spacing w:after="0" w:line="164" w:lineRule="exact"/>
        <w:rPr>
          <w:sz w:val="20"/>
          <w:szCs w:val="20"/>
          <w:color w:val="auto"/>
        </w:rPr>
      </w:pPr>
    </w:p>
    <w:p>
      <w:pPr>
        <w:ind w:left="740" w:hanging="291"/>
        <w:spacing w:after="0"/>
        <w:tabs>
          <w:tab w:leader="none" w:pos="74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and Other Matters</w:t>
      </w:r>
      <w:r>
        <w:rPr>
          <w:rFonts w:ascii="Arial" w:cs="Arial" w:eastAsia="Arial" w:hAnsi="Arial"/>
          <w:sz w:val="20"/>
          <w:szCs w:val="20"/>
          <w:color w:val="auto"/>
        </w:rPr>
        <w:t>.</w:t>
      </w:r>
    </w:p>
    <w:p>
      <w:pPr>
        <w:spacing w:after="0" w:line="194" w:lineRule="exact"/>
        <w:rPr>
          <w:rFonts w:ascii="Arial" w:cs="Arial" w:eastAsia="Arial" w:hAnsi="Arial"/>
          <w:sz w:val="20"/>
          <w:szCs w:val="20"/>
          <w:b w:val="1"/>
          <w:bCs w:val="1"/>
          <w:color w:val="auto"/>
        </w:rPr>
      </w:pPr>
    </w:p>
    <w:p>
      <w:pPr>
        <w:ind w:right="40" w:firstLine="889"/>
        <w:spacing w:after="0" w:line="238" w:lineRule="auto"/>
        <w:tabs>
          <w:tab w:leader="none" w:pos="1068"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Board may at any time and from time to time amend the Plan in whole or in part; provided, however, that any amendment which must be approved by the stockholders of the Company in order to comply with applicable law or the rules of the NASDAQ Global Stock Market shall not be effective unless and until such approval has been obtained. Presentation of this Plan or any amendment thereof for stockholder approval shall not be construed to limit the Company’s authority to offer similar or dissimilar benefits under other plans or otherwise with or without stockholder approval. Without limiting the generality of the foregoing, the Board may amend this Plan to eliminate provisions which are no longer necessary as a result in changes in tax or securities laws or regulations, or in the interpretation thereof.</w:t>
      </w:r>
    </w:p>
    <w:p>
      <w:pPr>
        <w:spacing w:after="0" w:line="172" w:lineRule="exact"/>
        <w:rPr>
          <w:rFonts w:ascii="Arial" w:cs="Arial" w:eastAsia="Arial" w:hAnsi="Arial"/>
          <w:sz w:val="18"/>
          <w:szCs w:val="18"/>
          <w:color w:val="auto"/>
        </w:rPr>
      </w:pPr>
    </w:p>
    <w:p>
      <w:pPr>
        <w:ind w:right="60" w:firstLine="889"/>
        <w:spacing w:after="0" w:line="212" w:lineRule="auto"/>
        <w:tabs>
          <w:tab w:leader="none" w:pos="1079" w:val="left"/>
        </w:tabs>
        <w:numPr>
          <w:ilvl w:val="1"/>
          <w:numId w:val="26"/>
        </w:numPr>
        <w:rPr>
          <w:rFonts w:ascii="Arial" w:cs="Arial" w:eastAsia="Arial" w:hAnsi="Arial"/>
          <w:sz w:val="20"/>
          <w:szCs w:val="20"/>
          <w:color w:val="auto"/>
        </w:rPr>
      </w:pPr>
      <w:r>
        <w:rPr>
          <w:rFonts w:ascii="Arial" w:cs="Arial" w:eastAsia="Arial" w:hAnsi="Arial"/>
          <w:sz w:val="20"/>
          <w:szCs w:val="20"/>
          <w:color w:val="auto"/>
        </w:rPr>
        <w:t>Neither the Board nor the Committee shall, without the further approval of the stockholders of the Company, authorize the amendment of any outstanding Option Right or Appreciation Right to reduce the Option Price or Base Price. Furthermore, without further approval of the stockholders of the Company, (i) no Option Right or Appreciation Right shall be cancelled and replaced with an Award having a lower Option Price or Base Price, (ii) no Option Right or Appreciation Right shall be cancelled in exchange for cash if the per share Option Price or per share Base Price exceeds the Market Value per Share on the date of such cancellation, and (iii) there shall be no cancellation of “underwater” Option Rights in exchange for other Awards under this Plan. This Section 17(b) is intended to prohibit the repricing of “underwater” Option Rights and Appreciation Rights and shall not be construed to prohibit the adjustments provided for in Section 12 of this Plan.</w:t>
      </w:r>
    </w:p>
    <w:p>
      <w:pPr>
        <w:spacing w:after="0" w:line="170" w:lineRule="exact"/>
        <w:rPr>
          <w:rFonts w:ascii="Arial" w:cs="Arial" w:eastAsia="Arial" w:hAnsi="Arial"/>
          <w:sz w:val="20"/>
          <w:szCs w:val="20"/>
          <w:color w:val="auto"/>
        </w:rPr>
      </w:pPr>
    </w:p>
    <w:p>
      <w:pPr>
        <w:ind w:right="60" w:firstLine="889"/>
        <w:spacing w:after="0" w:line="220" w:lineRule="auto"/>
        <w:tabs>
          <w:tab w:leader="none" w:pos="1068" w:val="left"/>
        </w:tabs>
        <w:numPr>
          <w:ilvl w:val="1"/>
          <w:numId w:val="26"/>
        </w:numPr>
        <w:rPr>
          <w:rFonts w:ascii="Arial" w:cs="Arial" w:eastAsia="Arial" w:hAnsi="Arial"/>
          <w:sz w:val="20"/>
          <w:szCs w:val="20"/>
          <w:color w:val="auto"/>
        </w:rPr>
      </w:pPr>
      <w:r>
        <w:rPr>
          <w:rFonts w:ascii="Arial" w:cs="Arial" w:eastAsia="Arial" w:hAnsi="Arial"/>
          <w:sz w:val="20"/>
          <w:szCs w:val="20"/>
          <w:color w:val="auto"/>
        </w:rPr>
        <w:t>To the extent consistent with Section 409A of the Code, the Committee also may permit Participants to elect to defer the issuance of Common Shares or the settlement of Awards in cash under the Plan pursuant to such rules, procedures or programs as it may establish for purposes of this Plan. The Committee also may provide that deferred issuances and settlements include the payment or crediting of dividend equivalents or interest on the deferral amounts.</w:t>
      </w:r>
    </w:p>
    <w:p>
      <w:pPr>
        <w:spacing w:after="0" w:line="155" w:lineRule="exact"/>
        <w:rPr>
          <w:rFonts w:ascii="Arial" w:cs="Arial" w:eastAsia="Arial" w:hAnsi="Arial"/>
          <w:sz w:val="20"/>
          <w:szCs w:val="20"/>
          <w:color w:val="auto"/>
        </w:rPr>
      </w:pPr>
    </w:p>
    <w:p>
      <w:pPr>
        <w:ind w:right="60" w:firstLine="889"/>
        <w:spacing w:after="0" w:line="235" w:lineRule="auto"/>
        <w:tabs>
          <w:tab w:leader="none" w:pos="1079" w:val="left"/>
        </w:tabs>
        <w:numPr>
          <w:ilvl w:val="1"/>
          <w:numId w:val="26"/>
        </w:numPr>
        <w:rPr>
          <w:rFonts w:ascii="Arial" w:cs="Arial" w:eastAsia="Arial" w:hAnsi="Arial"/>
          <w:sz w:val="18"/>
          <w:szCs w:val="18"/>
          <w:color w:val="auto"/>
        </w:rPr>
      </w:pPr>
      <w:r>
        <w:rPr>
          <w:rFonts w:ascii="Arial" w:cs="Arial" w:eastAsia="Arial" w:hAnsi="Arial"/>
          <w:sz w:val="18"/>
          <w:szCs w:val="18"/>
          <w:color w:val="auto"/>
        </w:rPr>
        <w:t>If permitted by Section 409A of the Code, in case of termination of employment by reason of death, Disability or normal or early retirement, or in the case of hardship or other special circumstances, of a Participant who holds an Option Right or Appreciation Right not immediately exercisable in full, or any Restricted Shares as to which the substantial risk of forfeiture or the prohibition or restriction on transfer has not lapsed, or any Restricted Stock Units as to which the Restriction Period has not been completed, or any Performance Shares or Performance Units which have not been fully earned, or any other Awards made pursuant to Section 10 subject to any vesting schedule or transfer restriction, or who holds Common Shares subject to any transfer restriction imposed pursuant to Section 11(b) of this Plan, the Committee may, at its discretion, accelerate the time at which such Option Right, Appreciation Right or other Award may be exercised or the time at which such substantial risk of forfeiture or prohibition or restriction on transfer will lapse or the time when such Restriction Period will end or the time at which such Performance Shares or Performance Units will be deemed to have been fully earned or the time when such transfer restriction will terminate or may waive any other limitation or requirement under any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 This Plan shall not confer upon any Participant any right with respect to continuance of employment or other service with the</w:t>
      </w:r>
    </w:p>
    <w:p>
      <w:pPr>
        <w:spacing w:after="0" w:line="12" w:lineRule="exact"/>
        <w:rPr>
          <w:sz w:val="20"/>
          <w:szCs w:val="20"/>
          <w:color w:val="auto"/>
        </w:rPr>
      </w:pPr>
    </w:p>
    <w:p>
      <w:pPr>
        <w:ind w:right="300"/>
        <w:spacing w:after="0" w:line="220" w:lineRule="auto"/>
        <w:rPr>
          <w:sz w:val="20"/>
          <w:szCs w:val="20"/>
          <w:color w:val="auto"/>
        </w:rPr>
      </w:pPr>
      <w:r>
        <w:rPr>
          <w:rFonts w:ascii="Arial" w:cs="Arial" w:eastAsia="Arial" w:hAnsi="Arial"/>
          <w:sz w:val="20"/>
          <w:szCs w:val="20"/>
          <w:color w:val="auto"/>
        </w:rPr>
        <w:t>Company or any Affiliate, nor shall it interfere in any way with any right the Company or any Affiliate would otherwise have to terminate such Participant’s employment or other service at any time.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 To the extent that any provision of this Plan would prevent any Option Right that was intended to qualify as an Incentive Stock</w:t>
      </w:r>
    </w:p>
    <w:p>
      <w:pPr>
        <w:spacing w:after="0" w:line="12" w:lineRule="exact"/>
        <w:rPr>
          <w:sz w:val="20"/>
          <w:szCs w:val="20"/>
          <w:color w:val="auto"/>
        </w:rPr>
      </w:pPr>
    </w:p>
    <w:p>
      <w:pPr>
        <w:ind w:right="560"/>
        <w:spacing w:after="0" w:line="220" w:lineRule="auto"/>
        <w:rPr>
          <w:sz w:val="20"/>
          <w:szCs w:val="20"/>
          <w:color w:val="auto"/>
        </w:rPr>
      </w:pPr>
      <w:r>
        <w:rPr>
          <w:rFonts w:ascii="Arial" w:cs="Arial" w:eastAsia="Arial" w:hAnsi="Arial"/>
          <w:sz w:val="20"/>
          <w:szCs w:val="20"/>
          <w:color w:val="auto"/>
        </w:rPr>
        <w:t>Option from qualifying as such, that provision shall be null and void with respect to such Option Right. Such provision, however, shall remain in effect for other Option Rights and there shall be no further effect on any provision of this Plan.</w:t>
      </w:r>
    </w:p>
    <w:p>
      <w:pPr>
        <w:spacing w:after="0" w:line="170" w:lineRule="exact"/>
        <w:rPr>
          <w:sz w:val="20"/>
          <w:szCs w:val="20"/>
          <w:color w:val="auto"/>
        </w:rPr>
      </w:pPr>
    </w:p>
    <w:p>
      <w:pPr>
        <w:ind w:right="380" w:firstLine="881"/>
        <w:spacing w:after="0" w:line="257" w:lineRule="auto"/>
        <w:rPr>
          <w:sz w:val="20"/>
          <w:szCs w:val="20"/>
          <w:color w:val="auto"/>
        </w:rPr>
      </w:pPr>
      <w:r>
        <w:rPr>
          <w:rFonts w:ascii="Arial" w:cs="Arial" w:eastAsia="Arial" w:hAnsi="Arial"/>
          <w:sz w:val="19"/>
          <w:szCs w:val="19"/>
          <w:color w:val="auto"/>
        </w:rPr>
        <w:t>g. Subject to Section 20, this Plan shall continue in effect until the date on which all Common Shares available for issuance or transfer under this Plan have been issued or transferred and the Company has no further obligation hereunder.</w:t>
      </w:r>
    </w:p>
    <w:p>
      <w:pPr>
        <w:spacing w:after="0" w:line="140" w:lineRule="exact"/>
        <w:rPr>
          <w:sz w:val="20"/>
          <w:szCs w:val="20"/>
          <w:color w:val="auto"/>
        </w:rPr>
      </w:pPr>
    </w:p>
    <w:p>
      <w:pPr>
        <w:ind w:right="280" w:firstLine="881"/>
        <w:spacing w:after="0" w:line="274" w:lineRule="auto"/>
        <w:rPr>
          <w:sz w:val="20"/>
          <w:szCs w:val="20"/>
          <w:color w:val="auto"/>
        </w:rPr>
      </w:pPr>
      <w:r>
        <w:rPr>
          <w:rFonts w:ascii="Arial" w:cs="Arial" w:eastAsia="Arial" w:hAnsi="Arial"/>
          <w:sz w:val="16"/>
          <w:szCs w:val="16"/>
          <w:color w:val="auto"/>
        </w:rPr>
        <w:t>h. Neither a Participant nor any other person shall, by reason of participation in the Plan, acquire any right or title to any assets, funds or property of the Company or any Affiliate, including without limitation, any specific funds, assets or other property which the</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Company or any Affiliate may set aside in anticipation of any liability under the Plan. A Participant shall have only a contractual right to an Award or the amounts, if any, payable under the Plan, unsecured by any assets of the Company or any Affiliate, and nothing contained in the</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Plan shall constitute a guarantee that the assets of the Company or any Affiliate shall be sufficient to pay any benefits to any person.</w:t>
      </w:r>
    </w:p>
    <w:p>
      <w:pPr>
        <w:spacing w:after="0" w:line="184" w:lineRule="exact"/>
        <w:rPr>
          <w:sz w:val="20"/>
          <w:szCs w:val="20"/>
          <w:color w:val="auto"/>
        </w:rPr>
      </w:pPr>
    </w:p>
    <w:p>
      <w:pPr>
        <w:ind w:right="20" w:firstLine="881"/>
        <w:spacing w:after="0" w:line="269" w:lineRule="auto"/>
        <w:rPr>
          <w:sz w:val="20"/>
          <w:szCs w:val="20"/>
          <w:color w:val="auto"/>
        </w:rPr>
      </w:pPr>
      <w:r>
        <w:rPr>
          <w:rFonts w:ascii="Arial" w:cs="Arial" w:eastAsia="Arial" w:hAnsi="Arial"/>
          <w:sz w:val="18"/>
          <w:szCs w:val="18"/>
          <w:color w:val="auto"/>
        </w:rPr>
        <w:t>i. This Plan and each Evidence of Award shall be governed by the laws of the State of Maryland, excluding any conflicts or choice of law rule or principle that might otherwise refer construction or interpretation of the Plan to the substantive law of another jurisdiction.</w:t>
      </w:r>
    </w:p>
    <w:p>
      <w:pPr>
        <w:spacing w:after="0" w:line="144" w:lineRule="exact"/>
        <w:rPr>
          <w:sz w:val="20"/>
          <w:szCs w:val="20"/>
          <w:color w:val="auto"/>
        </w:rPr>
      </w:pPr>
    </w:p>
    <w:p>
      <w:pPr>
        <w:ind w:left="880"/>
        <w:spacing w:after="0"/>
        <w:rPr>
          <w:sz w:val="20"/>
          <w:szCs w:val="20"/>
          <w:color w:val="auto"/>
        </w:rPr>
      </w:pPr>
      <w:r>
        <w:rPr>
          <w:rFonts w:ascii="Arial" w:cs="Arial" w:eastAsia="Arial" w:hAnsi="Arial"/>
          <w:sz w:val="18"/>
          <w:szCs w:val="18"/>
          <w:color w:val="252525"/>
        </w:rPr>
        <w:t>j. Notwithstanding any other provisions in this Plan, the Company may cancel any Award, require reimbursement of any Award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0</wp:posOffset>
            </wp:positionV>
            <wp:extent cx="3111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ind w:right="140"/>
        <w:spacing w:after="0" w:line="226" w:lineRule="auto"/>
        <w:rPr>
          <w:sz w:val="20"/>
          <w:szCs w:val="20"/>
          <w:color w:val="auto"/>
        </w:rPr>
      </w:pPr>
      <w:r>
        <w:rPr>
          <w:rFonts w:ascii="Arial" w:cs="Arial" w:eastAsia="Arial" w:hAnsi="Arial"/>
          <w:sz w:val="18"/>
          <w:szCs w:val="18"/>
          <w:color w:val="252525"/>
        </w:rPr>
        <w:t>a Participant, and effect any other right of recoupment of equity or other compensation provided under the Plan in accordance with any Company policies that may be adopted and/or modified from time to time (“</w:t>
      </w:r>
      <w:r>
        <w:rPr>
          <w:rFonts w:ascii="Arial" w:cs="Arial" w:eastAsia="Arial" w:hAnsi="Arial"/>
          <w:sz w:val="18"/>
          <w:szCs w:val="18"/>
          <w:u w:val="single" w:color="auto"/>
          <w:color w:val="252525"/>
        </w:rPr>
        <w:t>Clawback Policy</w:t>
      </w:r>
      <w:r>
        <w:rPr>
          <w:rFonts w:ascii="Arial" w:cs="Arial" w:eastAsia="Arial" w:hAnsi="Arial"/>
          <w:sz w:val="18"/>
          <w:szCs w:val="18"/>
          <w:color w:val="252525"/>
          <w:highlight w:val="white"/>
        </w:rPr>
        <w:t>”) In addition, a Participant may be required to</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252525"/>
          <w:highlight w:val="white"/>
        </w:rPr>
        <w:t>repay to the Company previously paid compensation, whether provided pursuant to the Plan or an Evidence of Award, in accordance with the Clawback Policy. By accepting an Award, the Participant is agreeing to be bound by the Clawback Policy, as in effect or as may be adopted</w:t>
      </w:r>
    </w:p>
    <w:p>
      <w:pPr>
        <w:spacing w:after="0" w:line="1" w:lineRule="exact"/>
        <w:rPr>
          <w:sz w:val="20"/>
          <w:szCs w:val="20"/>
          <w:color w:val="auto"/>
        </w:rPr>
      </w:pPr>
    </w:p>
    <w:p>
      <w:pPr>
        <w:ind w:right="340"/>
        <w:spacing w:after="0" w:line="227" w:lineRule="auto"/>
        <w:rPr>
          <w:sz w:val="20"/>
          <w:szCs w:val="20"/>
          <w:color w:val="auto"/>
        </w:rPr>
      </w:pPr>
      <w:r>
        <w:rPr>
          <w:rFonts w:ascii="Arial" w:cs="Arial" w:eastAsia="Arial" w:hAnsi="Arial"/>
          <w:sz w:val="20"/>
          <w:szCs w:val="20"/>
          <w:color w:val="252525"/>
          <w:highlight w:val="white"/>
        </w:rPr>
        <w:t>and/or modified from time to time by the Company in its discretion (including, without limitation, to comply with applicable law or stock exchange listing requirements).</w:t>
      </w:r>
    </w:p>
    <w:p>
      <w:pPr>
        <w:spacing w:after="0" w:line="156" w:lineRule="exact"/>
        <w:rPr>
          <w:sz w:val="20"/>
          <w:szCs w:val="20"/>
          <w:color w:val="auto"/>
        </w:rPr>
      </w:pPr>
    </w:p>
    <w:p>
      <w:pPr>
        <w:ind w:right="220" w:firstLine="881"/>
        <w:spacing w:after="0" w:line="285" w:lineRule="auto"/>
        <w:rPr>
          <w:sz w:val="20"/>
          <w:szCs w:val="20"/>
          <w:color w:val="auto"/>
        </w:rPr>
      </w:pPr>
      <w:r>
        <w:rPr>
          <w:rFonts w:ascii="Arial" w:cs="Arial" w:eastAsia="Arial" w:hAnsi="Arial"/>
          <w:sz w:val="18"/>
          <w:szCs w:val="18"/>
          <w:color w:val="auto"/>
        </w:rPr>
        <w:t>k.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123" w:lineRule="exact"/>
        <w:rPr>
          <w:sz w:val="20"/>
          <w:szCs w:val="20"/>
          <w:color w:val="auto"/>
        </w:rPr>
      </w:pPr>
    </w:p>
    <w:p>
      <w:pPr>
        <w:ind w:right="60" w:firstLine="449"/>
        <w:spacing w:after="0" w:line="234" w:lineRule="auto"/>
        <w:tabs>
          <w:tab w:leader="none" w:pos="738"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Section 409A of the Code</w:t>
      </w:r>
      <w:r>
        <w:rPr>
          <w:rFonts w:ascii="Arial" w:cs="Arial" w:eastAsia="Arial" w:hAnsi="Arial"/>
          <w:sz w:val="18"/>
          <w:szCs w:val="18"/>
          <w:color w:val="auto"/>
        </w:rPr>
        <w:t>. Awards granted under this Plan shall be designed and administered in such a manner</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they are either exempt from the application of, or comply with, the requirements of Section 409A of the Code. To the extent that the Committee determines that any Award granted under the Plan is subject to Section 409A of the Code, the Evidence of Award shall incorporate the terms and conditions necessary to avoid the imposition of an additional tax under Section 409A of the Code upon a Participant. Notwithstanding any other provision of the Plan or any Evidence of Award (unless the Evidence of Award provides otherwise with specific reference to this Section), an Award shall not be granted, deferred, accelerated, extended, paid out, settled, substituted or modified under this Plan in a manner that would result in the imposition of an additional tax under Section 409A of the Code upon a Participant. Although the Company intends to administer the Plan so that awards will be exempt from, or will comply with, the requirements of Section 409A of the Code, the Company does not warrant that any Award under the Plan will qualify for favorable tax treatment under Section 409A of the Code or any other provision of federal, state, local, or non-United States law. Neither the Company, its Affiliates, nor their respective directors, officers, employees or advisers shall be liable to any Participant (or any other individual claiming a benefit through the Participant) for any tax, interest, or penalties the Participant might owe as a result of the grant, holding, vesting, exercise, or payment of any Award under the Plan. Any reference in this Plan to Section 409A of the Code will also include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p>
      <w:pPr>
        <w:sectPr>
          <w:pgSz w:w="11900" w:h="16838" w:orient="portrait"/>
          <w:cols w:equalWidth="0" w:num="1">
            <w:col w:w="11240"/>
          </w:cols>
          <w:pgMar w:left="320" w:top="98"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spacing w:after="0" w:line="236" w:lineRule="auto"/>
        <w:rPr>
          <w:sz w:val="20"/>
          <w:szCs w:val="20"/>
          <w:color w:val="auto"/>
        </w:rPr>
      </w:pPr>
      <w:r>
        <w:rPr>
          <w:rFonts w:ascii="Arial" w:cs="Arial" w:eastAsia="Arial" w:hAnsi="Arial"/>
          <w:sz w:val="20"/>
          <w:szCs w:val="20"/>
          <w:color w:val="auto"/>
        </w:rPr>
        <w:t>proposed, temporary or final regulations, or any other guidance, issued with respect to such Section by the U.S. Department of the Treasury or the Internal Revenue Service.</w:t>
      </w:r>
    </w:p>
    <w:p>
      <w:pPr>
        <w:spacing w:after="0" w:line="149" w:lineRule="exact"/>
        <w:rPr>
          <w:sz w:val="20"/>
          <w:szCs w:val="20"/>
          <w:color w:val="auto"/>
        </w:rPr>
      </w:pPr>
    </w:p>
    <w:p>
      <w:pPr>
        <w:ind w:right="120" w:firstLine="449"/>
        <w:spacing w:after="0" w:line="230" w:lineRule="auto"/>
        <w:tabs>
          <w:tab w:leader="none" w:pos="738"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Applicable Laws</w:t>
      </w:r>
      <w:r>
        <w:rPr>
          <w:rFonts w:ascii="Arial" w:cs="Arial" w:eastAsia="Arial" w:hAnsi="Arial"/>
          <w:sz w:val="20"/>
          <w:szCs w:val="20"/>
          <w:color w:val="auto"/>
        </w:rPr>
        <w:t>. To the extent that federal laws do not otherwise control, this Plan and all determinations made and actions taken</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this Plan shall be governed by the laws of Maryland, without giving effect to principles of conflicts of laws, and construed accordingly.</w:t>
      </w:r>
    </w:p>
    <w:p>
      <w:pPr>
        <w:spacing w:after="0" w:line="148" w:lineRule="exact"/>
        <w:rPr>
          <w:rFonts w:ascii="Arial" w:cs="Arial" w:eastAsia="Arial" w:hAnsi="Arial"/>
          <w:sz w:val="20"/>
          <w:szCs w:val="20"/>
          <w:b w:val="1"/>
          <w:bCs w:val="1"/>
          <w:color w:val="auto"/>
        </w:rPr>
      </w:pPr>
    </w:p>
    <w:p>
      <w:pPr>
        <w:ind w:right="60" w:firstLine="449"/>
        <w:spacing w:after="0" w:line="245" w:lineRule="auto"/>
        <w:tabs>
          <w:tab w:leader="none" w:pos="738"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r>
        <w:rPr>
          <w:rFonts w:ascii="Arial" w:cs="Arial" w:eastAsia="Arial" w:hAnsi="Arial"/>
          <w:sz w:val="18"/>
          <w:szCs w:val="18"/>
          <w:color w:val="auto"/>
        </w:rPr>
        <w:t>. This Plan shall terminate 10 years after the date on which was approved and adopted by the Board in 2015</w:t>
      </w:r>
      <w:r>
        <w:rPr>
          <w:rFonts w:ascii="Arial" w:cs="Arial" w:eastAsia="Arial" w:hAnsi="Arial"/>
          <w:sz w:val="18"/>
          <w:szCs w:val="18"/>
          <w:b w:val="1"/>
          <w:bCs w:val="1"/>
          <w:color w:val="auto"/>
        </w:rPr>
        <w:t xml:space="preserve"> </w:t>
      </w:r>
      <w:r>
        <w:rPr>
          <w:rFonts w:ascii="Arial" w:cs="Arial" w:eastAsia="Arial" w:hAnsi="Arial"/>
          <w:sz w:val="18"/>
          <w:szCs w:val="18"/>
          <w:color w:val="auto"/>
        </w:rPr>
        <w:t>and no award(s) shall be made hereunder after the expiration of such 10 year period; provided, however, that, subject to approval of the Company’s stockholders within one year of April 11, 2023, the term shall be extended for an additional 10 years from the date of such stockholder approval and no award(s) shall be made hereunder after the expiration of such additional 10 year period. Awards outstanding at the termination of the Plan will continue in accordance with their terms and will not be affected by such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color w:val="auto"/>
        </w:rPr>
        <w:t>4884-9520-9297.7</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x"/>
      <w:numFmt w:val="bullet"/>
      <w:start w:val="1"/>
    </w:lvl>
  </w:abstractNum>
  <w:abstractNum w:abstractNumId="1">
    <w:nsid w:val="1BEFD79F"/>
    <w:multiLevelType w:val="hybridMultilevel"/>
    <w:lvl w:ilvl="0">
      <w:lvlJc w:val="left"/>
      <w:lvlText w:val="o"/>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lowerRoman"/>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1."/>
      <w:numFmt w:val="decimal"/>
      <w:start w:val="1"/>
    </w:lvl>
    <w:lvl w:ilvl="1">
      <w:lvlJc w:val="left"/>
      <w:lvlText w:val="(%2)"/>
      <w:numFmt w:val="lowerLetter"/>
      <w:start w:val="1"/>
    </w:lvl>
  </w:abstractNum>
  <w:abstractNum w:abstractNumId="10">
    <w:nsid w:val="257130A3"/>
    <w:multiLevelType w:val="hybridMultilevel"/>
    <w:lvl w:ilvl="0">
      <w:lvlJc w:val="left"/>
      <w:lvlText w:val="%1."/>
      <w:numFmt w:val="decimal"/>
      <w:start w:val="1"/>
    </w:lvl>
    <w:lvl w:ilvl="1">
      <w:lvlJc w:val="left"/>
      <w:lvlText w:val="(%2)"/>
      <w:numFmt w:val="lowerLetter"/>
      <w:start w:val="1"/>
    </w:lvl>
  </w:abstractNum>
  <w:abstractNum w:abstractNumId="11">
    <w:nsid w:val="62BBD95A"/>
    <w:multiLevelType w:val="hybridMultilevel"/>
    <w:lvl w:ilvl="0">
      <w:lvlJc w:val="left"/>
      <w:lvlText w:val="(%1)"/>
      <w:numFmt w:val="decimal"/>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2"/>
    </w:lvl>
  </w:abstractNum>
  <w:abstractNum w:abstractNumId="15">
    <w:nsid w:val="721DA317"/>
    <w:multiLevelType w:val="hybridMultilevel"/>
    <w:lvl w:ilvl="0">
      <w:lvlJc w:val="left"/>
      <w:lvlText w:val="%1."/>
      <w:numFmt w:val="decimal"/>
      <w:start w:val="3"/>
    </w:lvl>
    <w:lvl w:ilvl="1">
      <w:lvlJc w:val="left"/>
      <w:lvlText w:val="%2"/>
      <w:numFmt w:val="lowerLetter"/>
      <w:start w:val="1"/>
    </w:lvl>
  </w:abstractNum>
  <w:abstractNum w:abstractNumId="16">
    <w:nsid w:val="2443A858"/>
    <w:multiLevelType w:val="hybridMultilevel"/>
    <w:lvl w:ilvl="0">
      <w:lvlJc w:val="left"/>
      <w:lvlText w:val="%1."/>
      <w:numFmt w:val="decimal"/>
      <w:start w:val="4"/>
    </w:lvl>
    <w:lvl w:ilvl="1">
      <w:lvlJc w:val="left"/>
      <w:lvlText w:val="%2."/>
      <w:numFmt w:val="lowerLetter"/>
      <w:start w:val="1"/>
    </w:lvl>
  </w:abstractNum>
  <w:abstractNum w:abstractNumId="17">
    <w:nsid w:val="2D1D5AE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8">
    <w:nsid w:val="67638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5A2A8D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0">
    <w:nsid w:val="8EDBDA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1">
    <w:nsid w:val="79838CB2"/>
    <w:multiLevelType w:val="hybridMultilevel"/>
    <w:lvl w:ilvl="0">
      <w:lvlJc w:val="left"/>
      <w:lvlText w:val="%1."/>
      <w:numFmt w:val="decimal"/>
      <w:start w:val="7"/>
    </w:lvl>
    <w:lvl w:ilvl="1">
      <w:lvlJc w:val="left"/>
      <w:lvlText w:val="%2."/>
      <w:numFmt w:val="lowerLetter"/>
      <w:start w:val="1"/>
    </w:lvl>
  </w:abstractNum>
  <w:abstractNum w:abstractNumId="22">
    <w:nsid w:val="4353D0CD"/>
    <w:multiLevelType w:val="hybridMultilevel"/>
    <w:lvl w:ilvl="0">
      <w:lvlJc w:val="left"/>
      <w:lvlText w:val="%1."/>
      <w:numFmt w:val="decimal"/>
      <w:start w:val="9"/>
    </w:lvl>
    <w:lvl w:ilvl="1">
      <w:lvlJc w:val="left"/>
      <w:lvlText w:val="%2."/>
      <w:numFmt w:val="lowerLetter"/>
      <w:start w:val="1"/>
    </w:lvl>
  </w:abstractNum>
  <w:abstractNum w:abstractNumId="23">
    <w:nsid w:val="B03E0C6"/>
    <w:multiLevelType w:val="hybridMultilevel"/>
    <w:lvl w:ilvl="0">
      <w:lvlJc w:val="left"/>
      <w:lvlText w:val="%1."/>
      <w:numFmt w:val="decimal"/>
      <w:start w:val="12"/>
    </w:lvl>
  </w:abstractNum>
  <w:abstractNum w:abstractNumId="24">
    <w:nsid w:val="189A769B"/>
    <w:multiLevelType w:val="hybridMultilevel"/>
    <w:lvl w:ilvl="0">
      <w:lvlJc w:val="left"/>
      <w:lvlText w:val="%1."/>
      <w:numFmt w:val="decimal"/>
      <w:start w:val="16"/>
    </w:lvl>
    <w:lvl w:ilvl="1">
      <w:lvlJc w:val="left"/>
      <w:lvlText w:val="%2."/>
      <w:numFmt w:val="lowerLetter"/>
      <w:start w:val="1"/>
    </w:lvl>
  </w:abstractNum>
  <w:abstractNum w:abstractNumId="25">
    <w:nsid w:val="54E49EB4"/>
    <w:multiLevelType w:val="hybridMultilevel"/>
    <w:lvl w:ilvl="0">
      <w:lvlJc w:val="left"/>
      <w:lvlText w:val="%1."/>
      <w:numFmt w:val="decimal"/>
      <w:start w:val="17"/>
    </w:lvl>
    <w:lvl w:ilvl="1">
      <w:lvlJc w:val="left"/>
      <w:lvlText w:val="%2."/>
      <w:numFmt w:val="lowerLetter"/>
      <w:start w:val="1"/>
    </w:lvl>
  </w:abstractNum>
  <w:abstractNum w:abstractNumId="26">
    <w:nsid w:val="71F32454"/>
    <w:multiLevelType w:val="hybridMultilevel"/>
    <w:lvl w:ilvl="0">
      <w:lvlJc w:val="left"/>
      <w:lvlText w:val="%1."/>
      <w:numFmt w:val="decimal"/>
      <w:start w:val="18"/>
    </w:lvl>
  </w:abstractNum>
  <w:abstractNum w:abstractNumId="27">
    <w:nsid w:val="2CA88611"/>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72" Type="http://schemas.openxmlformats.org/officeDocument/2006/relationships/hyperlink" Target="https://www.sec.gov/Archives/edgar/data/1620280/000095010323002360/dp188860_ex0401.htm" TargetMode="External"/><Relationship Id="rId73" Type="http://schemas.openxmlformats.org/officeDocument/2006/relationships/hyperlink" Target="https://www.sec.gov/Archives/edgar/data/1620280/000095010323004702/dp191146_10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2023-05-04T15:25:18Z</dcterms:created>
  <dcterms:modified xsi:type="dcterms:W3CDTF">2023-05-04T15:25:18Z</dcterms:modified>
</cp:coreProperties>
</file>