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4"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43180</wp:posOffset>
            </wp:positionV>
            <wp:extent cx="1657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7350" cy="5715"/>
                    </a:xfrm>
                    <a:prstGeom prst="rect">
                      <a:avLst/>
                    </a:prstGeom>
                    <a:noFill/>
                  </pic:spPr>
                </pic:pic>
              </a:graphicData>
            </a:graphic>
          </wp:anchor>
        </w:drawing>
      </w:r>
    </w:p>
    <w:p>
      <w:pPr>
        <w:spacing w:after="0" w:line="7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52705</wp:posOffset>
            </wp:positionV>
            <wp:extent cx="1657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7350" cy="5715"/>
                    </a:xfrm>
                    <a:prstGeom prst="rect">
                      <a:avLst/>
                    </a:prstGeom>
                    <a:noFill/>
                  </pic:spPr>
                </pic:pic>
              </a:graphicData>
            </a:graphic>
          </wp:anchor>
        </w:drawing>
      </w:r>
    </w:p>
    <w:p>
      <w:pPr>
        <w:spacing w:after="0" w:line="7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568" w:hanging="568"/>
        <w:spacing w:after="0"/>
        <w:tabs>
          <w:tab w:leader="none" w:pos="56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w:t>
      </w:r>
    </w:p>
    <w:p>
      <w:pPr>
        <w:spacing w:after="0" w:line="25" w:lineRule="exact"/>
        <w:rPr>
          <w:rFonts w:ascii="MS PGothic" w:cs="MS PGothic" w:eastAsia="MS PGothic" w:hAnsi="MS PGothic"/>
          <w:sz w:val="12"/>
          <w:szCs w:val="12"/>
          <w:color w:val="auto"/>
          <w:highlight w:val="black"/>
        </w:rPr>
      </w:pPr>
    </w:p>
    <w:p>
      <w:pPr>
        <w:ind w:left="4688"/>
        <w:spacing w:after="0"/>
        <w:rPr>
          <w:rFonts w:ascii="MS PGothic" w:cs="MS PGothic" w:eastAsia="MS PGothic" w:hAnsi="MS PGothic"/>
          <w:sz w:val="12"/>
          <w:szCs w:val="12"/>
          <w:color w:val="auto"/>
          <w:highlight w:val="black"/>
        </w:rPr>
      </w:pPr>
      <w:r>
        <w:rPr>
          <w:rFonts w:ascii="Arial" w:cs="Arial" w:eastAsia="Arial" w:hAnsi="Arial"/>
          <w:sz w:val="10"/>
          <w:szCs w:val="10"/>
          <w:b w:val="1"/>
          <w:bCs w:val="1"/>
          <w:color w:val="auto"/>
        </w:rPr>
        <w:t>For the fiscal year ended December 31, 2019</w:t>
      </w:r>
    </w:p>
    <w:p>
      <w:pPr>
        <w:spacing w:after="0" w:line="15" w:lineRule="exact"/>
        <w:rPr>
          <w:rFonts w:ascii="MS PGothic" w:cs="MS PGothic" w:eastAsia="MS PGothic" w:hAnsi="MS PGothic"/>
          <w:sz w:val="12"/>
          <w:szCs w:val="12"/>
          <w:color w:val="auto"/>
          <w:highlight w:val="black"/>
        </w:rPr>
      </w:pPr>
    </w:p>
    <w:p>
      <w:pPr>
        <w:ind w:left="5568"/>
        <w:spacing w:after="0"/>
        <w:rPr>
          <w:rFonts w:ascii="MS PGothic" w:cs="MS PGothic" w:eastAsia="MS PGothic" w:hAnsi="MS PGothic"/>
          <w:sz w:val="12"/>
          <w:szCs w:val="12"/>
          <w:color w:val="auto"/>
          <w:highlight w:val="black"/>
        </w:rPr>
      </w:pPr>
      <w:r>
        <w:rPr>
          <w:rFonts w:ascii="Arial" w:cs="Arial" w:eastAsia="Arial" w:hAnsi="Arial"/>
          <w:sz w:val="10"/>
          <w:szCs w:val="10"/>
          <w:b w:val="1"/>
          <w:bCs w:val="1"/>
          <w:color w:val="auto"/>
        </w:rPr>
        <w:t>OR</w:t>
      </w:r>
    </w:p>
    <w:p>
      <w:pPr>
        <w:spacing w:after="0" w:line="13"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 xml:space="preserve">TRANSITION REPORT PURSUANT TO SECTION 13 OR 15(d) OF THE SECURITIES EXCHANGE ACT OF 1934 </w:t>
      </w:r>
      <w:r>
        <w:rPr>
          <w:rFonts w:ascii="Arial" w:cs="Arial" w:eastAsia="Arial" w:hAnsi="Arial"/>
          <w:sz w:val="10"/>
          <w:szCs w:val="10"/>
          <w:b w:val="1"/>
          <w:bCs w:val="1"/>
          <w:color w:val="auto"/>
        </w:rPr>
        <w:t>For the transition period from _____ to _____</w:t>
      </w:r>
    </w:p>
    <w:p>
      <w:pPr>
        <w:spacing w:after="0" w:line="35" w:lineRule="exact"/>
        <w:rPr>
          <w:rFonts w:ascii="MS PGothic" w:cs="MS PGothic" w:eastAsia="MS PGothic" w:hAnsi="MS PGothic"/>
          <w:sz w:val="12"/>
          <w:szCs w:val="12"/>
          <w:color w:val="auto"/>
          <w:highlight w:val="black"/>
        </w:rPr>
      </w:pPr>
    </w:p>
    <w:p>
      <w:pPr>
        <w:ind w:left="4868"/>
        <w:spacing w:after="0"/>
        <w:rPr>
          <w:rFonts w:ascii="MS PGothic" w:cs="MS PGothic" w:eastAsia="MS PGothic" w:hAnsi="MS PGothic"/>
          <w:sz w:val="12"/>
          <w:szCs w:val="12"/>
          <w:color w:val="auto"/>
          <w:highlight w:val="black"/>
        </w:rPr>
      </w:pPr>
      <w:r>
        <w:rPr>
          <w:rFonts w:ascii="Arial" w:cs="Arial" w:eastAsia="Arial" w:hAnsi="Arial"/>
          <w:sz w:val="10"/>
          <w:szCs w:val="10"/>
          <w:b w:val="1"/>
          <w:bCs w:val="1"/>
          <w:color w:val="auto"/>
        </w:rPr>
        <w:t>Commission File Number 001-36708</w:t>
      </w:r>
    </w:p>
    <w:p>
      <w:pPr>
        <w:spacing w:after="0" w:line="47" w:lineRule="exact"/>
        <w:rPr>
          <w:sz w:val="24"/>
          <w:szCs w:val="24"/>
          <w:color w:val="auto"/>
        </w:rPr>
      </w:pPr>
    </w:p>
    <w:tbl>
      <w:tblPr>
        <w:tblLayout w:type="fixed"/>
        <w:tblInd w:w="8" w:type="dxa"/>
        <w:tblCellMar>
          <w:top w:w="0" w:type="dxa"/>
          <w:left w:w="0" w:type="dxa"/>
          <w:bottom w:w="0" w:type="dxa"/>
          <w:right w:w="0" w:type="dxa"/>
        </w:tblCellMar>
      </w:tblPr>
      <w:tr>
        <w:trPr>
          <w:trHeight w:val="259"/>
        </w:trPr>
        <w:tc>
          <w:tcPr>
            <w:tcW w:w="1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4"/>
          </w:tcPr>
          <w:p>
            <w:pPr>
              <w:jc w:val="center"/>
              <w:ind w:right="500"/>
              <w:spacing w:after="0"/>
              <w:rPr>
                <w:sz w:val="20"/>
                <w:szCs w:val="20"/>
                <w:color w:val="auto"/>
              </w:rPr>
            </w:pPr>
            <w:r>
              <w:rPr>
                <w:rFonts w:ascii="Arial" w:cs="Arial" w:eastAsia="Arial" w:hAnsi="Arial"/>
                <w:sz w:val="22"/>
                <w:szCs w:val="22"/>
                <w:b w:val="1"/>
                <w:bCs w:val="1"/>
                <w:color w:val="auto"/>
                <w:w w:val="93"/>
              </w:rPr>
              <w:t>Uniti Group Inc.</w:t>
            </w:r>
          </w:p>
        </w:tc>
        <w:tc>
          <w:tcPr>
            <w:tcW w:w="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260" w:type="dxa"/>
            <w:vAlign w:val="bottom"/>
            <w:gridSpan w:val="6"/>
          </w:tcPr>
          <w:p>
            <w:pPr>
              <w:jc w:val="center"/>
              <w:ind w:right="660"/>
              <w:spacing w:after="0"/>
              <w:rPr>
                <w:sz w:val="20"/>
                <w:szCs w:val="20"/>
                <w:color w:val="auto"/>
              </w:rPr>
            </w:pPr>
            <w:r>
              <w:rPr>
                <w:rFonts w:ascii="Arial" w:cs="Arial" w:eastAsia="Arial" w:hAnsi="Arial"/>
                <w:sz w:val="10"/>
                <w:szCs w:val="10"/>
                <w:b w:val="1"/>
                <w:bCs w:val="1"/>
                <w:color w:val="auto"/>
                <w:w w:val="92"/>
              </w:rPr>
              <w:t>(Exact name of Registrant as specified in its Charter)</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60" w:type="dxa"/>
            <w:vAlign w:val="bottom"/>
            <w:gridSpan w:val="2"/>
          </w:tcPr>
          <w:p>
            <w:pPr>
              <w:jc w:val="center"/>
              <w:ind w:right="1369"/>
              <w:spacing w:after="0" w:line="110" w:lineRule="exact"/>
              <w:rPr>
                <w:sz w:val="20"/>
                <w:szCs w:val="20"/>
                <w:color w:val="auto"/>
              </w:rPr>
            </w:pPr>
            <w:r>
              <w:rPr>
                <w:rFonts w:ascii="Arial" w:cs="Arial" w:eastAsia="Arial" w:hAnsi="Arial"/>
                <w:sz w:val="10"/>
                <w:szCs w:val="10"/>
                <w:b w:val="1"/>
                <w:bCs w:val="1"/>
                <w:color w:val="auto"/>
              </w:rPr>
              <w:t>Maryland</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ind w:right="171"/>
              <w:spacing w:after="0" w:line="110" w:lineRule="exact"/>
              <w:rPr>
                <w:sz w:val="20"/>
                <w:szCs w:val="20"/>
                <w:color w:val="auto"/>
              </w:rPr>
            </w:pPr>
            <w:r>
              <w:rPr>
                <w:rFonts w:ascii="Arial" w:cs="Arial" w:eastAsia="Arial" w:hAnsi="Arial"/>
                <w:sz w:val="10"/>
                <w:szCs w:val="10"/>
                <w:b w:val="1"/>
                <w:bCs w:val="1"/>
                <w:color w:val="auto"/>
              </w:rPr>
              <w:t>46-5230630</w:t>
            </w: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60" w:type="dxa"/>
            <w:vAlign w:val="bottom"/>
            <w:gridSpan w:val="2"/>
          </w:tcPr>
          <w:p>
            <w:pPr>
              <w:jc w:val="center"/>
              <w:ind w:right="1369"/>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80" w:type="dxa"/>
            <w:vAlign w:val="bottom"/>
            <w:gridSpan w:val="3"/>
          </w:tcPr>
          <w:p>
            <w:pPr>
              <w:jc w:val="center"/>
              <w:ind w:right="689"/>
              <w:spacing w:after="0" w:line="99"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03"/>
        </w:trPr>
        <w:tc>
          <w:tcPr>
            <w:tcW w:w="1500" w:type="dxa"/>
            <w:vAlign w:val="bottom"/>
          </w:tcPr>
          <w:p>
            <w:pPr>
              <w:spacing w:after="0"/>
              <w:rPr>
                <w:sz w:val="8"/>
                <w:szCs w:val="8"/>
                <w:color w:val="auto"/>
              </w:rPr>
            </w:pPr>
          </w:p>
        </w:tc>
        <w:tc>
          <w:tcPr>
            <w:tcW w:w="3360" w:type="dxa"/>
            <w:vAlign w:val="bottom"/>
            <w:gridSpan w:val="3"/>
          </w:tcPr>
          <w:p>
            <w:pPr>
              <w:jc w:val="center"/>
              <w:ind w:right="669"/>
              <w:spacing w:after="0" w:line="103" w:lineRule="exact"/>
              <w:rPr>
                <w:sz w:val="20"/>
                <w:szCs w:val="20"/>
                <w:color w:val="auto"/>
              </w:rPr>
            </w:pPr>
            <w:r>
              <w:rPr>
                <w:rFonts w:ascii="Arial" w:cs="Arial" w:eastAsia="Arial" w:hAnsi="Arial"/>
                <w:sz w:val="10"/>
                <w:szCs w:val="10"/>
                <w:b w:val="1"/>
                <w:bCs w:val="1"/>
                <w:color w:val="auto"/>
                <w:w w:val="86"/>
              </w:rPr>
              <w:t>incorporation or organization)</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80" w:type="dxa"/>
            <w:vAlign w:val="bottom"/>
            <w:gridSpan w:val="3"/>
          </w:tcPr>
          <w:p>
            <w:pPr>
              <w:jc w:val="center"/>
              <w:ind w:right="689"/>
              <w:spacing w:after="0" w:line="103" w:lineRule="exact"/>
              <w:rPr>
                <w:sz w:val="20"/>
                <w:szCs w:val="20"/>
                <w:color w:val="auto"/>
              </w:rPr>
            </w:pPr>
            <w:r>
              <w:rPr>
                <w:rFonts w:ascii="Arial" w:cs="Arial" w:eastAsia="Arial" w:hAnsi="Arial"/>
                <w:sz w:val="10"/>
                <w:szCs w:val="10"/>
                <w:b w:val="1"/>
                <w:bCs w:val="1"/>
                <w:color w:val="auto"/>
                <w:w w:val="87"/>
              </w:rPr>
              <w:t>Identification No.)</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3360" w:type="dxa"/>
            <w:vAlign w:val="bottom"/>
            <w:gridSpan w:val="3"/>
          </w:tcPr>
          <w:p>
            <w:pPr>
              <w:jc w:val="center"/>
              <w:ind w:right="689"/>
              <w:spacing w:after="0" w:line="108" w:lineRule="exact"/>
              <w:rPr>
                <w:sz w:val="20"/>
                <w:szCs w:val="20"/>
                <w:color w:val="auto"/>
              </w:rPr>
            </w:pPr>
            <w:r>
              <w:rPr>
                <w:rFonts w:ascii="Arial" w:cs="Arial" w:eastAsia="Arial" w:hAnsi="Arial"/>
                <w:sz w:val="10"/>
                <w:szCs w:val="10"/>
                <w:b w:val="1"/>
                <w:bCs w:val="1"/>
                <w:color w:val="auto"/>
                <w:w w:val="93"/>
              </w:rPr>
              <w:t>10802 Executive Center Drive</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60" w:type="dxa"/>
            <w:vAlign w:val="bottom"/>
            <w:gridSpan w:val="2"/>
          </w:tcPr>
          <w:p>
            <w:pPr>
              <w:jc w:val="center"/>
              <w:ind w:right="1369"/>
              <w:spacing w:after="0" w:line="108" w:lineRule="exact"/>
              <w:rPr>
                <w:sz w:val="20"/>
                <w:szCs w:val="20"/>
                <w:color w:val="auto"/>
              </w:rPr>
            </w:pPr>
            <w:r>
              <w:rPr>
                <w:rFonts w:ascii="Arial" w:cs="Arial" w:eastAsia="Arial" w:hAnsi="Arial"/>
                <w:sz w:val="10"/>
                <w:szCs w:val="10"/>
                <w:b w:val="1"/>
                <w:bCs w:val="1"/>
                <w:color w:val="auto"/>
                <w:w w:val="90"/>
              </w:rPr>
              <w:t>Benton Building Suite 300</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60" w:type="dxa"/>
            <w:vAlign w:val="bottom"/>
            <w:gridSpan w:val="2"/>
          </w:tcPr>
          <w:p>
            <w:pPr>
              <w:jc w:val="center"/>
              <w:ind w:right="1369"/>
              <w:spacing w:after="0" w:line="104" w:lineRule="exact"/>
              <w:rPr>
                <w:sz w:val="20"/>
                <w:szCs w:val="20"/>
                <w:color w:val="auto"/>
              </w:rPr>
            </w:pPr>
            <w:r>
              <w:rPr>
                <w:rFonts w:ascii="Arial" w:cs="Arial" w:eastAsia="Arial" w:hAnsi="Arial"/>
                <w:sz w:val="10"/>
                <w:szCs w:val="10"/>
                <w:b w:val="1"/>
                <w:bCs w:val="1"/>
                <w:color w:val="auto"/>
                <w:w w:val="94"/>
              </w:rPr>
              <w:t>Little Rock, Arkansas</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jc w:val="right"/>
              <w:ind w:right="291"/>
              <w:spacing w:after="0" w:line="104" w:lineRule="exact"/>
              <w:rPr>
                <w:sz w:val="20"/>
                <w:szCs w:val="20"/>
                <w:color w:val="auto"/>
              </w:rPr>
            </w:pPr>
            <w:r>
              <w:rPr>
                <w:rFonts w:ascii="Arial" w:cs="Arial" w:eastAsia="Arial" w:hAnsi="Arial"/>
                <w:sz w:val="10"/>
                <w:szCs w:val="10"/>
                <w:b w:val="1"/>
                <w:bCs w:val="1"/>
                <w:color w:val="auto"/>
              </w:rPr>
              <w:t>72211</w:t>
            </w: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500" w:type="dxa"/>
            <w:vAlign w:val="bottom"/>
          </w:tcPr>
          <w:p>
            <w:pPr>
              <w:spacing w:after="0"/>
              <w:rPr>
                <w:sz w:val="10"/>
                <w:szCs w:val="10"/>
                <w:color w:val="auto"/>
              </w:rPr>
            </w:pPr>
          </w:p>
        </w:tc>
        <w:tc>
          <w:tcPr>
            <w:tcW w:w="3360" w:type="dxa"/>
            <w:vAlign w:val="bottom"/>
            <w:gridSpan w:val="3"/>
          </w:tcPr>
          <w:p>
            <w:pPr>
              <w:jc w:val="center"/>
              <w:ind w:right="669"/>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gridSpan w:val="3"/>
          </w:tcPr>
          <w:p>
            <w:pPr>
              <w:jc w:val="center"/>
              <w:ind w:right="689"/>
              <w:spacing w:after="0"/>
              <w:rPr>
                <w:sz w:val="20"/>
                <w:szCs w:val="20"/>
                <w:color w:val="auto"/>
              </w:rPr>
            </w:pPr>
            <w:r>
              <w:rPr>
                <w:rFonts w:ascii="Arial" w:cs="Arial" w:eastAsia="Arial" w:hAnsi="Arial"/>
                <w:sz w:val="10"/>
                <w:szCs w:val="10"/>
                <w:b w:val="1"/>
                <w:bCs w:val="1"/>
                <w:color w:val="auto"/>
                <w:w w:val="92"/>
              </w:rPr>
              <w:t>(Zip Code)</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0" w:type="dxa"/>
            <w:vAlign w:val="bottom"/>
            <w:gridSpan w:val="7"/>
          </w:tcPr>
          <w:p>
            <w:pPr>
              <w:jc w:val="center"/>
              <w:ind w:left="1430"/>
              <w:spacing w:after="0"/>
              <w:rPr>
                <w:sz w:val="20"/>
                <w:szCs w:val="20"/>
                <w:color w:val="auto"/>
              </w:rPr>
            </w:pPr>
            <w:r>
              <w:rPr>
                <w:rFonts w:ascii="Arial" w:cs="Arial" w:eastAsia="Arial" w:hAnsi="Arial"/>
                <w:sz w:val="10"/>
                <w:szCs w:val="10"/>
                <w:b w:val="1"/>
                <w:bCs w:val="1"/>
                <w:color w:val="auto"/>
                <w:w w:val="90"/>
              </w:rPr>
              <w:t>Registrant’s telephone number, including area code: (501) 850-0820</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860" w:type="dxa"/>
            <w:vAlign w:val="bottom"/>
            <w:gridSpan w:val="4"/>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80" w:type="dxa"/>
            <w:vAlign w:val="bottom"/>
            <w:gridSpan w:val="3"/>
          </w:tcPr>
          <w:p>
            <w:pPr>
              <w:ind w:left="1260"/>
              <w:spacing w:after="0" w:line="102" w:lineRule="exact"/>
              <w:rPr>
                <w:sz w:val="20"/>
                <w:szCs w:val="20"/>
                <w:color w:val="auto"/>
              </w:rPr>
            </w:pPr>
            <w:r>
              <w:rPr>
                <w:rFonts w:ascii="Arial" w:cs="Arial" w:eastAsia="Arial" w:hAnsi="Arial"/>
                <w:sz w:val="10"/>
                <w:szCs w:val="10"/>
                <w:color w:val="auto"/>
              </w:rPr>
              <w:t>Name of each exchange</w:t>
            </w: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3360" w:type="dxa"/>
            <w:vAlign w:val="bottom"/>
            <w:gridSpan w:val="3"/>
          </w:tcPr>
          <w:p>
            <w:pPr>
              <w:jc w:val="center"/>
              <w:ind w:right="2609"/>
              <w:spacing w:after="0" w:line="103" w:lineRule="exact"/>
              <w:rPr>
                <w:sz w:val="20"/>
                <w:szCs w:val="20"/>
                <w:color w:val="auto"/>
              </w:rPr>
            </w:pPr>
            <w:r>
              <w:rPr>
                <w:rFonts w:ascii="Arial" w:cs="Arial" w:eastAsia="Arial" w:hAnsi="Arial"/>
                <w:sz w:val="10"/>
                <w:szCs w:val="10"/>
                <w:color w:val="auto"/>
                <w:w w:val="87"/>
              </w:rPr>
              <w:t>Title of each class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20" w:type="dxa"/>
            <w:vAlign w:val="bottom"/>
            <w:gridSpan w:val="3"/>
          </w:tcPr>
          <w:p>
            <w:pPr>
              <w:jc w:val="center"/>
              <w:ind w:right="1760"/>
              <w:spacing w:after="0" w:line="103" w:lineRule="exact"/>
              <w:rPr>
                <w:sz w:val="20"/>
                <w:szCs w:val="20"/>
                <w:color w:val="auto"/>
              </w:rPr>
            </w:pPr>
            <w:r>
              <w:rPr>
                <w:rFonts w:ascii="Arial" w:cs="Arial" w:eastAsia="Arial" w:hAnsi="Arial"/>
                <w:sz w:val="10"/>
                <w:szCs w:val="10"/>
                <w:color w:val="auto"/>
                <w:w w:val="79"/>
              </w:rPr>
              <w:t>Trading Symbol</w:t>
            </w:r>
          </w:p>
        </w:tc>
        <w:tc>
          <w:tcPr>
            <w:tcW w:w="1340" w:type="dxa"/>
            <w:vAlign w:val="bottom"/>
          </w:tcPr>
          <w:p>
            <w:pPr>
              <w:spacing w:after="0"/>
              <w:rPr>
                <w:sz w:val="8"/>
                <w:szCs w:val="8"/>
                <w:color w:val="auto"/>
              </w:rPr>
            </w:pPr>
          </w:p>
        </w:tc>
        <w:tc>
          <w:tcPr>
            <w:tcW w:w="1140" w:type="dxa"/>
            <w:vAlign w:val="bottom"/>
            <w:gridSpan w:val="2"/>
          </w:tcPr>
          <w:p>
            <w:pPr>
              <w:jc w:val="right"/>
              <w:ind w:right="329"/>
              <w:spacing w:after="0" w:line="103" w:lineRule="exact"/>
              <w:rPr>
                <w:sz w:val="20"/>
                <w:szCs w:val="20"/>
                <w:color w:val="auto"/>
              </w:rPr>
            </w:pPr>
            <w:r>
              <w:rPr>
                <w:rFonts w:ascii="Arial" w:cs="Arial" w:eastAsia="Arial" w:hAnsi="Arial"/>
                <w:sz w:val="10"/>
                <w:szCs w:val="10"/>
                <w:color w:val="auto"/>
                <w:w w:val="85"/>
              </w:rPr>
              <w:t>on which registered</w:t>
            </w:r>
          </w:p>
        </w:tc>
        <w:tc>
          <w:tcPr>
            <w:tcW w:w="0" w:type="dxa"/>
            <w:vAlign w:val="bottom"/>
          </w:tcPr>
          <w:p>
            <w:pPr>
              <w:spacing w:after="0"/>
              <w:rPr>
                <w:sz w:val="1"/>
                <w:szCs w:val="1"/>
                <w:color w:val="auto"/>
              </w:rPr>
            </w:pPr>
          </w:p>
        </w:tc>
      </w:tr>
      <w:tr>
        <w:trPr>
          <w:trHeight w:val="20"/>
        </w:trPr>
        <w:tc>
          <w:tcPr>
            <w:tcW w:w="1500" w:type="dxa"/>
            <w:vAlign w:val="bottom"/>
            <w:vMerge w:val="restart"/>
          </w:tcPr>
          <w:p>
            <w:pPr>
              <w:ind w:left="1140"/>
              <w:spacing w:after="0"/>
              <w:rPr>
                <w:sz w:val="20"/>
                <w:szCs w:val="20"/>
                <w:color w:val="auto"/>
              </w:rPr>
            </w:pPr>
            <w:r>
              <w:rPr>
                <w:rFonts w:ascii="Arial" w:cs="Arial" w:eastAsia="Arial" w:hAnsi="Arial"/>
                <w:sz w:val="10"/>
                <w:szCs w:val="10"/>
                <w:color w:val="auto"/>
                <w:w w:val="83"/>
              </w:rPr>
              <w:t>Common</w:t>
            </w:r>
          </w:p>
        </w:tc>
        <w:tc>
          <w:tcPr>
            <w:tcW w:w="700" w:type="dxa"/>
            <w:vAlign w:val="bottom"/>
            <w:shd w:val="clear" w:color="auto" w:fill="000000"/>
          </w:tcPr>
          <w:p>
            <w:pPr>
              <w:spacing w:after="0" w:line="20" w:lineRule="exact"/>
              <w:rPr>
                <w:sz w:val="1"/>
                <w:szCs w:val="1"/>
                <w:color w:val="auto"/>
              </w:rPr>
            </w:pPr>
          </w:p>
        </w:tc>
        <w:tc>
          <w:tcPr>
            <w:tcW w:w="2660" w:type="dxa"/>
            <w:vAlign w:val="bottom"/>
            <w:gridSpan w:val="2"/>
            <w:vMerge w:val="restart"/>
          </w:tcPr>
          <w:p>
            <w:pPr>
              <w:spacing w:after="0"/>
              <w:rPr>
                <w:sz w:val="20"/>
                <w:szCs w:val="20"/>
                <w:color w:val="auto"/>
              </w:rPr>
            </w:pPr>
            <w:r>
              <w:rPr>
                <w:rFonts w:ascii="Arial" w:cs="Arial" w:eastAsia="Arial" w:hAnsi="Arial"/>
                <w:sz w:val="10"/>
                <w:szCs w:val="10"/>
                <w:color w:val="auto"/>
              </w:rPr>
              <w:t>Par Value</w:t>
            </w: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60" w:type="dxa"/>
            <w:vAlign w:val="bottom"/>
            <w:gridSpan w:val="2"/>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tcPr>
          <w:p>
            <w:pPr>
              <w:ind w:left="80"/>
              <w:spacing w:after="0"/>
              <w:rPr>
                <w:sz w:val="20"/>
                <w:szCs w:val="20"/>
                <w:color w:val="auto"/>
              </w:rPr>
            </w:pPr>
            <w:r>
              <w:rPr>
                <w:rFonts w:ascii="Arial" w:cs="Arial" w:eastAsia="Arial" w:hAnsi="Arial"/>
                <w:sz w:val="10"/>
                <w:szCs w:val="10"/>
                <w:color w:val="auto"/>
                <w:w w:val="91"/>
              </w:rPr>
              <w:t>Market</w:t>
            </w:r>
          </w:p>
        </w:tc>
        <w:tc>
          <w:tcPr>
            <w:tcW w:w="0" w:type="dxa"/>
            <w:vAlign w:val="bottom"/>
          </w:tcPr>
          <w:p>
            <w:pPr>
              <w:spacing w:after="0" w:line="20" w:lineRule="exact"/>
              <w:rPr>
                <w:sz w:val="1"/>
                <w:szCs w:val="1"/>
                <w:color w:val="auto"/>
              </w:rPr>
            </w:pPr>
          </w:p>
        </w:tc>
      </w:tr>
      <w:tr>
        <w:trPr>
          <w:trHeight w:val="113"/>
        </w:trPr>
        <w:tc>
          <w:tcPr>
            <w:tcW w:w="1500" w:type="dxa"/>
            <w:vAlign w:val="bottom"/>
            <w:vMerge w:val="continue"/>
          </w:tcPr>
          <w:p>
            <w:pPr>
              <w:spacing w:after="0"/>
              <w:rPr>
                <w:sz w:val="9"/>
                <w:szCs w:val="9"/>
                <w:color w:val="auto"/>
              </w:rPr>
            </w:pPr>
          </w:p>
        </w:tc>
        <w:tc>
          <w:tcPr>
            <w:tcW w:w="700" w:type="dxa"/>
            <w:vAlign w:val="bottom"/>
          </w:tcPr>
          <w:p>
            <w:pPr>
              <w:jc w:val="center"/>
              <w:spacing w:after="0" w:line="114" w:lineRule="exact"/>
              <w:rPr>
                <w:sz w:val="20"/>
                <w:szCs w:val="20"/>
                <w:color w:val="auto"/>
              </w:rPr>
            </w:pPr>
            <w:r>
              <w:rPr>
                <w:rFonts w:ascii="Arial" w:cs="Arial" w:eastAsia="Arial" w:hAnsi="Arial"/>
                <w:sz w:val="10"/>
                <w:szCs w:val="10"/>
                <w:color w:val="auto"/>
                <w:w w:val="92"/>
              </w:rPr>
              <w:t>Stock, $0.0001</w:t>
            </w:r>
          </w:p>
        </w:tc>
        <w:tc>
          <w:tcPr>
            <w:tcW w:w="2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ind w:right="10"/>
              <w:spacing w:after="0" w:line="114" w:lineRule="exact"/>
              <w:rPr>
                <w:sz w:val="20"/>
                <w:szCs w:val="20"/>
                <w:color w:val="auto"/>
              </w:rPr>
            </w:pPr>
            <w:r>
              <w:rPr>
                <w:rFonts w:ascii="Arial" w:cs="Arial" w:eastAsia="Arial" w:hAnsi="Arial"/>
                <w:sz w:val="10"/>
                <w:szCs w:val="10"/>
                <w:color w:val="auto"/>
              </w:rPr>
              <w:t>UNIT</w:t>
            </w:r>
          </w:p>
        </w:tc>
        <w:tc>
          <w:tcPr>
            <w:tcW w:w="1760" w:type="dxa"/>
            <w:vAlign w:val="bottom"/>
            <w:gridSpan w:val="2"/>
            <w:vMerge w:val="continue"/>
          </w:tcPr>
          <w:p>
            <w:pPr>
              <w:spacing w:after="0"/>
              <w:rPr>
                <w:sz w:val="9"/>
                <w:szCs w:val="9"/>
                <w:color w:val="auto"/>
              </w:rPr>
            </w:pPr>
          </w:p>
        </w:tc>
        <w:tc>
          <w:tcPr>
            <w:tcW w:w="210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The NASDAQ Global Select</w:t>
            </w: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860" w:type="dxa"/>
            <w:vAlign w:val="bottom"/>
            <w:gridSpan w:val="4"/>
          </w:tcPr>
          <w:p>
            <w:pPr>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tc>
        <w:tc>
          <w:tcPr>
            <w:tcW w:w="240" w:type="dxa"/>
            <w:vAlign w:val="bottom"/>
          </w:tcPr>
          <w:p>
            <w:pPr>
              <w:spacing w:after="0"/>
              <w:rPr>
                <w:sz w:val="11"/>
                <w:szCs w:val="11"/>
                <w:color w:val="auto"/>
              </w:rPr>
            </w:pPr>
          </w:p>
        </w:tc>
        <w:tc>
          <w:tcPr>
            <w:tcW w:w="180" w:type="dxa"/>
            <w:vAlign w:val="bottom"/>
            <w:vMerge w:val="restart"/>
          </w:tcPr>
          <w:p>
            <w:pPr>
              <w:ind w:left="60"/>
              <w:spacing w:after="0" w:line="101" w:lineRule="exact"/>
              <w:rPr>
                <w:sz w:val="20"/>
                <w:szCs w:val="20"/>
                <w:color w:val="auto"/>
              </w:rPr>
            </w:pPr>
            <w:r>
              <w:rPr>
                <w:rFonts w:ascii="MS PGothic" w:cs="MS PGothic" w:eastAsia="MS PGothic" w:hAnsi="MS PGothic"/>
                <w:sz w:val="10"/>
                <w:szCs w:val="10"/>
                <w:color w:val="auto"/>
                <w:w w:val="79"/>
              </w:rPr>
              <w:t>☒</w:t>
            </w:r>
          </w:p>
        </w:tc>
        <w:tc>
          <w:tcPr>
            <w:tcW w:w="2320" w:type="dxa"/>
            <w:vAlign w:val="bottom"/>
            <w:gridSpan w:val="3"/>
            <w:vMerge w:val="restart"/>
          </w:tcPr>
          <w:p>
            <w:pPr>
              <w:ind w:left="6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860" w:type="dxa"/>
            <w:vAlign w:val="bottom"/>
            <w:gridSpan w:val="4"/>
          </w:tcPr>
          <w:p>
            <w:pPr>
              <w:spacing w:after="0"/>
              <w:rPr>
                <w:sz w:val="20"/>
                <w:szCs w:val="20"/>
                <w:color w:val="auto"/>
              </w:rPr>
            </w:pPr>
            <w:r>
              <w:rPr>
                <w:rFonts w:ascii="Arial" w:cs="Arial" w:eastAsia="Arial" w:hAnsi="Arial"/>
                <w:sz w:val="10"/>
                <w:szCs w:val="10"/>
                <w:color w:val="auto"/>
                <w:w w:val="92"/>
              </w:rPr>
              <w:t>Indicate by check mark if the Registrant is a well-known seasoned issuer, as defined in Rule 405 of the Securities Act.</w:t>
            </w:r>
          </w:p>
        </w:tc>
        <w:tc>
          <w:tcPr>
            <w:tcW w:w="240" w:type="dxa"/>
            <w:vAlign w:val="bottom"/>
          </w:tcPr>
          <w:p>
            <w:pPr>
              <w:ind w:left="60"/>
              <w:spacing w:after="0"/>
              <w:rPr>
                <w:sz w:val="20"/>
                <w:szCs w:val="20"/>
                <w:color w:val="auto"/>
              </w:rPr>
            </w:pPr>
            <w:r>
              <w:rPr>
                <w:rFonts w:ascii="Arial" w:cs="Arial" w:eastAsia="Arial" w:hAnsi="Arial"/>
                <w:sz w:val="10"/>
                <w:szCs w:val="10"/>
                <w:color w:val="auto"/>
                <w:w w:val="79"/>
              </w:rPr>
              <w:t>YES</w:t>
            </w:r>
          </w:p>
        </w:tc>
        <w:tc>
          <w:tcPr>
            <w:tcW w:w="180" w:type="dxa"/>
            <w:vAlign w:val="bottom"/>
            <w:vMerge w:val="continue"/>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60" w:type="dxa"/>
            <w:vAlign w:val="bottom"/>
            <w:gridSpan w:val="4"/>
          </w:tcPr>
          <w:p>
            <w:pPr>
              <w:spacing w:after="0"/>
              <w:rPr>
                <w:sz w:val="20"/>
                <w:szCs w:val="20"/>
                <w:color w:val="auto"/>
              </w:rPr>
            </w:pPr>
            <w:r>
              <w:rPr>
                <w:rFonts w:ascii="Arial" w:cs="Arial" w:eastAsia="Arial" w:hAnsi="Arial"/>
                <w:sz w:val="10"/>
                <w:szCs w:val="10"/>
                <w:color w:val="auto"/>
                <w:w w:val="93"/>
              </w:rPr>
              <w:t>Indicate by check mark if the Registrant is not required to file reports pursuant to Section 13 or 15(d) of the Act.   YES</w:t>
            </w:r>
          </w:p>
        </w:tc>
        <w:tc>
          <w:tcPr>
            <w:tcW w:w="240" w:type="dxa"/>
            <w:vAlign w:val="bottom"/>
          </w:tcPr>
          <w:p>
            <w:pPr>
              <w:ind w:left="60"/>
              <w:spacing w:after="0" w:line="101" w:lineRule="exact"/>
              <w:rPr>
                <w:sz w:val="20"/>
                <w:szCs w:val="20"/>
                <w:color w:val="auto"/>
              </w:rPr>
            </w:pPr>
            <w:r>
              <w:rPr>
                <w:rFonts w:ascii="MS PGothic" w:cs="MS PGothic" w:eastAsia="MS PGothic" w:hAnsi="MS PGothic"/>
                <w:sz w:val="10"/>
                <w:szCs w:val="10"/>
                <w:color w:val="auto"/>
              </w:rPr>
              <w:t>☐</w:t>
            </w:r>
          </w:p>
        </w:tc>
        <w:tc>
          <w:tcPr>
            <w:tcW w:w="180" w:type="dxa"/>
            <w:vAlign w:val="bottom"/>
          </w:tcPr>
          <w:p>
            <w:pPr>
              <w:spacing w:after="0"/>
              <w:rPr>
                <w:sz w:val="20"/>
                <w:szCs w:val="20"/>
                <w:color w:val="auto"/>
              </w:rPr>
            </w:pPr>
            <w:r>
              <w:rPr>
                <w:rFonts w:ascii="Arial" w:cs="Arial" w:eastAsia="Arial" w:hAnsi="Arial"/>
                <w:sz w:val="10"/>
                <w:szCs w:val="10"/>
                <w:color w:val="auto"/>
                <w:w w:val="93"/>
              </w:rPr>
              <w:t>NO</w:t>
            </w:r>
          </w:p>
        </w:tc>
        <w:tc>
          <w:tcPr>
            <w:tcW w:w="2320" w:type="dxa"/>
            <w:vAlign w:val="bottom"/>
            <w:gridSpan w:val="3"/>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 w:right="20"/>
        <w:spacing w:after="0" w:line="126"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 w:lineRule="exact"/>
        <w:rPr>
          <w:sz w:val="24"/>
          <w:szCs w:val="24"/>
          <w:color w:val="auto"/>
        </w:rPr>
      </w:pPr>
    </w:p>
    <w:p>
      <w:pPr>
        <w:ind w:left="8" w:right="160"/>
        <w:spacing w:after="0" w:line="12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3" w:lineRule="exact"/>
        <w:rPr>
          <w:sz w:val="24"/>
          <w:szCs w:val="24"/>
          <w:color w:val="auto"/>
        </w:rPr>
      </w:pPr>
    </w:p>
    <w:p>
      <w:pPr>
        <w:ind w:left="8"/>
        <w:spacing w:after="0" w:line="24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8"/>
          </w:cols>
          <w:pgMar w:left="292" w:top="203" w:right="299" w:bottom="1440" w:gutter="0" w:footer="0" w:header="0"/>
        </w:sectPr>
      </w:pPr>
    </w:p>
    <w:p>
      <w:pPr>
        <w:ind w:left="8"/>
        <w:spacing w:after="0" w:line="115" w:lineRule="exact"/>
        <w:tabs>
          <w:tab w:leader="none" w:pos="1928" w:val="left"/>
          <w:tab w:leader="none" w:pos="8668"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9"/>
          <w:szCs w:val="9"/>
          <w:color w:val="auto"/>
        </w:rPr>
        <w:t>Accelerated filer</w:t>
      </w:r>
    </w:p>
    <w:p>
      <w:pPr>
        <w:spacing w:after="0" w:line="41" w:lineRule="exact"/>
        <w:rPr>
          <w:sz w:val="24"/>
          <w:szCs w:val="24"/>
          <w:color w:val="auto"/>
        </w:rPr>
      </w:pPr>
    </w:p>
    <w:p>
      <w:pPr>
        <w:ind w:left="8"/>
        <w:spacing w:after="0" w:line="115" w:lineRule="exact"/>
        <w:tabs>
          <w:tab w:leader="none" w:pos="1928" w:val="left"/>
          <w:tab w:leader="none" w:pos="8668" w:val="left"/>
        </w:tabs>
        <w:rPr>
          <w:sz w:val="20"/>
          <w:szCs w:val="20"/>
          <w:color w:val="auto"/>
        </w:rPr>
      </w:pPr>
      <w:r>
        <w:rPr>
          <w:rFonts w:ascii="Arial" w:cs="Arial" w:eastAsia="Arial" w:hAnsi="Arial"/>
          <w:sz w:val="10"/>
          <w:szCs w:val="10"/>
          <w:color w:val="auto"/>
        </w:rPr>
        <w:t>Non-accelerated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9"/>
          <w:szCs w:val="9"/>
          <w:color w:val="auto"/>
        </w:rPr>
        <w:t>Smaller reporting company</w:t>
      </w:r>
    </w:p>
    <w:p>
      <w:pPr>
        <w:spacing w:after="0" w:line="22" w:lineRule="exact"/>
        <w:rPr>
          <w:sz w:val="24"/>
          <w:szCs w:val="24"/>
          <w:color w:val="auto"/>
        </w:rPr>
      </w:pPr>
    </w:p>
    <w:p>
      <w:pPr>
        <w:ind w:left="8688"/>
        <w:spacing w:after="0"/>
        <w:rPr>
          <w:sz w:val="20"/>
          <w:szCs w:val="20"/>
          <w:color w:val="auto"/>
        </w:rPr>
      </w:pPr>
      <w:r>
        <w:rPr>
          <w:rFonts w:ascii="Arial" w:cs="Arial" w:eastAsia="Arial" w:hAnsi="Arial"/>
          <w:sz w:val="10"/>
          <w:szCs w:val="10"/>
          <w:color w:val="auto"/>
        </w:rPr>
        <w:t>Emerging growth company</w:t>
      </w:r>
    </w:p>
    <w:p>
      <w:pPr>
        <w:spacing w:after="0" w:line="19" w:lineRule="exact"/>
        <w:rPr>
          <w:sz w:val="24"/>
          <w:szCs w:val="24"/>
          <w:color w:val="auto"/>
        </w:rPr>
      </w:pPr>
    </w:p>
    <w:p>
      <w:pPr>
        <w:ind w:left="8"/>
        <w:spacing w:after="0" w:line="144"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ind w:left="8" w:right="200"/>
        <w:spacing w:after="0" w:line="275" w:lineRule="auto"/>
        <w:rPr>
          <w:sz w:val="20"/>
          <w:szCs w:val="20"/>
          <w:color w:val="auto"/>
        </w:rPr>
      </w:pPr>
      <w:r>
        <w:rPr>
          <w:rFonts w:ascii="Arial" w:cs="Arial" w:eastAsia="Arial" w:hAnsi="Arial"/>
          <w:sz w:val="10"/>
          <w:szCs w:val="10"/>
          <w:color w:val="auto"/>
        </w:rPr>
        <w:t>The aggregate market value of the voting and non-voting common equity held by non-affiliates of the Registrant, based on the closing price of the shares of common stock on The NASDAQ Global Select Market on June 28, 2019 was $1,287,023,719 The number of shares of the Registrant’s common stock outstanding as of March 4, 2020 was 193,263,981.</w:t>
      </w:r>
    </w:p>
    <w:p>
      <w:pPr>
        <w:spacing w:after="0" w:line="1" w:lineRule="exact"/>
        <w:rPr>
          <w:sz w:val="24"/>
          <w:szCs w:val="24"/>
          <w:color w:val="auto"/>
        </w:rPr>
      </w:pPr>
    </w:p>
    <w:p>
      <w:pPr>
        <w:ind w:left="4548"/>
        <w:spacing w:after="0"/>
        <w:rPr>
          <w:sz w:val="20"/>
          <w:szCs w:val="20"/>
          <w:color w:val="auto"/>
        </w:rPr>
      </w:pPr>
      <w:r>
        <w:rPr>
          <w:rFonts w:ascii="Arial" w:cs="Arial" w:eastAsia="Arial" w:hAnsi="Arial"/>
          <w:sz w:val="10"/>
          <w:szCs w:val="10"/>
          <w:color w:val="auto"/>
        </w:rPr>
        <w:t>DOCUMENTS INCORPORATED BY REFERENCE</w:t>
      </w:r>
    </w:p>
    <w:p>
      <w:pPr>
        <w:spacing w:after="0" w:line="14" w:lineRule="exact"/>
        <w:rPr>
          <w:sz w:val="24"/>
          <w:szCs w:val="24"/>
          <w:color w:val="auto"/>
        </w:rPr>
      </w:pPr>
    </w:p>
    <w:p>
      <w:pPr>
        <w:ind w:left="8"/>
        <w:spacing w:after="0"/>
        <w:rPr>
          <w:sz w:val="20"/>
          <w:szCs w:val="20"/>
          <w:color w:val="auto"/>
        </w:rPr>
      </w:pPr>
      <w:r>
        <w:rPr>
          <w:rFonts w:ascii="Arial" w:cs="Arial" w:eastAsia="Arial" w:hAnsi="Arial"/>
          <w:sz w:val="10"/>
          <w:szCs w:val="10"/>
          <w:color w:val="auto"/>
        </w:rPr>
        <w:t>Portions of the Registrant’s definitive proxy statement relating to the 2020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295275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76"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62"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ectPr>
          <w:pgSz w:w="11900" w:h="16838" w:orient="portrait"/>
          <w:cols w:equalWidth="0" w:num="2">
            <w:col w:w="10408" w:space="660"/>
            <w:col w:w="240"/>
          </w:cols>
          <w:pgMar w:left="292" w:top="203" w:right="299" w:bottom="1440" w:gutter="0" w:footer="0" w:header="0"/>
          <w:type w:val="continuous"/>
        </w:sectPr>
      </w:pPr>
    </w:p>
    <w:bookmarkStart w:id="1" w:name="page2"/>
    <w:bookmarkEnd w:id="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20" w:type="dxa"/>
            <w:vAlign w:val="bottom"/>
            <w:gridSpan w:val="5"/>
          </w:tcPr>
          <w:p>
            <w:pPr>
              <w:ind w:left="460"/>
              <w:spacing w:after="0"/>
              <w:rPr>
                <w:sz w:val="20"/>
                <w:szCs w:val="20"/>
                <w:color w:val="auto"/>
              </w:rPr>
            </w:pPr>
            <w:r>
              <w:rPr>
                <w:rFonts w:ascii="Arial" w:cs="Arial" w:eastAsia="Arial" w:hAnsi="Arial"/>
                <w:sz w:val="12"/>
                <w:szCs w:val="12"/>
                <w:b w:val="1"/>
                <w:bCs w:val="1"/>
                <w:color w:val="auto"/>
              </w:rPr>
              <w:t>Table of Contents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42"/>
        </w:trPr>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w:t>
            </w:r>
          </w:p>
        </w:tc>
        <w:tc>
          <w:tcPr>
            <w:tcW w:w="260" w:type="dxa"/>
            <w:vAlign w:val="bottom"/>
          </w:tcPr>
          <w:p>
            <w:pPr>
              <w:spacing w:after="0"/>
              <w:rPr>
                <w:sz w:val="10"/>
                <w:szCs w:val="10"/>
                <w:color w:val="auto"/>
              </w:rPr>
            </w:pPr>
          </w:p>
        </w:tc>
        <w:tc>
          <w:tcPr>
            <w:tcW w:w="440" w:type="dxa"/>
            <w:vAlign w:val="bottom"/>
            <w:tcBorders>
              <w:bottom w:val="single" w:sz="8" w:color="0000EE"/>
            </w:tcBorders>
          </w:tcPr>
          <w:p>
            <w:pPr>
              <w:spacing w:after="0" w:line="126" w:lineRule="exact"/>
              <w:rPr>
                <w:rFonts w:ascii="Arial" w:cs="Arial" w:eastAsia="Arial" w:hAnsi="Arial"/>
                <w:sz w:val="12"/>
                <w:szCs w:val="12"/>
                <w:color w:val="0000EE"/>
                <w:w w:val="86"/>
              </w:rPr>
            </w:pPr>
            <w:hyperlink w:anchor="page5">
              <w:r>
                <w:rPr>
                  <w:rFonts w:ascii="Arial" w:cs="Arial" w:eastAsia="Arial" w:hAnsi="Arial"/>
                  <w:sz w:val="12"/>
                  <w:szCs w:val="12"/>
                  <w:color w:val="0000EE"/>
                  <w:w w:val="86"/>
                </w:rPr>
                <w:t>Business</w:t>
              </w:r>
            </w:hyperlink>
          </w:p>
        </w:tc>
        <w:tc>
          <w:tcPr>
            <w:tcW w:w="9120" w:type="dxa"/>
            <w:vAlign w:val="bottom"/>
            <w:gridSpan w:val="20"/>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1A.</w:t>
            </w:r>
          </w:p>
        </w:tc>
        <w:tc>
          <w:tcPr>
            <w:tcW w:w="260" w:type="dxa"/>
            <w:vAlign w:val="bottom"/>
          </w:tcPr>
          <w:p>
            <w:pPr>
              <w:spacing w:after="0"/>
              <w:rPr>
                <w:sz w:val="11"/>
                <w:szCs w:val="11"/>
                <w:color w:val="auto"/>
              </w:rPr>
            </w:pPr>
          </w:p>
        </w:tc>
        <w:tc>
          <w:tcPr>
            <w:tcW w:w="620" w:type="dxa"/>
            <w:vAlign w:val="bottom"/>
            <w:tcBorders>
              <w:bottom w:val="single" w:sz="8" w:color="0000EE"/>
            </w:tcBorders>
            <w:gridSpan w:val="3"/>
          </w:tcPr>
          <w:p>
            <w:pPr>
              <w:spacing w:after="0" w:line="133" w:lineRule="exact"/>
              <w:rPr>
                <w:rFonts w:ascii="Arial" w:cs="Arial" w:eastAsia="Arial" w:hAnsi="Arial"/>
                <w:sz w:val="12"/>
                <w:szCs w:val="12"/>
                <w:color w:val="0000EE"/>
                <w:w w:val="89"/>
              </w:rPr>
            </w:pPr>
            <w:hyperlink w:anchor="page15">
              <w:r>
                <w:rPr>
                  <w:rFonts w:ascii="Arial" w:cs="Arial" w:eastAsia="Arial" w:hAnsi="Arial"/>
                  <w:sz w:val="12"/>
                  <w:szCs w:val="12"/>
                  <w:color w:val="0000EE"/>
                  <w:w w:val="89"/>
                </w:rPr>
                <w:t>Risk Factors</w:t>
              </w:r>
            </w:hyperlink>
          </w:p>
        </w:tc>
        <w:tc>
          <w:tcPr>
            <w:tcW w:w="8940" w:type="dxa"/>
            <w:vAlign w:val="bottom"/>
            <w:gridSpan w:val="18"/>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1B.</w:t>
            </w:r>
          </w:p>
        </w:tc>
        <w:tc>
          <w:tcPr>
            <w:tcW w:w="260" w:type="dxa"/>
            <w:vAlign w:val="bottom"/>
          </w:tcPr>
          <w:p>
            <w:pPr>
              <w:spacing w:after="0"/>
              <w:rPr>
                <w:sz w:val="11"/>
                <w:szCs w:val="11"/>
                <w:color w:val="auto"/>
              </w:rPr>
            </w:pPr>
          </w:p>
        </w:tc>
        <w:tc>
          <w:tcPr>
            <w:tcW w:w="1380" w:type="dxa"/>
            <w:vAlign w:val="bottom"/>
            <w:tcBorders>
              <w:bottom w:val="single" w:sz="8" w:color="0000EE"/>
            </w:tcBorders>
            <w:gridSpan w:val="10"/>
          </w:tcPr>
          <w:p>
            <w:pPr>
              <w:spacing w:after="0" w:line="133" w:lineRule="exact"/>
              <w:rPr>
                <w:rFonts w:ascii="Arial" w:cs="Arial" w:eastAsia="Arial" w:hAnsi="Arial"/>
                <w:sz w:val="12"/>
                <w:szCs w:val="12"/>
                <w:color w:val="0000EE"/>
                <w:w w:val="90"/>
              </w:rPr>
            </w:pPr>
            <w:hyperlink w:anchor="page24">
              <w:r>
                <w:rPr>
                  <w:rFonts w:ascii="Arial" w:cs="Arial" w:eastAsia="Arial" w:hAnsi="Arial"/>
                  <w:sz w:val="12"/>
                  <w:szCs w:val="12"/>
                  <w:color w:val="0000EE"/>
                  <w:w w:val="90"/>
                </w:rPr>
                <w:t>Unresolved Staff Comments</w:t>
              </w:r>
            </w:hyperlink>
          </w:p>
        </w:tc>
        <w:tc>
          <w:tcPr>
            <w:tcW w:w="8180" w:type="dxa"/>
            <w:vAlign w:val="bottom"/>
            <w:gridSpan w:val="11"/>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2.</w:t>
            </w:r>
          </w:p>
        </w:tc>
        <w:tc>
          <w:tcPr>
            <w:tcW w:w="260" w:type="dxa"/>
            <w:vAlign w:val="bottom"/>
          </w:tcPr>
          <w:p>
            <w:pPr>
              <w:spacing w:after="0"/>
              <w:rPr>
                <w:sz w:val="11"/>
                <w:szCs w:val="11"/>
                <w:color w:val="auto"/>
              </w:rPr>
            </w:pPr>
          </w:p>
        </w:tc>
        <w:tc>
          <w:tcPr>
            <w:tcW w:w="500" w:type="dxa"/>
            <w:vAlign w:val="bottom"/>
            <w:tcBorders>
              <w:bottom w:val="single" w:sz="8" w:color="0000EE"/>
            </w:tcBorders>
            <w:gridSpan w:val="2"/>
          </w:tcPr>
          <w:p>
            <w:pPr>
              <w:spacing w:after="0" w:line="133" w:lineRule="exact"/>
              <w:rPr>
                <w:rFonts w:ascii="Arial" w:cs="Arial" w:eastAsia="Arial" w:hAnsi="Arial"/>
                <w:sz w:val="12"/>
                <w:szCs w:val="12"/>
                <w:color w:val="0000EE"/>
                <w:w w:val="87"/>
              </w:rPr>
            </w:pPr>
            <w:hyperlink w:anchor="page25">
              <w:r>
                <w:rPr>
                  <w:rFonts w:ascii="Arial" w:cs="Arial" w:eastAsia="Arial" w:hAnsi="Arial"/>
                  <w:sz w:val="12"/>
                  <w:szCs w:val="12"/>
                  <w:color w:val="0000EE"/>
                  <w:w w:val="87"/>
                </w:rPr>
                <w:t>Properties</w:t>
              </w:r>
            </w:hyperlink>
          </w:p>
        </w:tc>
        <w:tc>
          <w:tcPr>
            <w:tcW w:w="9060" w:type="dxa"/>
            <w:vAlign w:val="bottom"/>
            <w:gridSpan w:val="19"/>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3.</w:t>
            </w:r>
          </w:p>
        </w:tc>
        <w:tc>
          <w:tcPr>
            <w:tcW w:w="260" w:type="dxa"/>
            <w:vAlign w:val="bottom"/>
          </w:tcPr>
          <w:p>
            <w:pPr>
              <w:spacing w:after="0"/>
              <w:rPr>
                <w:sz w:val="11"/>
                <w:szCs w:val="11"/>
                <w:color w:val="auto"/>
              </w:rPr>
            </w:pPr>
          </w:p>
        </w:tc>
        <w:tc>
          <w:tcPr>
            <w:tcW w:w="900" w:type="dxa"/>
            <w:vAlign w:val="bottom"/>
            <w:tcBorders>
              <w:bottom w:val="single" w:sz="8" w:color="0000EE"/>
            </w:tcBorders>
            <w:gridSpan w:val="5"/>
          </w:tcPr>
          <w:p>
            <w:pPr>
              <w:spacing w:after="0" w:line="133" w:lineRule="exact"/>
              <w:rPr>
                <w:rFonts w:ascii="Arial" w:cs="Arial" w:eastAsia="Arial" w:hAnsi="Arial"/>
                <w:sz w:val="12"/>
                <w:szCs w:val="12"/>
                <w:color w:val="0000EE"/>
                <w:w w:val="88"/>
              </w:rPr>
            </w:pPr>
            <w:hyperlink w:anchor="page27">
              <w:r>
                <w:rPr>
                  <w:rFonts w:ascii="Arial" w:cs="Arial" w:eastAsia="Arial" w:hAnsi="Arial"/>
                  <w:sz w:val="12"/>
                  <w:szCs w:val="12"/>
                  <w:color w:val="0000EE"/>
                  <w:w w:val="88"/>
                </w:rPr>
                <w:t>Legal Proceedings</w:t>
              </w:r>
            </w:hyperlink>
          </w:p>
        </w:tc>
        <w:tc>
          <w:tcPr>
            <w:tcW w:w="8660" w:type="dxa"/>
            <w:vAlign w:val="bottom"/>
            <w:gridSpan w:val="16"/>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4.</w:t>
            </w:r>
          </w:p>
        </w:tc>
        <w:tc>
          <w:tcPr>
            <w:tcW w:w="260" w:type="dxa"/>
            <w:vAlign w:val="bottom"/>
          </w:tcPr>
          <w:p>
            <w:pPr>
              <w:spacing w:after="0"/>
              <w:rPr>
                <w:sz w:val="11"/>
                <w:szCs w:val="11"/>
                <w:color w:val="auto"/>
              </w:rPr>
            </w:pPr>
          </w:p>
        </w:tc>
        <w:tc>
          <w:tcPr>
            <w:tcW w:w="9560" w:type="dxa"/>
            <w:vAlign w:val="bottom"/>
            <w:gridSpan w:val="21"/>
          </w:tcPr>
          <w:p>
            <w:pPr>
              <w:spacing w:after="0" w:line="133" w:lineRule="exact"/>
              <w:rPr>
                <w:rFonts w:ascii="Arial" w:cs="Arial" w:eastAsia="Arial" w:hAnsi="Arial"/>
                <w:sz w:val="12"/>
                <w:szCs w:val="12"/>
                <w:color w:val="0000EE"/>
              </w:rPr>
            </w:pPr>
            <w:hyperlink w:anchor="page31">
              <w:r>
                <w:rPr>
                  <w:rFonts w:ascii="Arial" w:cs="Arial" w:eastAsia="Arial" w:hAnsi="Arial"/>
                  <w:sz w:val="12"/>
                  <w:szCs w:val="12"/>
                  <w:color w:val="0000EE"/>
                </w:rPr>
                <w:t>Mine Safety Disclosures</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26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5.</w:t>
            </w:r>
          </w:p>
        </w:tc>
        <w:tc>
          <w:tcPr>
            <w:tcW w:w="260" w:type="dxa"/>
            <w:vAlign w:val="bottom"/>
          </w:tcPr>
          <w:p>
            <w:pPr>
              <w:spacing w:after="0"/>
              <w:rPr>
                <w:sz w:val="10"/>
                <w:szCs w:val="10"/>
                <w:color w:val="auto"/>
              </w:rPr>
            </w:pPr>
          </w:p>
        </w:tc>
        <w:tc>
          <w:tcPr>
            <w:tcW w:w="5400" w:type="dxa"/>
            <w:vAlign w:val="bottom"/>
            <w:tcBorders>
              <w:bottom w:val="single" w:sz="8" w:color="0000EE"/>
            </w:tcBorders>
            <w:gridSpan w:val="20"/>
          </w:tcPr>
          <w:p>
            <w:pPr>
              <w:spacing w:after="0" w:line="126" w:lineRule="exact"/>
              <w:rPr>
                <w:rFonts w:ascii="Arial" w:cs="Arial" w:eastAsia="Arial" w:hAnsi="Arial"/>
                <w:sz w:val="12"/>
                <w:szCs w:val="12"/>
                <w:color w:val="0000EE"/>
                <w:w w:val="90"/>
              </w:rPr>
            </w:pPr>
            <w:hyperlink w:anchor="page32">
              <w:r>
                <w:rPr>
                  <w:rFonts w:ascii="Arial" w:cs="Arial" w:eastAsia="Arial" w:hAnsi="Arial"/>
                  <w:sz w:val="12"/>
                  <w:szCs w:val="12"/>
                  <w:color w:val="0000EE"/>
                  <w:w w:val="90"/>
                </w:rPr>
                <w:t>Market for Registrant’s Common Equity, Related Stockholder Matters and Issuer Purchases of Equity Securities</w:t>
              </w:r>
            </w:hyperlink>
          </w:p>
        </w:tc>
        <w:tc>
          <w:tcPr>
            <w:tcW w:w="416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6.</w:t>
            </w:r>
          </w:p>
        </w:tc>
        <w:tc>
          <w:tcPr>
            <w:tcW w:w="260" w:type="dxa"/>
            <w:vAlign w:val="bottom"/>
          </w:tcPr>
          <w:p>
            <w:pPr>
              <w:spacing w:after="0"/>
              <w:rPr>
                <w:sz w:val="11"/>
                <w:szCs w:val="11"/>
                <w:color w:val="auto"/>
              </w:rPr>
            </w:pPr>
          </w:p>
        </w:tc>
        <w:tc>
          <w:tcPr>
            <w:tcW w:w="9560" w:type="dxa"/>
            <w:vAlign w:val="bottom"/>
            <w:gridSpan w:val="21"/>
          </w:tcPr>
          <w:p>
            <w:pPr>
              <w:spacing w:after="0" w:line="133" w:lineRule="exact"/>
              <w:rPr>
                <w:rFonts w:ascii="Arial" w:cs="Arial" w:eastAsia="Arial" w:hAnsi="Arial"/>
                <w:sz w:val="12"/>
                <w:szCs w:val="12"/>
                <w:color w:val="0000EE"/>
              </w:rPr>
            </w:pPr>
            <w:hyperlink w:anchor="page34">
              <w:r>
                <w:rPr>
                  <w:rFonts w:ascii="Arial" w:cs="Arial" w:eastAsia="Arial" w:hAnsi="Arial"/>
                  <w:sz w:val="12"/>
                  <w:szCs w:val="12"/>
                  <w:color w:val="0000EE"/>
                </w:rPr>
                <w:t>Selected Financial Data</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w:t>
            </w:r>
          </w:p>
        </w:tc>
        <w:tc>
          <w:tcPr>
            <w:tcW w:w="260" w:type="dxa"/>
            <w:vAlign w:val="bottom"/>
          </w:tcPr>
          <w:p>
            <w:pPr>
              <w:spacing w:after="0"/>
              <w:rPr>
                <w:sz w:val="11"/>
                <w:szCs w:val="11"/>
                <w:color w:val="auto"/>
              </w:rPr>
            </w:pPr>
          </w:p>
        </w:tc>
        <w:tc>
          <w:tcPr>
            <w:tcW w:w="4320" w:type="dxa"/>
            <w:vAlign w:val="bottom"/>
            <w:tcBorders>
              <w:bottom w:val="single" w:sz="8" w:color="0000EE"/>
            </w:tcBorders>
            <w:gridSpan w:val="17"/>
          </w:tcPr>
          <w:p>
            <w:pPr>
              <w:spacing w:after="0" w:line="133" w:lineRule="exact"/>
              <w:rPr>
                <w:rFonts w:ascii="Arial" w:cs="Arial" w:eastAsia="Arial" w:hAnsi="Arial"/>
                <w:sz w:val="12"/>
                <w:szCs w:val="12"/>
                <w:color w:val="0000EE"/>
                <w:w w:val="91"/>
              </w:rPr>
            </w:pPr>
            <w:hyperlink w:anchor="page35">
              <w:r>
                <w:rPr>
                  <w:rFonts w:ascii="Arial" w:cs="Arial" w:eastAsia="Arial" w:hAnsi="Arial"/>
                  <w:sz w:val="12"/>
                  <w:szCs w:val="12"/>
                  <w:color w:val="0000EE"/>
                  <w:w w:val="91"/>
                </w:rPr>
                <w:t>Management’s Discussion and Analysis of Financial Condition and Results of Operations</w:t>
              </w:r>
            </w:hyperlink>
          </w:p>
        </w:tc>
        <w:tc>
          <w:tcPr>
            <w:tcW w:w="5240" w:type="dxa"/>
            <w:vAlign w:val="bottom"/>
            <w:gridSpan w:val="4"/>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7A.</w:t>
            </w:r>
          </w:p>
        </w:tc>
        <w:tc>
          <w:tcPr>
            <w:tcW w:w="260" w:type="dxa"/>
            <w:vAlign w:val="bottom"/>
          </w:tcPr>
          <w:p>
            <w:pPr>
              <w:spacing w:after="0"/>
              <w:rPr>
                <w:sz w:val="11"/>
                <w:szCs w:val="11"/>
                <w:color w:val="auto"/>
              </w:rPr>
            </w:pPr>
          </w:p>
        </w:tc>
        <w:tc>
          <w:tcPr>
            <w:tcW w:w="2920" w:type="dxa"/>
            <w:vAlign w:val="bottom"/>
            <w:tcBorders>
              <w:bottom w:val="single" w:sz="8" w:color="0000EE"/>
            </w:tcBorders>
            <w:gridSpan w:val="15"/>
          </w:tcPr>
          <w:p>
            <w:pPr>
              <w:spacing w:after="0" w:line="133" w:lineRule="exact"/>
              <w:rPr>
                <w:rFonts w:ascii="Arial" w:cs="Arial" w:eastAsia="Arial" w:hAnsi="Arial"/>
                <w:sz w:val="12"/>
                <w:szCs w:val="12"/>
                <w:color w:val="0000EE"/>
                <w:w w:val="92"/>
              </w:rPr>
            </w:pPr>
            <w:hyperlink w:anchor="page64">
              <w:r>
                <w:rPr>
                  <w:rFonts w:ascii="Arial" w:cs="Arial" w:eastAsia="Arial" w:hAnsi="Arial"/>
                  <w:sz w:val="12"/>
                  <w:szCs w:val="12"/>
                  <w:color w:val="0000EE"/>
                  <w:w w:val="92"/>
                </w:rPr>
                <w:t>Quantitative and Qualitative Disclosures About Market Risk</w:t>
              </w:r>
            </w:hyperlink>
          </w:p>
        </w:tc>
        <w:tc>
          <w:tcPr>
            <w:tcW w:w="6640" w:type="dxa"/>
            <w:vAlign w:val="bottom"/>
            <w:gridSpan w:val="6"/>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8.</w:t>
            </w:r>
          </w:p>
        </w:tc>
        <w:tc>
          <w:tcPr>
            <w:tcW w:w="260" w:type="dxa"/>
            <w:vAlign w:val="bottom"/>
          </w:tcPr>
          <w:p>
            <w:pPr>
              <w:spacing w:after="0"/>
              <w:rPr>
                <w:sz w:val="11"/>
                <w:szCs w:val="11"/>
                <w:color w:val="auto"/>
              </w:rPr>
            </w:pPr>
          </w:p>
        </w:tc>
        <w:tc>
          <w:tcPr>
            <w:tcW w:w="9560" w:type="dxa"/>
            <w:vAlign w:val="bottom"/>
            <w:gridSpan w:val="21"/>
          </w:tcPr>
          <w:p>
            <w:pPr>
              <w:spacing w:after="0" w:line="133" w:lineRule="exact"/>
              <w:rPr>
                <w:rFonts w:ascii="Arial" w:cs="Arial" w:eastAsia="Arial" w:hAnsi="Arial"/>
                <w:sz w:val="12"/>
                <w:szCs w:val="12"/>
                <w:color w:val="0000EE"/>
              </w:rPr>
            </w:pPr>
            <w:hyperlink w:anchor="page66">
              <w:r>
                <w:rPr>
                  <w:rFonts w:ascii="Arial" w:cs="Arial" w:eastAsia="Arial" w:hAnsi="Arial"/>
                  <w:sz w:val="12"/>
                  <w:szCs w:val="12"/>
                  <w:color w:val="0000EE"/>
                </w:rPr>
                <w:t>Financial Statements and Supplementary Data</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w:t>
            </w:r>
          </w:p>
        </w:tc>
        <w:tc>
          <w:tcPr>
            <w:tcW w:w="260" w:type="dxa"/>
            <w:vAlign w:val="bottom"/>
          </w:tcPr>
          <w:p>
            <w:pPr>
              <w:spacing w:after="0"/>
              <w:rPr>
                <w:sz w:val="11"/>
                <w:szCs w:val="11"/>
                <w:color w:val="auto"/>
              </w:rPr>
            </w:pPr>
          </w:p>
        </w:tc>
        <w:tc>
          <w:tcPr>
            <w:tcW w:w="9560" w:type="dxa"/>
            <w:vAlign w:val="bottom"/>
            <w:gridSpan w:val="21"/>
          </w:tcPr>
          <w:p>
            <w:pPr>
              <w:spacing w:after="0" w:line="133" w:lineRule="exact"/>
              <w:rPr>
                <w:rFonts w:ascii="Arial" w:cs="Arial" w:eastAsia="Arial" w:hAnsi="Arial"/>
                <w:sz w:val="12"/>
                <w:szCs w:val="12"/>
                <w:color w:val="0000EE"/>
              </w:rPr>
            </w:pPr>
            <w:hyperlink w:anchor="page131">
              <w:r>
                <w:rPr>
                  <w:rFonts w:ascii="Arial" w:cs="Arial" w:eastAsia="Arial" w:hAnsi="Arial"/>
                  <w:sz w:val="12"/>
                  <w:szCs w:val="12"/>
                  <w:color w:val="0000EE"/>
                </w:rPr>
                <w:t>Changes in and Disagreements With Accountants on Accounting and Financial Disclosure</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9A.</w:t>
            </w:r>
          </w:p>
        </w:tc>
        <w:tc>
          <w:tcPr>
            <w:tcW w:w="260" w:type="dxa"/>
            <w:vAlign w:val="bottom"/>
          </w:tcPr>
          <w:p>
            <w:pPr>
              <w:spacing w:after="0"/>
              <w:rPr>
                <w:sz w:val="11"/>
                <w:szCs w:val="11"/>
                <w:color w:val="auto"/>
              </w:rPr>
            </w:pPr>
          </w:p>
        </w:tc>
        <w:tc>
          <w:tcPr>
            <w:tcW w:w="4340" w:type="dxa"/>
            <w:vAlign w:val="bottom"/>
            <w:tcBorders>
              <w:top w:val="single" w:sz="8" w:color="0000EE"/>
            </w:tcBorders>
            <w:gridSpan w:val="18"/>
          </w:tcPr>
          <w:p>
            <w:pPr>
              <w:spacing w:after="0" w:line="133" w:lineRule="exact"/>
              <w:rPr>
                <w:rFonts w:ascii="Arial" w:cs="Arial" w:eastAsia="Arial" w:hAnsi="Arial"/>
                <w:sz w:val="12"/>
                <w:szCs w:val="12"/>
                <w:color w:val="0000EE"/>
              </w:rPr>
            </w:pPr>
            <w:hyperlink w:anchor="page131">
              <w:r>
                <w:rPr>
                  <w:rFonts w:ascii="Arial" w:cs="Arial" w:eastAsia="Arial" w:hAnsi="Arial"/>
                  <w:sz w:val="12"/>
                  <w:szCs w:val="12"/>
                  <w:color w:val="0000EE"/>
                </w:rPr>
                <w:t>Controls and Procedures</w:t>
              </w:r>
            </w:hyperlink>
          </w:p>
        </w:tc>
        <w:tc>
          <w:tcPr>
            <w:tcW w:w="5220" w:type="dxa"/>
            <w:vAlign w:val="bottom"/>
            <w:gridSpan w:val="3"/>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9B.</w:t>
            </w:r>
          </w:p>
        </w:tc>
        <w:tc>
          <w:tcPr>
            <w:tcW w:w="260" w:type="dxa"/>
            <w:vAlign w:val="bottom"/>
          </w:tcPr>
          <w:p>
            <w:pPr>
              <w:spacing w:after="0"/>
              <w:rPr>
                <w:sz w:val="11"/>
                <w:szCs w:val="11"/>
                <w:color w:val="auto"/>
              </w:rPr>
            </w:pPr>
          </w:p>
        </w:tc>
        <w:tc>
          <w:tcPr>
            <w:tcW w:w="1180" w:type="dxa"/>
            <w:vAlign w:val="bottom"/>
            <w:tcBorders>
              <w:top w:val="single" w:sz="8" w:color="0000EE"/>
            </w:tcBorders>
            <w:gridSpan w:val="8"/>
          </w:tcPr>
          <w:p>
            <w:pPr>
              <w:spacing w:after="0" w:line="133" w:lineRule="exact"/>
              <w:rPr>
                <w:rFonts w:ascii="Arial" w:cs="Arial" w:eastAsia="Arial" w:hAnsi="Arial"/>
                <w:sz w:val="12"/>
                <w:szCs w:val="12"/>
                <w:color w:val="0000EE"/>
              </w:rPr>
            </w:pPr>
            <w:hyperlink w:anchor="page132">
              <w:r>
                <w:rPr>
                  <w:rFonts w:ascii="Arial" w:cs="Arial" w:eastAsia="Arial" w:hAnsi="Arial"/>
                  <w:sz w:val="12"/>
                  <w:szCs w:val="12"/>
                  <w:color w:val="0000EE"/>
                </w:rPr>
                <w:t>Other Information</w:t>
              </w:r>
            </w:hyperlink>
          </w:p>
        </w:tc>
        <w:tc>
          <w:tcPr>
            <w:tcW w:w="8380" w:type="dxa"/>
            <w:vAlign w:val="bottom"/>
            <w:gridSpan w:val="13"/>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III</w:t>
            </w:r>
          </w:p>
        </w:tc>
        <w:tc>
          <w:tcPr>
            <w:tcW w:w="26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10.</w:t>
            </w:r>
          </w:p>
        </w:tc>
        <w:tc>
          <w:tcPr>
            <w:tcW w:w="260" w:type="dxa"/>
            <w:vAlign w:val="bottom"/>
          </w:tcPr>
          <w:p>
            <w:pPr>
              <w:spacing w:after="0"/>
              <w:rPr>
                <w:sz w:val="10"/>
                <w:szCs w:val="10"/>
                <w:color w:val="auto"/>
              </w:rPr>
            </w:pPr>
          </w:p>
        </w:tc>
        <w:tc>
          <w:tcPr>
            <w:tcW w:w="2740" w:type="dxa"/>
            <w:vAlign w:val="bottom"/>
            <w:tcBorders>
              <w:bottom w:val="single" w:sz="8" w:color="0000EE"/>
            </w:tcBorders>
            <w:gridSpan w:val="14"/>
          </w:tcPr>
          <w:p>
            <w:pPr>
              <w:spacing w:after="0" w:line="126" w:lineRule="exact"/>
              <w:rPr>
                <w:rFonts w:ascii="Arial" w:cs="Arial" w:eastAsia="Arial" w:hAnsi="Arial"/>
                <w:sz w:val="12"/>
                <w:szCs w:val="12"/>
                <w:color w:val="0000EE"/>
                <w:w w:val="90"/>
              </w:rPr>
            </w:pPr>
            <w:hyperlink w:anchor="page133">
              <w:r>
                <w:rPr>
                  <w:rFonts w:ascii="Arial" w:cs="Arial" w:eastAsia="Arial" w:hAnsi="Arial"/>
                  <w:sz w:val="12"/>
                  <w:szCs w:val="12"/>
                  <w:color w:val="0000EE"/>
                  <w:w w:val="90"/>
                </w:rPr>
                <w:t>Directors, Executive Officers and Corporate Governance</w:t>
              </w:r>
            </w:hyperlink>
          </w:p>
        </w:tc>
        <w:tc>
          <w:tcPr>
            <w:tcW w:w="6820" w:type="dxa"/>
            <w:vAlign w:val="bottom"/>
            <w:gridSpan w:val="7"/>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11.</w:t>
            </w:r>
          </w:p>
        </w:tc>
        <w:tc>
          <w:tcPr>
            <w:tcW w:w="260" w:type="dxa"/>
            <w:vAlign w:val="bottom"/>
          </w:tcPr>
          <w:p>
            <w:pPr>
              <w:spacing w:after="0"/>
              <w:rPr>
                <w:sz w:val="11"/>
                <w:szCs w:val="11"/>
                <w:color w:val="auto"/>
              </w:rPr>
            </w:pPr>
          </w:p>
        </w:tc>
        <w:tc>
          <w:tcPr>
            <w:tcW w:w="1220" w:type="dxa"/>
            <w:vAlign w:val="bottom"/>
            <w:tcBorders>
              <w:bottom w:val="single" w:sz="8" w:color="0000EE"/>
            </w:tcBorders>
            <w:gridSpan w:val="9"/>
          </w:tcPr>
          <w:p>
            <w:pPr>
              <w:spacing w:after="0" w:line="133" w:lineRule="exact"/>
              <w:rPr>
                <w:rFonts w:ascii="Arial" w:cs="Arial" w:eastAsia="Arial" w:hAnsi="Arial"/>
                <w:sz w:val="12"/>
                <w:szCs w:val="12"/>
                <w:color w:val="0000EE"/>
                <w:w w:val="90"/>
              </w:rPr>
            </w:pPr>
            <w:hyperlink w:anchor="page133">
              <w:r>
                <w:rPr>
                  <w:rFonts w:ascii="Arial" w:cs="Arial" w:eastAsia="Arial" w:hAnsi="Arial"/>
                  <w:sz w:val="12"/>
                  <w:szCs w:val="12"/>
                  <w:color w:val="0000EE"/>
                  <w:w w:val="90"/>
                </w:rPr>
                <w:t>Executive Compensation</w:t>
              </w:r>
            </w:hyperlink>
          </w:p>
        </w:tc>
        <w:tc>
          <w:tcPr>
            <w:tcW w:w="8340" w:type="dxa"/>
            <w:vAlign w:val="bottom"/>
            <w:gridSpan w:val="12"/>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12.</w:t>
            </w:r>
          </w:p>
        </w:tc>
        <w:tc>
          <w:tcPr>
            <w:tcW w:w="260" w:type="dxa"/>
            <w:vAlign w:val="bottom"/>
          </w:tcPr>
          <w:p>
            <w:pPr>
              <w:spacing w:after="0"/>
              <w:rPr>
                <w:sz w:val="11"/>
                <w:szCs w:val="11"/>
                <w:color w:val="auto"/>
              </w:rPr>
            </w:pPr>
          </w:p>
        </w:tc>
        <w:tc>
          <w:tcPr>
            <w:tcW w:w="9560" w:type="dxa"/>
            <w:vAlign w:val="bottom"/>
            <w:gridSpan w:val="21"/>
          </w:tcPr>
          <w:p>
            <w:pPr>
              <w:spacing w:after="0" w:line="133" w:lineRule="exact"/>
              <w:rPr>
                <w:rFonts w:ascii="Arial" w:cs="Arial" w:eastAsia="Arial" w:hAnsi="Arial"/>
                <w:sz w:val="12"/>
                <w:szCs w:val="12"/>
                <w:color w:val="0000EE"/>
              </w:rPr>
            </w:pPr>
            <w:hyperlink w:anchor="page133">
              <w:r>
                <w:rPr>
                  <w:rFonts w:ascii="Arial" w:cs="Arial" w:eastAsia="Arial" w:hAnsi="Arial"/>
                  <w:sz w:val="12"/>
                  <w:szCs w:val="12"/>
                  <w:color w:val="0000EE"/>
                </w:rPr>
                <w:t>Security Ownership of Certain Beneficial Owners and Management and Related Stockholder Matters</w:t>
              </w:r>
            </w:hyperlink>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13.</w:t>
            </w:r>
          </w:p>
        </w:tc>
        <w:tc>
          <w:tcPr>
            <w:tcW w:w="260" w:type="dxa"/>
            <w:vAlign w:val="bottom"/>
          </w:tcPr>
          <w:p>
            <w:pPr>
              <w:spacing w:after="0"/>
              <w:rPr>
                <w:sz w:val="11"/>
                <w:szCs w:val="11"/>
                <w:color w:val="auto"/>
              </w:rPr>
            </w:pPr>
          </w:p>
        </w:tc>
        <w:tc>
          <w:tcPr>
            <w:tcW w:w="4860" w:type="dxa"/>
            <w:vAlign w:val="bottom"/>
            <w:tcBorders>
              <w:top w:val="single" w:sz="8" w:color="0000EE"/>
            </w:tcBorders>
            <w:gridSpan w:val="19"/>
          </w:tcPr>
          <w:p>
            <w:pPr>
              <w:spacing w:after="0" w:line="133" w:lineRule="exact"/>
              <w:rPr>
                <w:rFonts w:ascii="Arial" w:cs="Arial" w:eastAsia="Arial" w:hAnsi="Arial"/>
                <w:sz w:val="12"/>
                <w:szCs w:val="12"/>
                <w:color w:val="0000EE"/>
              </w:rPr>
            </w:pPr>
            <w:hyperlink w:anchor="page134">
              <w:r>
                <w:rPr>
                  <w:rFonts w:ascii="Arial" w:cs="Arial" w:eastAsia="Arial" w:hAnsi="Arial"/>
                  <w:sz w:val="12"/>
                  <w:szCs w:val="12"/>
                  <w:color w:val="0000EE"/>
                </w:rPr>
                <w:t>Certain Relationships and Related Transactions, and Director Independence</w:t>
              </w:r>
            </w:hyperlink>
          </w:p>
        </w:tc>
        <w:tc>
          <w:tcPr>
            <w:tcW w:w="4700" w:type="dxa"/>
            <w:vAlign w:val="bottom"/>
            <w:gridSpan w:val="2"/>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14.</w:t>
            </w:r>
          </w:p>
        </w:tc>
        <w:tc>
          <w:tcPr>
            <w:tcW w:w="260" w:type="dxa"/>
            <w:vAlign w:val="bottom"/>
          </w:tcPr>
          <w:p>
            <w:pPr>
              <w:spacing w:after="0"/>
              <w:rPr>
                <w:sz w:val="11"/>
                <w:szCs w:val="11"/>
                <w:color w:val="auto"/>
              </w:rPr>
            </w:pPr>
          </w:p>
        </w:tc>
        <w:tc>
          <w:tcPr>
            <w:tcW w:w="3640" w:type="dxa"/>
            <w:vAlign w:val="bottom"/>
            <w:tcBorders>
              <w:top w:val="single" w:sz="8" w:color="0000EE"/>
            </w:tcBorders>
            <w:gridSpan w:val="16"/>
          </w:tcPr>
          <w:p>
            <w:pPr>
              <w:spacing w:after="0" w:line="133" w:lineRule="exact"/>
              <w:rPr>
                <w:rFonts w:ascii="Arial" w:cs="Arial" w:eastAsia="Arial" w:hAnsi="Arial"/>
                <w:sz w:val="12"/>
                <w:szCs w:val="12"/>
                <w:color w:val="0000EE"/>
              </w:rPr>
            </w:pPr>
            <w:hyperlink w:anchor="page134">
              <w:r>
                <w:rPr>
                  <w:rFonts w:ascii="Arial" w:cs="Arial" w:eastAsia="Arial" w:hAnsi="Arial"/>
                  <w:sz w:val="12"/>
                  <w:szCs w:val="12"/>
                  <w:color w:val="0000EE"/>
                </w:rPr>
                <w:t>Principal Accounting Fees and Services</w:t>
              </w:r>
            </w:hyperlink>
          </w:p>
        </w:tc>
        <w:tc>
          <w:tcPr>
            <w:tcW w:w="5920" w:type="dxa"/>
            <w:vAlign w:val="bottom"/>
            <w:gridSpan w:val="5"/>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2"/>
                <w:szCs w:val="12"/>
                <w:b w:val="1"/>
                <w:bCs w:val="1"/>
                <w:color w:val="auto"/>
              </w:rPr>
              <w:t>PART IV</w:t>
            </w:r>
          </w:p>
        </w:tc>
        <w:tc>
          <w:tcPr>
            <w:tcW w:w="26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40" w:type="dxa"/>
            <w:vAlign w:val="bottom"/>
          </w:tcPr>
          <w:p>
            <w:pPr>
              <w:ind w:left="80"/>
              <w:spacing w:after="0" w:line="126" w:lineRule="exact"/>
              <w:rPr>
                <w:sz w:val="20"/>
                <w:szCs w:val="20"/>
                <w:color w:val="auto"/>
              </w:rPr>
            </w:pPr>
            <w:r>
              <w:rPr>
                <w:rFonts w:ascii="Arial" w:cs="Arial" w:eastAsia="Arial" w:hAnsi="Arial"/>
                <w:sz w:val="12"/>
                <w:szCs w:val="12"/>
                <w:color w:val="auto"/>
              </w:rPr>
              <w:t>Item 15.</w:t>
            </w:r>
          </w:p>
        </w:tc>
        <w:tc>
          <w:tcPr>
            <w:tcW w:w="260" w:type="dxa"/>
            <w:vAlign w:val="bottom"/>
          </w:tcPr>
          <w:p>
            <w:pPr>
              <w:spacing w:after="0"/>
              <w:rPr>
                <w:sz w:val="10"/>
                <w:szCs w:val="10"/>
                <w:color w:val="auto"/>
              </w:rPr>
            </w:pPr>
          </w:p>
        </w:tc>
        <w:tc>
          <w:tcPr>
            <w:tcW w:w="9560" w:type="dxa"/>
            <w:vAlign w:val="bottom"/>
            <w:gridSpan w:val="21"/>
          </w:tcPr>
          <w:p>
            <w:pPr>
              <w:spacing w:after="0" w:line="126" w:lineRule="exact"/>
              <w:rPr>
                <w:rFonts w:ascii="Arial" w:cs="Arial" w:eastAsia="Arial" w:hAnsi="Arial"/>
                <w:sz w:val="12"/>
                <w:szCs w:val="12"/>
                <w:color w:val="0000EE"/>
              </w:rPr>
            </w:pPr>
            <w:hyperlink w:anchor="page135">
              <w:r>
                <w:rPr>
                  <w:rFonts w:ascii="Arial" w:cs="Arial" w:eastAsia="Arial" w:hAnsi="Arial"/>
                  <w:sz w:val="12"/>
                  <w:szCs w:val="12"/>
                  <w:color w:val="0000EE"/>
                </w:rPr>
                <w:t>Exhibits, Financial Statement Schedules</w:t>
              </w:r>
            </w:hyperlink>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Arial" w:cs="Arial" w:eastAsia="Arial" w:hAnsi="Arial"/>
                <w:sz w:val="12"/>
                <w:szCs w:val="12"/>
                <w:color w:val="auto"/>
              </w:rPr>
              <w:t>Item 16.</w:t>
            </w:r>
          </w:p>
        </w:tc>
        <w:tc>
          <w:tcPr>
            <w:tcW w:w="260" w:type="dxa"/>
            <w:vAlign w:val="bottom"/>
          </w:tcPr>
          <w:p>
            <w:pPr>
              <w:spacing w:after="0"/>
              <w:rPr>
                <w:sz w:val="11"/>
                <w:szCs w:val="11"/>
                <w:color w:val="auto"/>
              </w:rPr>
            </w:pPr>
          </w:p>
        </w:tc>
        <w:tc>
          <w:tcPr>
            <w:tcW w:w="1940" w:type="dxa"/>
            <w:vAlign w:val="bottom"/>
            <w:tcBorders>
              <w:top w:val="single" w:sz="8" w:color="0000EE"/>
            </w:tcBorders>
            <w:gridSpan w:val="12"/>
          </w:tcPr>
          <w:p>
            <w:pPr>
              <w:spacing w:after="0" w:line="133" w:lineRule="exact"/>
              <w:rPr>
                <w:rFonts w:ascii="Arial" w:cs="Arial" w:eastAsia="Arial" w:hAnsi="Arial"/>
                <w:sz w:val="12"/>
                <w:szCs w:val="12"/>
                <w:color w:val="0000EE"/>
              </w:rPr>
            </w:pPr>
            <w:hyperlink w:anchor="page142">
              <w:r>
                <w:rPr>
                  <w:rFonts w:ascii="Arial" w:cs="Arial" w:eastAsia="Arial" w:hAnsi="Arial"/>
                  <w:sz w:val="12"/>
                  <w:szCs w:val="12"/>
                  <w:color w:val="0000EE"/>
                </w:rPr>
                <w:t>Form 10-K Summary</w:t>
              </w:r>
            </w:hyperlink>
          </w:p>
        </w:tc>
        <w:tc>
          <w:tcPr>
            <w:tcW w:w="7620" w:type="dxa"/>
            <w:vAlign w:val="bottom"/>
            <w:gridSpan w:val="9"/>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This Annual Report on Form 10-K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announced with Windstream Holdings, Inc. (“Windstream Holdings”) and its subsidiaries (Windstream Holdings, together with its subsidiaries, “Windstream”) and our ability to obtain court approval for such settlement and satisfy the conditions precedent to its effectiveness, and Windstream’s ability to implement a successful plan of reorganization and emerge from bankruptcy; if the settlement is not effected, the bankruptcy and Windstream’s performance under its long-term exclusive triple-net lease with us (the “Master Lease”); if the settlement is not effected, our expectations with respect to the treatment of the Master Lease in Windstream’s petitions for relief under Chapter 11 of the Bankruptcy Code, including with respect to Windstream’s claims that the Master Lease should be recharacterized as a financing transaction, that the Master Lease is a lease of personal property and that rent payments and tenant capital improvements made by Windstream under the Master Lease constituted constructive fraudulent transfers and that we are in breach of certain of our obligations under the Master Lease; our expectations regarding the effect of substantial doubt about our ability to continue as a going concern; our expectations about our ability to maintain our status as a real estate investment trust (“REIT”); our expectations regarding the future growth and demand of the telecommunication industry, future financing plans, business strategies, growth prospects, operating and financial performance, and our future liquidity needs and access to capital; expectations regarding the impact and integration of Information Transport Solutions, Inc. (“ITS”) and M</w:t>
      </w:r>
      <w:r>
        <w:rPr>
          <w:rFonts w:ascii="Arial" w:cs="Arial" w:eastAsia="Arial" w:hAnsi="Arial"/>
          <w:sz w:val="9"/>
          <w:szCs w:val="9"/>
          <w:color w:val="auto"/>
        </w:rPr>
        <w:t>2</w:t>
      </w:r>
      <w:r>
        <w:rPr>
          <w:rFonts w:ascii="Arial" w:cs="Arial" w:eastAsia="Arial" w:hAnsi="Arial"/>
          <w:sz w:val="11"/>
          <w:szCs w:val="11"/>
          <w:color w:val="auto"/>
        </w:rPr>
        <w:t xml:space="preserve"> Connections, including expectations regarding operational synergies with Uniti Towers and Uniti Fiber; expectations regarding the probability of our obligation to pay contingent consideration upon Tower Cloud, Inc.'s ("Tower Cloud")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impact of the operating company-property company partnership with Macquarie Infrastructure Partners (“MIP”) and related acquisition of Bluebird Network, LLC (“Bluebird”); our expectations regarding the wind down of the Consumer CLEC business; and expectations regarding the payment of dividends.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196" w:lineRule="exact"/>
        <w:rPr>
          <w:sz w:val="20"/>
          <w:szCs w:val="20"/>
          <w:color w:val="auto"/>
        </w:rPr>
      </w:pPr>
    </w:p>
    <w:p>
      <w:pPr>
        <w:ind w:left="1160" w:right="20" w:hanging="583"/>
        <w:spacing w:after="0" w:line="276" w:lineRule="auto"/>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future prospects of our largest customer, Windstream Holdings, which, following a finding that it is in default of certain of its debt, on February 25, 2019, and along with all of its subsidiaries, filed voluntary petitions for relief under Chapter 11 of the Bankruptcy Code;</w:t>
      </w:r>
    </w:p>
    <w:p>
      <w:pPr>
        <w:spacing w:after="0" w:line="42" w:lineRule="exact"/>
        <w:rPr>
          <w:rFonts w:ascii="Arial" w:cs="Arial" w:eastAsia="Arial" w:hAnsi="Arial"/>
          <w:sz w:val="12"/>
          <w:szCs w:val="12"/>
          <w:color w:val="auto"/>
        </w:rPr>
      </w:pPr>
    </w:p>
    <w:p>
      <w:pPr>
        <w:ind w:left="1160" w:right="200" w:hanging="583"/>
        <w:spacing w:after="0" w:line="323" w:lineRule="auto"/>
        <w:tabs>
          <w:tab w:leader="none" w:pos="116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ability to continue as a going concern if our settlement is not implemented and/or Windstream is not able to successfully emerge and the settlement is not implemented, and Windstream Holdings were to succeed in its recharacterization and fraudulent transfer claims against us, reject the Master Lease or be unable or unwilling to perform its obligations under the Master Lease;</w:t>
      </w:r>
    </w:p>
    <w:p>
      <w:pPr>
        <w:spacing w:after="0" w:line="19" w:lineRule="exact"/>
        <w:rPr>
          <w:rFonts w:ascii="Arial" w:cs="Arial" w:eastAsia="Arial" w:hAnsi="Arial"/>
          <w:sz w:val="11"/>
          <w:szCs w:val="11"/>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and willingness of our customers to meet and/or perform their obligations under any contractual arrangements entered into with us, including master lease arrangements;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our customers to comply with laws, rules and regulations in the operation of the assets we lease to them;</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left="1160" w:right="140" w:hanging="583"/>
        <w:spacing w:after="0" w:line="276"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42"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renew, extend or retain our contracts or to obtain new contracts with significant customers (including customers of the businesses that we acquire);</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availability of and our ability to identify suitable acquisition opportunities and our ability to acquire and lease the respective properties on favorable terms or operate and integrate the acquired businesses;</w:t>
      </w:r>
    </w:p>
    <w:p>
      <w:pPr>
        <w:spacing w:after="0" w:line="89" w:lineRule="exact"/>
        <w:rPr>
          <w:rFonts w:ascii="Arial" w:cs="Arial" w:eastAsia="Arial" w:hAnsi="Arial"/>
          <w:sz w:val="11"/>
          <w:szCs w:val="11"/>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generate sufficient cash flows to service our outstanding indebtedness and fund our capital funding commitments;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access debt and equity capital markets;</w:t>
      </w:r>
    </w:p>
    <w:p>
      <w:pPr>
        <w:spacing w:after="0" w:line="78" w:lineRule="exact"/>
        <w:rPr>
          <w:rFonts w:ascii="Arial" w:cs="Arial" w:eastAsia="Arial" w:hAnsi="Arial"/>
          <w:sz w:val="12"/>
          <w:szCs w:val="12"/>
          <w:color w:val="auto"/>
        </w:rPr>
      </w:pPr>
    </w:p>
    <w:p>
      <w:pPr>
        <w:ind w:left="1160" w:right="220" w:hanging="583"/>
        <w:spacing w:after="0" w:line="276"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42"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on our business or the business of our customers as a result of credit rating downgrades, and fluctuating interest rates;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adverse impacts of litigation or disputes involving us or our customers;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retain our key management personnel;</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maintain our status as a REIT, including as a result of the effects of the recent events with respect to our largest customer, Windstream Holdings;</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U.S. tax law and other federal, state or local laws, whether or not specific to REITs, including the impact of the 2017 U.S. tax reform legislation;</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covenants in our debt agreements that may limit our operational flexibility;</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possibility that we may experience equipment failures, natural disasters, cyber attacks or terrorist attacks for which our insurance may not provide adequate coverage;</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risk that we fail to fully realize the potential benefits of or have difficulty in integrating the companies we acquire;</w:t>
      </w:r>
    </w:p>
    <w:p>
      <w:pPr>
        <w:spacing w:after="0" w:line="78" w:lineRule="exact"/>
        <w:rPr>
          <w:rFonts w:ascii="Arial" w:cs="Arial" w:eastAsia="Arial" w:hAnsi="Arial"/>
          <w:sz w:val="12"/>
          <w:szCs w:val="12"/>
          <w:color w:val="auto"/>
        </w:rPr>
      </w:pPr>
    </w:p>
    <w:p>
      <w:pPr>
        <w:ind w:left="1160" w:right="300" w:hanging="583"/>
        <w:spacing w:after="0" w:line="276"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42" w:lineRule="exact"/>
        <w:rPr>
          <w:rFonts w:ascii="Arial" w:cs="Arial" w:eastAsia="Arial" w:hAnsi="Arial"/>
          <w:sz w:val="12"/>
          <w:szCs w:val="12"/>
          <w:color w:val="auto"/>
        </w:rPr>
      </w:pPr>
    </w:p>
    <w:p>
      <w:pPr>
        <w:ind w:left="1160" w:hanging="583"/>
        <w:spacing w:after="0" w:line="276"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Forward-looking statements speak only as of the date of this Annual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The Company</w:t>
      </w:r>
    </w:p>
    <w:p>
      <w:pPr>
        <w:spacing w:after="0" w:line="226"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Uniti Group Inc. (the “Company”, “Uniti”, “we”, “us” or “our”) was incorporated in the state of Maryland on September 4, 2014. Uniti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50"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certain aspects of our towers business, Uniti Towers,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24"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2019, we are the sole general partner of the Operating Partnership and own approximately 98.2% of the partnership interests in the Operating Partnership.</w:t>
      </w:r>
    </w:p>
    <w:p>
      <w:pPr>
        <w:spacing w:after="0" w:line="105" w:lineRule="exact"/>
        <w:rPr>
          <w:sz w:val="20"/>
          <w:szCs w:val="20"/>
          <w:color w:val="auto"/>
        </w:rPr>
      </w:pPr>
    </w:p>
    <w:p>
      <w:pPr>
        <w:spacing w:after="0" w:line="259" w:lineRule="auto"/>
        <w:rPr>
          <w:rFonts w:ascii="Arial" w:cs="Arial" w:eastAsia="Arial" w:hAnsi="Arial"/>
          <w:sz w:val="12"/>
          <w:szCs w:val="12"/>
          <w:color w:val="0000EE"/>
        </w:rPr>
      </w:pPr>
      <w:r>
        <w:rPr>
          <w:rFonts w:ascii="Arial" w:cs="Arial" w:eastAsia="Arial" w:hAnsi="Arial"/>
          <w:sz w:val="12"/>
          <w:szCs w:val="12"/>
          <w:color w:val="auto"/>
        </w:rPr>
        <w:t xml:space="preserve">For the year ended December 31, 2019, we had revenues of $1,058 million, net income attributable to common shareholders of $8.4 million, Funds From Operations (“FFO”) of $300.9 million and Adjusted Funds From Operations (“AFFO”) of $412.5 million. Both FFO and AFFO are non-GAAP financial measures, which we use to analyze our results. Refer to Part II, Item 7 </w:t>
      </w:r>
      <w:r>
        <w:rPr>
          <w:rFonts w:ascii="Arial" w:cs="Arial" w:eastAsia="Arial" w:hAnsi="Arial"/>
          <w:sz w:val="12"/>
          <w:szCs w:val="12"/>
          <w:i w:val="1"/>
          <w:iCs w:val="1"/>
          <w:color w:val="auto"/>
        </w:rPr>
        <w:t>Management’s Discussion and Analysis of Financial Condition and Results of</w:t>
      </w:r>
      <w:r>
        <w:rPr>
          <w:rFonts w:ascii="Arial" w:cs="Arial" w:eastAsia="Arial" w:hAnsi="Arial"/>
          <w:sz w:val="12"/>
          <w:szCs w:val="12"/>
          <w:color w:val="auto"/>
        </w:rPr>
        <w:t xml:space="preserve"> </w:t>
      </w:r>
      <w:hyperlink w:anchor="page115">
        <w:r>
          <w:rPr>
            <w:rFonts w:ascii="Arial" w:cs="Arial" w:eastAsia="Arial" w:hAnsi="Arial"/>
            <w:sz w:val="12"/>
            <w:szCs w:val="12"/>
            <w:i w:val="1"/>
            <w:iCs w:val="1"/>
            <w:color w:val="auto"/>
          </w:rPr>
          <w:t xml:space="preserve">Operations, </w:t>
        </w:r>
        <w:r>
          <w:rPr>
            <w:rFonts w:ascii="Arial" w:cs="Arial" w:eastAsia="Arial" w:hAnsi="Arial"/>
            <w:sz w:val="12"/>
            <w:szCs w:val="12"/>
            <w:color w:val="auto"/>
          </w:rPr>
          <w:t>of this Annual Report for additional information regarding these non-GAAP measures. As of December 31, 2019, we managed our operations in four reportable business segments, which are described in more detail in</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0000EE"/>
          </w:rPr>
          <w:t>Note</w:t>
        </w:r>
      </w:hyperlink>
      <w:r>
        <w:rPr>
          <w:rFonts w:ascii="Arial" w:cs="Arial" w:eastAsia="Arial" w:hAnsi="Arial"/>
          <w:sz w:val="12"/>
          <w:szCs w:val="12"/>
          <w:i w:val="1"/>
          <w:iCs w:val="1"/>
          <w:color w:val="auto"/>
        </w:rPr>
        <w:t xml:space="preserve"> </w:t>
      </w:r>
      <w:hyperlink w:anchor="page115">
        <w:r>
          <w:rPr>
            <w:rFonts w:ascii="Arial" w:cs="Arial" w:eastAsia="Arial" w:hAnsi="Arial"/>
            <w:sz w:val="12"/>
            <w:szCs w:val="12"/>
            <w:u w:val="single" w:color="auto"/>
            <w:color w:val="0000EE"/>
          </w:rPr>
          <w:t>14</w:t>
        </w:r>
        <w:r>
          <w:rPr>
            <w:rFonts w:ascii="Arial" w:cs="Arial" w:eastAsia="Arial" w:hAnsi="Arial"/>
            <w:sz w:val="12"/>
            <w:szCs w:val="12"/>
            <w:color w:val="0000EE"/>
          </w:rPr>
          <w:t xml:space="preserve"> </w:t>
        </w:r>
        <w:r>
          <w:rPr>
            <w:rFonts w:ascii="Arial" w:cs="Arial" w:eastAsia="Arial" w:hAnsi="Arial"/>
            <w:sz w:val="12"/>
            <w:szCs w:val="12"/>
            <w:color w:val="000000"/>
          </w:rPr>
          <w:t>to our consolidated financial statements contained in Part II, Item 8</w:t>
        </w:r>
        <w:r>
          <w:rPr>
            <w:rFonts w:ascii="Arial" w:cs="Arial" w:eastAsia="Arial" w:hAnsi="Arial"/>
            <w:sz w:val="12"/>
            <w:szCs w:val="12"/>
            <w:color w:val="0000EE"/>
          </w:rPr>
          <w:t xml:space="preserve"> </w:t>
        </w:r>
        <w:r>
          <w:rPr>
            <w:rFonts w:ascii="Arial" w:cs="Arial" w:eastAsia="Arial" w:hAnsi="Arial"/>
            <w:sz w:val="12"/>
            <w:szCs w:val="12"/>
            <w:i w:val="1"/>
            <w:iCs w:val="1"/>
            <w:color w:val="000000"/>
          </w:rPr>
          <w:t>Financial Statements and Supplementary Data</w:t>
        </w:r>
        <w:r>
          <w:rPr>
            <w:rFonts w:ascii="Arial" w:cs="Arial" w:eastAsia="Arial" w:hAnsi="Arial"/>
            <w:sz w:val="12"/>
            <w:szCs w:val="12"/>
            <w:color w:val="000000"/>
          </w:rPr>
          <w:t>.</w:t>
        </w:r>
      </w:hyperlink>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 Developments</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Windstream is the lessee of the Distribution Systems pursuant to the Master Lease and, therefore, is presently the source of a substantial portion of our revenues. In recent years, Windstream has experienced annual declines in its total revenue, sales and cash flow, and has had its credit ratings downgraded by nationally recognized credit rating agencies multiple times.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Windstream Bankruptcy Filing</w:t>
      </w:r>
    </w:p>
    <w:p>
      <w:pPr>
        <w:spacing w:after="0" w:line="150" w:lineRule="exact"/>
        <w:rPr>
          <w:sz w:val="20"/>
          <w:szCs w:val="20"/>
          <w:color w:val="auto"/>
        </w:rPr>
      </w:pPr>
    </w:p>
    <w:p>
      <w:pPr>
        <w:jc w:val="center"/>
        <w:ind w:right="300"/>
        <w:spacing w:after="0"/>
        <w:rPr>
          <w:sz w:val="20"/>
          <w:szCs w:val="20"/>
          <w:color w:val="auto"/>
        </w:rPr>
      </w:pPr>
      <w:r>
        <w:rPr>
          <w:rFonts w:ascii="Arial" w:cs="Arial" w:eastAsia="Arial" w:hAnsi="Arial"/>
          <w:sz w:val="10"/>
          <w:szCs w:val="10"/>
          <w:color w:val="auto"/>
        </w:rPr>
        <w:t>Prior to its bankruptcy filing described below, Windstream was involved in litigation with an entity who acquired certain Windstream debt securities and thereafter issued a notice of default as to such securities relating to the Spin-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120"/>
        <w:spacing w:after="0" w:line="253" w:lineRule="auto"/>
        <w:rPr>
          <w:sz w:val="20"/>
          <w:szCs w:val="20"/>
          <w:color w:val="auto"/>
        </w:rPr>
      </w:pPr>
      <w:r>
        <w:rPr>
          <w:rFonts w:ascii="Arial" w:cs="Arial" w:eastAsia="Arial" w:hAnsi="Arial"/>
          <w:sz w:val="12"/>
          <w:szCs w:val="12"/>
          <w:color w:val="auto"/>
        </w:rPr>
        <w:t>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Windstream Litigation and Settlement</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During the first half of 2019, Windstream’s CEO stated that it was evaluating all options as part of the Chapter 11 reorganization process regarding the Master Lease, including renegotiation, recharacterization and rejection of the Master Lease. As further described below under “Legal Proceedings”, on July 25, 2019, in connection with Windstream’s bankruptcy, Windstream Holdings and Windstream Services, LLC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w:t>
      </w:r>
    </w:p>
    <w:p>
      <w:pPr>
        <w:spacing w:after="0" w:line="12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On March 2, 2020, Uniti and Windstream jointly announced that they have reached an agreement in principle (the “Settlement”) to resolve any and all claims and causes of action that have been or may be asserted against Uniti by Windstream, including all litigation brought by Windstream and certain of its creditors in the context of Windstream’s bankruptcy. All litigation between Windstream and Uniti will be stayed while the parties negotiate and prepare the definitive documentation to implement the Settlement.</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Pursuant to the Settlement, Uniti and Windstream will agree to mutual releases with respect to any and all liability related to any claims and causes of action between them, including those relating to Windstream’s Chapter 11 proceedings and the Master Lease. Under the Settlement, Uniti will agree to make a $400 million cash payment to Windstream in equal installments over 20 consecutive quarters beginning the first month after Windstream’s emergence at an annual interest rate of 9%, and Uniti may prepay any installments falling due on or after the first anniversary of the Settlement’s effective date (resulting in total payments ranging from $432-$490 million). Uniti will also transfer the proceeds from the sale of its common stock described below to Windstream. In exchange, Windstream will transfer to Uniti certain dark fiber indefeasible rights of use (“IRU”) contracts (that currently generate approximately $21 million in annual operating income before depreciation and amortization) and access rights to 1.8 million fiber strand miles leased by Windstream that is either unutilized or utilized for the dark fiber IRUs being transferred. Uniti will be required to pay Windstream $350 per route mile on any fiber strand miles that are sold above and beyond the fiber strand miles currently being utilized in connection with such dark fiber IRUs. In addition, Uniti will acquire certain Windstream-owned assets, including certain fiber IRU contracts generating $8 million of annual operating income before depreciation and amortization and 0.4 million fiber strand miles covering 4,100 route miles, in exchange for $40.0 million in cash and a 20-year, zero cost IRU for such strands.</w:t>
      </w:r>
    </w:p>
    <w:p>
      <w:pPr>
        <w:spacing w:after="0" w:line="128" w:lineRule="exact"/>
        <w:rPr>
          <w:sz w:val="20"/>
          <w:szCs w:val="20"/>
          <w:color w:val="auto"/>
        </w:rPr>
      </w:pPr>
    </w:p>
    <w:p>
      <w:pPr>
        <w:ind w:right="80"/>
        <w:spacing w:after="0" w:line="285" w:lineRule="auto"/>
        <w:rPr>
          <w:sz w:val="20"/>
          <w:szCs w:val="20"/>
          <w:color w:val="auto"/>
        </w:rPr>
      </w:pPr>
      <w:r>
        <w:rPr>
          <w:rFonts w:ascii="Arial" w:cs="Arial" w:eastAsia="Arial" w:hAnsi="Arial"/>
          <w:sz w:val="11"/>
          <w:szCs w:val="11"/>
          <w:color w:val="auto"/>
        </w:rPr>
        <w:t>Windstream and Uniti will also agree to bifurcate the Master Lease into two structurally similar, but independent, agreements to govern the incumbent local exchange carrier (“ILEC “) and competitive local exchange carrier (“CLEC”) facilities, respectively (collectively, the “New Leases”). Certain copper CLEC assets will be governed under the New Lease relating to the ILEC facilities. The initial aggregate annual rent under the New Leases will be equal to the annual rent under the Master Lease currently in effect. Each of Windstream Services, LLC, certain of its subsidiaries and/or newly formed affiliated entities will become parties to the New Leases. The New Leases will contain cross-guarantees and cross-default provisions, which will remain effective as long as Windstream or an affiliate is a tenant under one of the New Leases. In addition, the New Leases will be amended to require that Windstream maintain certain financial covenants and to permit Uniti to transfer its rights and obligations and otherwise monetize or encumber the New Leases so long as it does not transfer interests to a Windstream competitor.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Pursuant to the Settlement, Uniti will agree to fund up to an aggregate $1.75 billion in growth capital improvements in long-term fiber and related assets in certain ILEC and CLEC properties (the “Growth Capital Improvements”). Growth Capital Improvements will exclude maintenance or repair expenditures and expenditures toward fiber replacement in excess of $70 million per year and will be subject to Uniti’s approval based on underwriting standards to be included in the New Leases. Annual commitments by Uniti for the Growth Capital Improvements will comprise: $125 million in 2020; $225 million per year in 2021 through 2024; $175 million per year in 2025 and 2026; and $125 million per year in 2027 through 2029. Windstream will be entitled to reimbursement for any cumulative Growth Capital Improvements it incurs in excess of the foregoing annual amounts from the commitment amounts in a subsequent period. On the first anniversary of an installment of funding for a Growth Capital Improvement, the annual base rent payable by Windstream will increase by an amount equal to 8.0% (the “Rent Rate”) of such installment of funding. The Rent Rate will thereafter increase to 100.5% of the prior Rent Rate in subsequent years.</w:t>
      </w:r>
    </w:p>
    <w:p>
      <w:pPr>
        <w:spacing w:after="0" w:line="85"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In connection with the Settlement, Uniti also entered into binding letters of intent on March 2, 2020 (each, a “Letter of Intent”) with certain first lien creditors of Windstream, pursuant to which Uniti will sell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will transfer the proceeds from the sale of the Settlement Common Stock to Windstream as additional settlement consideration. The issuance and sale of the Settlement Common Stock will be made in reliance upon the exemption from registration requirements pursuant to Section 4(a)(2) of the Securities Act of 1933, as amended. Certain recipients of the Settlement Common Stock will be subject to a one-year lock up, and all recipients will be subject to a customary standstill agreement. No recipient will receive any governance rights in connection with the issuance.</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Finally, on March 2, 2020, Uniti, Windstream and certain of Windstream’s creditors (collectively with Uniti and Windstream, the “Parties”) entered into a Plan Support Agreement (the “Plan Support Agreement”). Pursuant to the Plan Support Agreement, the Parties agreed to support the Settlement and the approval of a plan of reorganization for Windstream (the “Plan”) on the terms and subject to the conditions described therein. The Plan Support Agreement is terminable by the Parties upon the occurrence of certain specified termination events, including, among other things, (i) the failure to meet certain case milestones, including failure by Windstream to file a motion to approve the Settlement by March 12, 2020 and failure to obtain approval of the Settlement from the bankruptcy court by April 6, 2020, (ii) failure by Windstream to timely appeal any order by the bankruptcy court denying the Settlement or any order overturning an order approving the Settlement on appeal, and (iii) the issuance by a regulatory authority of an order enjoining, or the commencement of an action that could be reasonably expected to enjoin, material portions of the settlement or substantial consummation of the Settlement (subject to a 10 day cure period). The parties to the Plan Support Agreement expect the Plan to become effective, and for Windstream to emerge from bankruptcy, by August 29, 2020.</w:t>
      </w:r>
    </w:p>
    <w:p>
      <w:pPr>
        <w:spacing w:after="0" w:line="13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Settlement is subject to negotiation and execution of definitive documentation and certain regulatory approvals and conditions precedent, including bankruptcy court approval and Uniti’s receipt of satisfactory “true lease” opinions confirming that the New Leases are “true leases” for U.S. federal income tax purposes.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Business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 xml:space="preserve">We are an independent, internally-managed REIT engaged in the acquisition and construction of mission critical infrastructure in the communications industry. We manage our operations in four separate lines of business: </w:t>
      </w:r>
      <w:r>
        <w:rPr>
          <w:rFonts w:ascii="Arial" w:cs="Arial" w:eastAsia="Arial" w:hAnsi="Arial"/>
          <w:sz w:val="12"/>
          <w:szCs w:val="12"/>
          <w:i w:val="1"/>
          <w:iCs w:val="1"/>
          <w:color w:val="auto"/>
        </w:rPr>
        <w:t>Uniti Fiber</w:t>
      </w:r>
      <w:r>
        <w:rPr>
          <w:rFonts w:ascii="Arial" w:cs="Arial" w:eastAsia="Arial" w:hAnsi="Arial"/>
          <w:sz w:val="12"/>
          <w:szCs w:val="12"/>
          <w:color w:val="auto"/>
        </w:rPr>
        <w:t xml:space="preserve">, </w:t>
      </w:r>
      <w:r>
        <w:rPr>
          <w:rFonts w:ascii="Arial" w:cs="Arial" w:eastAsia="Arial" w:hAnsi="Arial"/>
          <w:sz w:val="12"/>
          <w:szCs w:val="12"/>
          <w:i w:val="1"/>
          <w:iCs w:val="1"/>
          <w:color w:val="auto"/>
        </w:rPr>
        <w:t>Uniti Towers</w:t>
      </w:r>
      <w:r>
        <w:rPr>
          <w:rFonts w:ascii="Arial" w:cs="Arial" w:eastAsia="Arial" w:hAnsi="Arial"/>
          <w:sz w:val="12"/>
          <w:szCs w:val="12"/>
          <w:color w:val="auto"/>
        </w:rPr>
        <w:t>,</w:t>
      </w:r>
      <w:r>
        <w:rPr>
          <w:rFonts w:ascii="Arial" w:cs="Arial" w:eastAsia="Arial" w:hAnsi="Arial"/>
          <w:sz w:val="12"/>
          <w:szCs w:val="12"/>
          <w:i w:val="1"/>
          <w:iCs w:val="1"/>
          <w:color w:val="auto"/>
        </w:rPr>
        <w:t xml:space="preserve"> Uniti Leasing </w:t>
      </w:r>
      <w:r>
        <w:rPr>
          <w:rFonts w:ascii="Arial" w:cs="Arial" w:eastAsia="Arial" w:hAnsi="Arial"/>
          <w:sz w:val="12"/>
          <w:szCs w:val="12"/>
          <w:color w:val="auto"/>
        </w:rPr>
        <w:t>and</w:t>
      </w:r>
      <w:r>
        <w:rPr>
          <w:rFonts w:ascii="Arial" w:cs="Arial" w:eastAsia="Arial" w:hAnsi="Arial"/>
          <w:sz w:val="12"/>
          <w:szCs w:val="12"/>
          <w:i w:val="1"/>
          <w:iCs w:val="1"/>
          <w:color w:val="auto"/>
        </w:rPr>
        <w:t xml:space="preserve"> Talk America</w:t>
      </w:r>
      <w:r>
        <w:rPr>
          <w:rFonts w:ascii="Arial" w:cs="Arial" w:eastAsia="Arial" w:hAnsi="Arial"/>
          <w:sz w:val="12"/>
          <w:szCs w:val="12"/>
          <w:color w:val="auto"/>
        </w:rPr>
        <w:t>.</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 xml:space="preserve">Refer to Part II, Item 7 </w:t>
      </w:r>
      <w:r>
        <w:rPr>
          <w:rFonts w:ascii="Arial" w:cs="Arial" w:eastAsia="Arial" w:hAnsi="Arial"/>
          <w:sz w:val="12"/>
          <w:szCs w:val="12"/>
          <w:i w:val="1"/>
          <w:iCs w:val="1"/>
          <w:color w:val="auto"/>
        </w:rPr>
        <w:t>Management’s Discussion and Analysis of Financial Condition and Results of Operations—Overview—Significant Business Developments,</w:t>
      </w:r>
      <w:r>
        <w:rPr>
          <w:rFonts w:ascii="Arial" w:cs="Arial" w:eastAsia="Arial" w:hAnsi="Arial"/>
          <w:sz w:val="12"/>
          <w:szCs w:val="12"/>
          <w:color w:val="auto"/>
        </w:rPr>
        <w:t xml:space="preserve"> of this Annual Report for additional information regarding significant developments in our business in 2019.</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Fiber</w:t>
      </w:r>
    </w:p>
    <w:p>
      <w:pPr>
        <w:spacing w:after="0" w:line="141"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We believe fiber is the mission-critical focal point in the modern communications infrastructure industry and that Uniti Fiber will accelerate our growth and diversification strategy and expand our relationships with high quality national and international wireless carriers.</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At December 31, 2019, Uniti Fiber’s revenues under contract were over $1.2 billion, with a network consisting of 2.0 million strand miles of fiber and approximately 20,900 customer connections. Results for Uniti Fiber are reported in our consolidated financial statements in our Fiber Infrastructure business segment.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Towers</w:t>
      </w:r>
    </w:p>
    <w:p>
      <w:pPr>
        <w:spacing w:after="0" w:line="150"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Uniti Towers’ primary business is constructing and leasing space on communications towers to wireless service providers and other tenants in a number of other industries. Uniti Towers’ leadership has substantial experience in the telecommunications industry and has been overseeing construction and operation of thousands of wireless towers both domestically and abroad for decades. Uniti Towers provides build-to-suit opportunities using customized master lease agreements designed for long-term carrier partnerships.</w:t>
      </w:r>
    </w:p>
    <w:p>
      <w:pPr>
        <w:spacing w:after="0" w:line="12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At December 31, 2019, Uniti Towers’ portfolio consisted of 672 wireless communications towers located in 33 states across the eastern and central regions in the United States. Results for Uniti Towers are reported in our consolidated financial statements in our Towers business segment.</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February 2020, we entered into a definitive agreement to sell 486 of our U.S. towers located across 32 states for total cash consideration of approximately $190.0 million, subject to adjustments. Concurrent with the sale of the U.S. towers, we entered into a strategic “off-take” tower arrangement with a wireless infrastructure partner. Pursuant to the “off-take” arrangement, we will continue to build towers in the U.S. and sell those towers to our partner at an agreed upon price during 2020. We also have the option to extend the “off-take” arrangement to 2021.</w:t>
      </w:r>
    </w:p>
    <w:p>
      <w:pPr>
        <w:spacing w:after="0" w:line="12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definitive agreement includes a "go-shop" provision, which permits Uniti's Board of Directors and its advisors to solicit alternative proposals from third parties. Uniti will have the right to terminate the agreement to enter into a superior proposal subject to certain terms and conditions.</w:t>
      </w:r>
    </w:p>
    <w:p>
      <w:pPr>
        <w:spacing w:after="0" w:line="11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On April 2, 2019, the Company sold its Uniti Towers’ Latin America business to an entity controlled by Phoenix Towers International (“PTI”) for cash consideration of $101.6 million resulting in a pre-tax gain of $23.8 million. PTI acquired 498 towers located across Mexico, Colombia and Nicaragua.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Leasing</w:t>
      </w:r>
    </w:p>
    <w:p>
      <w:pPr>
        <w:spacing w:after="0" w:line="150"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Uniti Leasing is engaged in acquiring mission-critical communications assets, such as fiber, data centers, next-generation consumer broadband, coaxial and upgradeable copper, and leasing them back to anchor customers on either an exclusive or shared-tenant basis. Presently, a substantial portion of Uniti Leasing’s revenue is rental revenues from leasing the Distribution Systems to Windstream pursuant to the Master Lease. We believe our attractive cost of capital and advantageous REIT structure will enable Uniti Leasing to provide creative and tax-efficient solutions to additional customers, including (i) sale 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Leasing business segment.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CLEC Business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conduct the Consumer CLEC Business through Talk America Services, LLC. Talk America provides local telephone, high-speed Internet and long-distance service to approximately 10,800 customers principally located in 17 states across the eastern and central United States. Substantially all of the network assets used to provide these services to customers are contracted through interconnection agreements with other telecommunications carriers. We have commenced a wind down of our Consumer CLEC Business, which we estimate will be completed during the second quarter of 2020. Results for Talk America are reported in our consolidated financial statements in our Consumer CLEC Business segment.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Industry</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significant opportunities for us as an acquirer and operator and as a funding source for operators seeking to capitalize on these trends through build outs and acquisitions of infrastructure assets.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wireless towers (including strong growth in long-term tower leasing), tower space and bandwidth infrastructure services.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Strategy</w:t>
      </w:r>
    </w:p>
    <w:p>
      <w:pPr>
        <w:spacing w:after="0" w:line="154"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Our primary goal is to create long-term stockholder value by (i) generating reliable and growing cash flows, (ii) diversifying our tenant and asset base, (iii) paying a dividend, and (iv) maintaining our financial strength and liquidity. To achieve this goal, we employ a business strategy that leverages our first mover advantages in the sector and our strong access to the capital markets. The key components of our business strategy are: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Acquire Additional Infrastructure Assets Through Sale Leaseback Transactions</w:t>
      </w:r>
    </w:p>
    <w:p>
      <w:pPr>
        <w:spacing w:after="0" w:line="150" w:lineRule="exact"/>
        <w:rPr>
          <w:sz w:val="20"/>
          <w:szCs w:val="20"/>
          <w:color w:val="auto"/>
        </w:rPr>
      </w:pPr>
    </w:p>
    <w:p>
      <w:pPr>
        <w:ind w:right="280"/>
        <w:spacing w:after="0" w:line="340" w:lineRule="auto"/>
        <w:rPr>
          <w:sz w:val="20"/>
          <w:szCs w:val="20"/>
          <w:color w:val="auto"/>
        </w:rPr>
      </w:pPr>
      <w:r>
        <w:rPr>
          <w:rFonts w:ascii="Arial" w:cs="Arial" w:eastAsia="Arial" w:hAnsi="Arial"/>
          <w:sz w:val="10"/>
          <w:szCs w:val="10"/>
          <w:color w:val="auto"/>
        </w:rPr>
        <w:t>We actively seek to acquire communications infrastructure assets from communication service providers and lease these assets back to the communication service providers on a long-term basis. We believe this type of transaction benefits the communication service providers with incremental liquidity which can be used to reduce indebtedness or for other investments, while they continue to focus on their existing business. We will employ a disciplined, opportunistic acquisition strategy and seek to price transactions appropriately based on, among other things, growth opportunities, the mix of assets acquired, length and terms of the lease, and credit worthiness of the tenant.</w:t>
      </w:r>
    </w:p>
    <w:p>
      <w:pPr>
        <w:spacing w:after="0" w:line="87"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This strategy also is designed to expand our mix of tenants and other real property and will reduce our revenue concentration with Windstream. We expect that this objective will be achieved over time as part of our overall strategy to acquire new distribution systems and other real property within the communications infrastructure industry to further diversify our overall portfolio.</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Capitalize on the Market Demand for Increased Bandwidth Infrastructure and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Bandwidth intensive devices and applications are rapidly fueling worldwide consumption of bandwidth, which in turn fuels a continuously growing demand for stable and secure bandwidth options.  Communications service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160"/>
        <w:spacing w:after="0" w:line="260" w:lineRule="auto"/>
        <w:rPr>
          <w:sz w:val="20"/>
          <w:szCs w:val="20"/>
          <w:color w:val="auto"/>
        </w:rPr>
      </w:pPr>
      <w:r>
        <w:rPr>
          <w:rFonts w:ascii="Arial" w:cs="Arial" w:eastAsia="Arial" w:hAnsi="Arial"/>
          <w:sz w:val="12"/>
          <w:szCs w:val="12"/>
          <w:color w:val="auto"/>
        </w:rPr>
        <w:t>providers and other enterprises whose services and businesses require substantial amounts of bandwidth are increasingly looking to infrastructure providers to support their bandwidth needs and to expand the reach, performance and security of their networks. We believe Uniti Fiber is well positioned to capitalize on this ongoing demand for bandwidth infrastructure solutions.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 Capital Extensions to Existing and New Tenants for Improvements of Infrastructure Assets</w:t>
      </w:r>
    </w:p>
    <w:p>
      <w:pPr>
        <w:spacing w:after="0" w:line="150" w:lineRule="exact"/>
        <w:rPr>
          <w:sz w:val="20"/>
          <w:szCs w:val="20"/>
          <w:color w:val="auto"/>
        </w:rPr>
      </w:pPr>
    </w:p>
    <w:p>
      <w:pPr>
        <w:ind w:right="480"/>
        <w:spacing w:after="0" w:line="323" w:lineRule="auto"/>
        <w:rPr>
          <w:sz w:val="20"/>
          <w:szCs w:val="20"/>
          <w:color w:val="auto"/>
        </w:rPr>
      </w:pPr>
      <w:r>
        <w:rPr>
          <w:rFonts w:ascii="Arial" w:cs="Arial" w:eastAsia="Arial" w:hAnsi="Arial"/>
          <w:sz w:val="11"/>
          <w:szCs w:val="11"/>
          <w:color w:val="auto"/>
        </w:rPr>
        <w:t>We believe the communications infrastructure industry in the United States is currently going through an upgrade cycle driven by consumers’ general desire for greater bandwidth and wireless services. These upgrades require significant capital expenditures, and we believe Uniti provides a non-competitive funding source for communication service providers to help accelerate the improvement and expansion of their networks.</w:t>
      </w:r>
    </w:p>
    <w:p>
      <w:pPr>
        <w:spacing w:after="0" w:line="9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We intend to support our tenant operators and other communication service providers by providing capital to them for a variety of purposes, including capacity augmentation projects, tower construction and network expansions. We expect to structure these investments as lease arrangements that produce additional rents.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Facilitate M&amp;A Transactions in the Communication Service Sector as a Capital Partner</w:t>
      </w:r>
    </w:p>
    <w:p>
      <w:pPr>
        <w:spacing w:after="0" w:line="15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We believe Uniti can provide cost efficient funds to potential acquirers in the communication service sector, and thereby facilitate M&amp;A transactions as a capital partner, including by partnering with operators through use of “OpCo-PropCo” structures, pursuant to which we acquire the underlying network and other assets and the operator acquires the operations. The highly fragmented nature of the communication service sector is expected to result in more consolidation, which we believe will provide us ample opportunity to pursue these types of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Maintain Balance Sheet Strength and Liquidity</w:t>
      </w:r>
    </w:p>
    <w:p>
      <w:pPr>
        <w:spacing w:after="0" w:line="150"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including as a result of uncertainty with respect to Windstream and the Master Lease. We intend to maintain a strong balance sheet through disciplined use of leverage, aiming to lower our relative cost of capital over time, and continuing to have access to multiple sources of capital and liquidity. As of December 31, 2019, we had $142.8 million of unrestricted cash and cash equivalents. As of February 10, 2020, with the exception of our revolving credit facility, all of our debt is fixed-rate debt.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Competition</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like Windstream, to compete with other communication service providers.</w:t>
      </w:r>
    </w:p>
    <w:p>
      <w:pPr>
        <w:spacing w:after="0" w:line="14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However, we believe we are positioned to identify and successfully capitalize on acquisition opportunities that meet our investment objectives and that we have significant competitive advantages that support our leadership position in owning, funding the construction of and leasing communications infrastructure, including: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First-Mover Advantage; Uniquely Positioned to Capitalize on Expansion Opportunities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are the first REIT primarily focused on the acquisition and construction of mission critical infrastructure in the communications industry. We believe this provides us with a significant first-mover competitive advantage to capitalize on the large and fragmented communications infrastructure industry. Additionally, we believe our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position, scale and national reach will help us achieve operational efficiencies and support future growth opportunities.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Large Scale Anchor Tenant</w:t>
      </w:r>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believe the assets we lease to Windstream under the Master Lease are critical for Windstream to successfully run its business and operations, and that Windstream will need the assets subject to the Master Lease while it undergoes its restructuring as set forth under Part I, Item 1A “Risk Factors” in this Annual Report on Form 10-K. Windstream, as our anchor tenant, provides us with a base of rent revenues as an initial platform for us to grow and diversify our portfolio and tenant base.</w:t>
      </w:r>
    </w:p>
    <w:p>
      <w:pPr>
        <w:spacing w:after="0" w:line="122" w:lineRule="exact"/>
        <w:rPr>
          <w:sz w:val="20"/>
          <w:szCs w:val="20"/>
          <w:color w:val="auto"/>
        </w:rPr>
      </w:pPr>
    </w:p>
    <w:p>
      <w:pPr>
        <w:ind w:right="200"/>
        <w:spacing w:after="0" w:line="379" w:lineRule="auto"/>
        <w:rPr>
          <w:sz w:val="20"/>
          <w:szCs w:val="20"/>
          <w:color w:val="auto"/>
        </w:rPr>
      </w:pPr>
      <w:r>
        <w:rPr>
          <w:rFonts w:ascii="Arial" w:cs="Arial" w:eastAsia="Arial" w:hAnsi="Arial"/>
          <w:sz w:val="10"/>
          <w:szCs w:val="10"/>
          <w:color w:val="auto"/>
        </w:rPr>
        <w:t>Windstream provides advanced network communications and technology solutions for businesses across the United States. Windstream also offers broadband, entertainment and security solutions to consumers and small businesses primarily in rural areas. Windstream continues to operate the Distribution Systems, hold the associated regulatory licenses and own and operate other assets, including distribution systems in select states not included in the Spin-Off.</w:t>
      </w:r>
    </w:p>
    <w:p>
      <w:pPr>
        <w:spacing w:after="0" w:line="69" w:lineRule="exact"/>
        <w:rPr>
          <w:sz w:val="20"/>
          <w:szCs w:val="20"/>
          <w:color w:val="auto"/>
        </w:rPr>
      </w:pPr>
    </w:p>
    <w:p>
      <w:pPr>
        <w:jc w:val="both"/>
        <w:ind w:right="60"/>
        <w:spacing w:after="0" w:line="379" w:lineRule="auto"/>
        <w:rPr>
          <w:sz w:val="20"/>
          <w:szCs w:val="20"/>
          <w:color w:val="auto"/>
        </w:rPr>
      </w:pPr>
      <w:r>
        <w:rPr>
          <w:rFonts w:ascii="Arial" w:cs="Arial" w:eastAsia="Arial" w:hAnsi="Arial"/>
          <w:sz w:val="10"/>
          <w:szCs w:val="10"/>
          <w:color w:val="auto"/>
        </w:rPr>
        <w:t>Windstream has a diverse customer base, encompassing enterprise and small business customers, carriers and consumers. The Distribution Systems we lease to Windstream are located in 29 different states across the continental United States. The fiber assets in any one state do not account for more than 20% of the total route miles in our network. We believe this geographic diversification will limit the effect of changes in any one market on our overall performance.</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Windstream’s stock is quoted on the OTC Markets under the ticker symbol “WINMQ.” Windstream is subject to the reporting requirements of the SEC, which include the requirements to file annual reports containing audited financial information and quarterly reports containing unaudited financial information, but Windstream is not current in its reporting obligations. Windstream’s filings with the SEC can be found at www.sec.gov. Windstream’s filings are not incorporated by reference into this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Strong Relationships with Communication Service Providers</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Members of our management team have developed an extensive network of relationships with qualified local, regional and national communication service providers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Experienced and Committed Management Team</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Our senior management team is comprised of veteran leaders with strong backgrounds in their respective disciplines. Our senior management team has extensive experience managing telecommunications operations, consummating mergers and acquisitions and accessing both debt and equity capital markets to fund growth and maintain a flexible capital structure.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Insurance</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We maintain, or will require in our leases (including the Master Lease), that our tenants maintain, applicable lines of insurance on our properties and their operations. Under the Master Lease,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Master Lease, and such insurance may not be available at a reasonable cost in the future or fully cover all losses on our properties upon the occurrence of a catastrophic event. Moreover, we cannot guarantee the future financial viability of the insurers.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Employees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2019, we had 899 full-time employees. None of our employees are subject to a collective bargaining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Significant Customers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For the years ended December 31, 2019, 2018 and 2017, 65.0%, 68.2% and 74.8% of our revenues, respectively, were derived from leasing our Distribution Systems to Windstream Holdings pursuant to the Master Lease.</w:t>
      </w:r>
    </w:p>
    <w:p>
      <w:pPr>
        <w:spacing w:after="0" w:line="16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On February 25, 2019, Windstream filed a voluntary petition for relief under Chapter 11 of the Bankruptcy Code in the U.S. Bankruptcy Court for the Southern District of New York. For a discussion of the impact that Windstream’s bankruptcy may have on the Master Lease, see Part I, Item 1A “Risk Factors” in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Government Regulation, Licensing and Enforcement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Telecommunications Regulatory Overview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Market Overview</w:t>
      </w:r>
    </w:p>
    <w:p>
      <w:pPr>
        <w:spacing w:after="0" w:line="150"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Our subsidiaries and our tenants operate in a regulated market.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and our tenants to civil, criminal and administrative sanctions. We expect that the telecommunications industry, in general, will continue to face increased regulation. Changes in laws and regulations and violations of federal or state laws or regulations by us or our tenants could have a significant direct or indirect effect on our operations and financial condition, as detailed below and set forth under “Risk Factors—Risks Related to Our Business.”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Our operations require that certain of our subsidiaries across all segments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are required to provide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notice and/or obtain prior approval from certain governmental agencies.  Failure to obtain such approvals could subject us to fines or other penalties.</w:t>
      </w:r>
    </w:p>
    <w:p>
      <w:pPr>
        <w:spacing w:after="0" w:line="141"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Our subsidiaries are subject to a number of federal and state regulations that govern the way we can conduct our business. Such regulations also impose certain operating costs on our businesses. These regulations can include restrictions on pricing flexibility for certain products, minimum service quality standards, service reporting, intercarrier compensation, contributions to universal service, and other obligations. Further, the relaxation of regulatory requirements on our competitors, such as those granting us access to incumbent local exchange carrier facilities and/or services or the prices that such carriers may charge for such services or access to their facilities, may also have a detrimental effect on the businesses of our subsidiaries and/or tenants.</w:t>
      </w:r>
    </w:p>
    <w:p>
      <w:pPr>
        <w:spacing w:after="0" w:line="124" w:lineRule="exact"/>
        <w:rPr>
          <w:sz w:val="20"/>
          <w:szCs w:val="20"/>
          <w:color w:val="auto"/>
        </w:rPr>
      </w:pPr>
    </w:p>
    <w:p>
      <w:pPr>
        <w:spacing w:after="0" w:line="379" w:lineRule="auto"/>
        <w:rPr>
          <w:sz w:val="20"/>
          <w:szCs w:val="20"/>
          <w:color w:val="auto"/>
        </w:rPr>
      </w:pPr>
      <w:r>
        <w:rPr>
          <w:rFonts w:ascii="Arial" w:cs="Arial" w:eastAsia="Arial" w:hAnsi="Arial"/>
          <w:sz w:val="10"/>
          <w:szCs w:val="10"/>
          <w:color w:val="auto"/>
        </w:rPr>
        <w:t>We have sought to structure the operations for our core real estate business in a manner to minimize the likelihood that we may be required to become regulated as a public utility or common carrier by the FCC or PUCs, but a number of our business operations are nonetheless subject to federal, state, and local regulation, and we cannot guarantee that our core real estate business will not become further subject to federal, state, and local regulation in the future.</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These regulations would have limited the ways that broadband Internet access service providers could structure business arrangements and manage their networks and spurred additional restrictions, including rate regulation, which could adversely affect broadband investment and innovation. In 2017, the FCC voted to return broadband Internet access service to its prior classification as “information services.” As a result of these decisions, state legislators and governors have introduced, and in some cases passed, state laws and executive orders requiring different levels of adherence to “network neutrality” principles for broadband Internet access service providers active in the applicable states. As a result of these laws and regulations, it is unclear at this time how broadband services will be regulated in the future, and the potential impact those regulations may have on our broadband Internet service business.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CLEC Business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Talk America operates the Consumer CLEC Business as a reseller of telecommunication services pursuant to a Wholesale Master Services Agreement and a Master Service Agreement with Windstream. Talk America was informed by Windstream on April 23, 2019 that Windstream intended to cancel that Wholesale Master Services Agreement. Since that time, Talk America has undertaken efforts to wind down the Consumer CLEC Business operations. This has required Talk America to seek various approvals from the FCC and PUCs in order to transfer or cancel affected customer accounts. Failure to obtain requisite approvals and follow the directives issued by the FCC or PUCs with respect to these matters could subject Talk America to fines or other penalties.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Towers</w:t>
      </w:r>
    </w:p>
    <w:p>
      <w:pPr>
        <w:spacing w:after="0" w:line="150"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Uniti Towers is subject to federal, state and local regulatory requirements with respect to the registration, siting, construction, lighting, marking and maintenance of our towers. In the United States, the construction of new towers or modifications to existing towers may require pre-approval by the FCC and the Federal Aviation Administration (“FAA”), depending on factors such as tower height and proximity to public airfields. Towers requiring pre-approval must be registered with the FCC and maintained in accordance with FCC and FAA standards. Non-compliance with applicable tower-related requirements may lead to monetary penalties or site deconstruction orders.</w:t>
      </w:r>
    </w:p>
    <w:p>
      <w:pPr>
        <w:spacing w:after="0" w:line="105"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Uniti Towers is subject to zoning restrictions and restrictive covenants imposed by local authorities or community organizations. While these regulations vary, they typically require approval from local authorities or community standards organizations prior to tower construction or the addition of a new antenna to an existing tower. Opposition by local zoning authorities and community residents can delay or prevent new tower construction or site upgrade projects, thereby increasing the costs and timing of new tower construction and modifications or site upgrades.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280"/>
        <w:spacing w:after="0" w:line="260" w:lineRule="auto"/>
        <w:rPr>
          <w:sz w:val="20"/>
          <w:szCs w:val="20"/>
          <w:color w:val="auto"/>
        </w:rPr>
      </w:pPr>
      <w:r>
        <w:rPr>
          <w:rFonts w:ascii="Arial" w:cs="Arial" w:eastAsia="Arial" w:hAnsi="Arial"/>
          <w:sz w:val="12"/>
          <w:szCs w:val="12"/>
          <w:color w:val="auto"/>
        </w:rPr>
        <w:t>The failure to properly maintain towers pursuant to applicable regulatory requirements, such as but not limited to, lighting, painting, and other safety standards, can subject us to significant enforcement actions, including monetary penalties both within the United States and abroad.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Uniti Fiber</w:t>
      </w:r>
    </w:p>
    <w:p>
      <w:pPr>
        <w:spacing w:after="0" w:line="150" w:lineRule="exact"/>
        <w:rPr>
          <w:sz w:val="20"/>
          <w:szCs w:val="20"/>
          <w:color w:val="auto"/>
        </w:rPr>
      </w:pPr>
    </w:p>
    <w:p>
      <w:pPr>
        <w:ind w:right="240"/>
        <w:spacing w:after="0" w:line="283" w:lineRule="auto"/>
        <w:rPr>
          <w:sz w:val="20"/>
          <w:szCs w:val="20"/>
          <w:color w:val="auto"/>
        </w:rPr>
      </w:pPr>
      <w:r>
        <w:rPr>
          <w:rFonts w:ascii="Arial" w:cs="Arial" w:eastAsia="Arial" w:hAnsi="Arial"/>
          <w:sz w:val="11"/>
          <w:szCs w:val="11"/>
          <w:color w:val="auto"/>
        </w:rPr>
        <w:t>Our subsidiaries that compose Uniti Fiber own and operate significant fiber and other communications backhaul facilities throughout various regions of the United States. The provision of such services is subject to FCC and PUC licensure in many jurisdictions, and the companies are typically licensed as CLECs and/or interexchange carriers in those states where they operate. The companies also hold various FCC wireless licenses in order to provide microwave backhaul services. Because of the nature of the licenses that these companies hold, and the nature of the services that they provide, they are subject to various federal and state regulatory requirements, including, but not limited to, revenue and other reporting requirements and tariffing requirements. The companies must also maintain their wireless licenses with the FCC, which requires construction and notification reporting and other regulatory requirements. New fiber network construction is also subject to certain state and local governmental permitting and licensing requirements. Delays in the local and state permitting process can delay the construction of new facilities. Failure to abide by permit requirements can subject the company to fines and other penalties.</w:t>
      </w:r>
    </w:p>
    <w:p>
      <w:pPr>
        <w:spacing w:after="0" w:line="113"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In some cases, our subsidiaries that compose Uniti Fiber utilize services or facilities of incumbent local exchange carriers through arrangements established under the Telecommunications Act of 1996 and FCC regulations. The FCC has deregulated some of those requirements that incumbent local exchange carriers offer unbundled network elements, and continues to consider whether to further deregulate access to those facilities and services. We cannot predict how the FCC will resolve those matters, nor whether such network elements will continue to be available in the future at the rates they are available today.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Regulatory Changes</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Future revenues, costs and capital investment in the communication businesses of our tenants, Uniti Fiber, Uniti Towers,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universal service fund (“USF”) support, rules governing the prices that can be charged for business data services, infrastructure location and siting rules, access to unbundled network elements, and other 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r>
        <w:rPr>
          <w:rFonts w:ascii="Arial" w:cs="Arial" w:eastAsia="Arial" w:hAnsi="Arial"/>
          <w:sz w:val="12"/>
          <w:szCs w:val="12"/>
          <w:i w:val="1"/>
          <w:iCs w:val="1"/>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Environmental Matters</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Available Information</w:t>
      </w:r>
    </w:p>
    <w:p>
      <w:pPr>
        <w:spacing w:after="0" w:line="154"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Our principal executive offices are located at 10802 Executive Center Drive, Benton Building Suite 300, Little Rock, AR 72211 and our telephone number is (501) 850-0820. We maintain a website at www.uniti.com. Our Annual Reports on Form 10-K, Quarterly Reports on Form 10-Q, Current Reports on Form 8-K and any amendments to those reports filed or furnished pursuant to Section 13(a) or 15(d) of the Securities Exchange Act of 1934 (the “Exchange Act”) are available on our website, free of charge, as soon as reasonably practicable after we electronically file such materials with, or furnish them to, the SEC. Our Exchange Act filings can also be found at www.sec.gov.</w:t>
      </w:r>
    </w:p>
    <w:p>
      <w:pPr>
        <w:spacing w:after="0" w:line="87"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 xml:space="preserve">Current copies of our Code of Business Conduct and Ethics &amp; Whistleblower Policy, Corporate Governance Guidelines, and the charters for our Audit, Compensation and Governance Committees are posted in the </w:t>
      </w:r>
      <w:r>
        <w:rPr>
          <w:rFonts w:ascii="Arial" w:cs="Arial" w:eastAsia="Arial" w:hAnsi="Arial"/>
          <w:sz w:val="12"/>
          <w:szCs w:val="12"/>
          <w:i w:val="1"/>
          <w:iCs w:val="1"/>
          <w:color w:val="auto"/>
        </w:rPr>
        <w:t>Corporate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Governance </w:t>
      </w:r>
      <w:r>
        <w:rPr>
          <w:rFonts w:ascii="Arial" w:cs="Arial" w:eastAsia="Arial" w:hAnsi="Arial"/>
          <w:sz w:val="12"/>
          <w:szCs w:val="12"/>
          <w:color w:val="auto"/>
        </w:rPr>
        <w:t>section of the About Us page of our website at www.uniti.com.</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While we have announced a settlement with Windstream, the settlement is subject to court approval and other conditions and may not be implemented.</w:t>
      </w:r>
    </w:p>
    <w:p>
      <w:pPr>
        <w:spacing w:after="0" w:line="150"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As disclosed under Item 1. Business, we have recently announced a settlement with Windstream pursuant to which it would release all claims against us and assume the Master Lease. However, the settlement is subject to numerous conditions, including court approval, regulatory approval and negotiation of definitive documentation, as well as our receipt of opinions of tax counsel regarding the qualification of the resulting master leases as “true leases” for U.S. federal income tax purposes, and our continued qualification as a REIT. We cannot assure you that these conditions will be satisfied. If the conditions are not satisfied, the litigation will remain pending, and we will continue to be exposed to the risks set forth below.</w:t>
      </w:r>
    </w:p>
    <w:p>
      <w:pPr>
        <w:spacing w:after="0" w:line="12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Even if the settlement is approved and effectuated, we continue to be dependent upon Windstream and its successful emergence from bankruptcy, which is subject to numerous conditions including approval by the court and required creditors of a plan of reorganization. We cannot assure you that Windstream will successfully emerge from bankruptcy.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settlement is implemented, we will be required to raise significant additional capital and issue additional equity.</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If the settlement with Windstream is approved and implemented, we will be required to issue an aggregate of 38,633,470 shares, equal to 19.99% of our currently outstanding common stock, to certain investors at a purchase price of $6.33 per share. While certain of these investors will enter into lockup agreements with us, the lockup agreements will contain exceptions and these investors will be able to resell these shares into the market over time, which could lead to lower prices for our shares. In addition, we will also be required to raise capital to fund obligations to Windstream, including (i) $490 million of settlement payments payable over time and (ii) an aggregate of $1.75 billion of Growth Capital Investments in property subject to the master lease (although such investments will lead to higher rent payments). We will closely monitor capital markets and will seek to access them promptly when we determine market conditions are appropriate. The amount, nature and timing of any capital markets transactions will depend on: our operating performance and other circumstances; any limitations imposed by our current credit arrangements; and overall market conditions. If we are unable to access the capital markets as we anticipate (including because our cost of capital is higher than the returns we will get on our investment in Windstream), we would be subject to a shortfall in liquidity in the future which could lead to a reduction in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capital expenditures and/or dividends and, in an extreme case, our ability to pay our debt service obligations.  If this shortfall occurs rapidly and with little or no notice, it could limit our ability to address the shortfall on a timely basis.</w:t>
      </w:r>
    </w:p>
    <w:p>
      <w:pPr>
        <w:spacing w:after="0" w:line="153"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b w:val="1"/>
          <w:bCs w:val="1"/>
          <w:i w:val="1"/>
          <w:iCs w:val="1"/>
          <w:color w:val="auto"/>
        </w:rPr>
        <w:t>We are dependent on Windstream Holdings to make payments to us under the Master Lease, and an event that materially and adversely affects Windstream’s business, financial position or results of operations, including as a result of its recent petition for relief under Chapter 11 of the Bankruptcy Code, could materially and adversely affect our business, financial position or results of operations.</w:t>
      </w:r>
    </w:p>
    <w:p>
      <w:pPr>
        <w:spacing w:after="0" w:line="92"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Windstream is the lessee of the Distribution Systems pursuant to the Master Lease and, therefore, is presently the source of a substantial portion of our revenues. There can be no assurance that Windstream will have sufficient assets, income and access to financing to enable it to satisfy its payment and other obligations under the Master Lease. In recent years, Windstream has experienced annual declines in its total revenue, sales and cash flow. Prior to its bankruptcy filing, 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“debtor in possession” under supervision of the Bankruptcy Court.</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If our settlement with Windstream is not effectuated, then Windstream will have the option to assume or reject the Master Lease. Because the Master Lease is a single indivisible Master Lease 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 operations. A rejection of the Master Lease, or even a temporary disruption in payments to us, would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our debt service obligations, and otherwise affect our ability to maintain REIT status.</w:t>
      </w:r>
    </w:p>
    <w:p>
      <w:pPr>
        <w:spacing w:after="0" w:line="128"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In the event of a rejection of the Master Lease, we cannot assure you that we will be able to locate a suitable replacement tenant or if we are successful in locating a replacement tenant, that the rental payments from the new tenant would not be significantly less than the existing rental payments. In addition, a rejection of the Master Lease by Windstream could result in an “event of default” under our our credit agreement by and among the Operating Partnership, CSL Capital, LLC and Uniti Group Finance Inc., the guarantors and lenders party thereto and Bank of America, N.A., as administrative agent and collateral agent (the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 An acceleration of debt under our senior secured credit facilities due to an uncured “event of default” under our Credit Agreement would also result in an “event of default” under the terms of our outstanding notes. Such an “event of default” would give the holders of the applicable debt obligation the right to accelerate our repayment obligations relating to such debt, which would materially and adversely affect our consolidated results of operations, liquidity,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is substantial doubt about our ability to continue as a going concern.</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There is substantial doubt about our ability to continue as a going concern and in its opinion on our December 31, 2019 financial statements, PricewaterhouseCoopers LLP, our independent registered public accounting firm, expressed substantial doubt as to whether we could continue as a going concern within one year after the date the financial statements are issued as a result of Windstream’s bankruptcy petition, the bankruptcy’s uncertain effects on the Master Lease, and uncertainties surrounding the satisfaction of conditions required for our settlement with Windstream to be effectuated. Our financial statements do not include any adjustments that may result from the outcome of this uncertainty. While the outcome is uncertain, we expect Windstream will continue to perform on the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Master Lease and believe the probability of Windstream rejecting the lease in bankruptcy to be remote because the Master Lease is central to Windstream’s operations. We intend to continue our reduced capital expenditures and dividend and may seek external funding in order to sustain our operations until such time as the settlement is approved. If we do not succeed in raising such funds and reducing such expenditures and if Windstream elects to reject the Master Lease, we could experience a material adverse effect on our business and our stockholders may lose some or all of their investment in us. In addition, a failure to provide 2019 audited financial statements without a going concern opinion to the lenders under our Credit Agreement by March 30, 2020 would constitute a breach of the covenants of our Credit Agreement and, unless such default is waived by our lenders, would constitute an immediate event of default. If an event of default were to occur under our Credit Agreement, the Credit Agreement’s administrative agent could declare all outstanding loans immediately due and payable. Such an acceleration would trigger cross-default provisions within the indentures governing our senior notes and thereby entitle the trustee and noteholders to accelerate the repayment of the senior notes.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(the “Sixth Amendment”) to our Credit Agreement. The Sixth Amendment limits the ability of our non-guarantor subsidiaries to incur indebtedness and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 These restrictions are in addition to the restrictions set forth in the fourth amendment to our Credit Agreement, which generally limits our ability under the Credit Agreement to (i) prepay unsecured indebtedness and (ii) pay cash dividends in excess of 90% of our REIT taxable income, determined without regard to the dividends paid deduction and excluding any net capital gains. See “Item 7. Management’s Discussion and Analysis of Financial Condition and Results of Operations. — Significant Business Developments—Amendments to Credit Agreement.”</w:t>
      </w:r>
    </w:p>
    <w:p>
      <w:pPr>
        <w:spacing w:after="0" w:line="130" w:lineRule="exact"/>
        <w:rPr>
          <w:sz w:val="20"/>
          <w:szCs w:val="20"/>
          <w:color w:val="auto"/>
        </w:rPr>
      </w:pPr>
    </w:p>
    <w:p>
      <w:pPr>
        <w:ind w:right="440"/>
        <w:spacing w:after="0" w:line="379" w:lineRule="auto"/>
        <w:rPr>
          <w:sz w:val="20"/>
          <w:szCs w:val="20"/>
          <w:color w:val="auto"/>
        </w:rPr>
      </w:pPr>
      <w:r>
        <w:rPr>
          <w:rFonts w:ascii="Arial" w:cs="Arial" w:eastAsia="Arial" w:hAnsi="Arial"/>
          <w:sz w:val="10"/>
          <w:szCs w:val="10"/>
          <w:b w:val="1"/>
          <w:bCs w:val="1"/>
          <w:i w:val="1"/>
          <w:iCs w:val="1"/>
          <w:color w:val="auto"/>
        </w:rPr>
        <w:t>If the Spin-Off, together with certain related transactions, fails to qualify as a tax-free transaction for U.S. federal income tax purposes, both we and Windstream could be subject to significant tax liabilities and, in certain circumstances, we could be required to indemnify Windstream for material taxes pursuant to indemnification obligations under the tax matters agreement entered into in connection with the Spin-Off.</w:t>
      </w:r>
    </w:p>
    <w:p>
      <w:pPr>
        <w:spacing w:after="0" w:line="69"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Windstream received a private letter ruling (the “IRS Ruling”) from the Internal Revenue Service (the “IRS”) to the effect that, on the basis of certain facts presented and representations and assumptions set forth in the request submitted to the IRS, the Spin-Off will qualify as tax-free under Sections 355 and 368(a)(1)(D) of the Internal Revenue Code of 1986, as amended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and Windstream’s use of Uniti indebtedness and common stock to retire certain of Windstream’s indebtedness (the “debt exchanges”). Accordingly, the Spin-Off was conditioned upon the receipt by Windstream of a tax opinion from its counsel with respect to the requirements on which the IRS did not rule, which concluded that such requirements also should be satisfied. The tax opinion was based on, among other things, the IRS Ruling, then current law and certain representations and assumptions as to factual matters made by Windstream and us.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is not binding on the IRS or the courts, and the IRS or the courts may not agree with the tax opinion.</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If the Spin-Off were determined to be taxable, Windstream would recognize taxable gain. Under the terms of the tax matters agreement entered into with Windstream in connection with the Spin-Off (the “Tax Matters Agreement”),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220"/>
        <w:spacing w:after="0" w:line="260" w:lineRule="auto"/>
        <w:rPr>
          <w:sz w:val="20"/>
          <w:szCs w:val="20"/>
          <w:color w:val="auto"/>
        </w:rPr>
      </w:pPr>
      <w:r>
        <w:rPr>
          <w:rFonts w:ascii="Arial" w:cs="Arial" w:eastAsia="Arial" w:hAnsi="Arial"/>
          <w:sz w:val="12"/>
          <w:szCs w:val="12"/>
          <w:color w:val="auto"/>
        </w:rPr>
        <w:t>connection with the request for the IRS Ruling or the representations provided in connection with the tax opinion. Our indemnification obligations to Windstream are not limited by any maximum amount and such amounts could be substantial. If we are required to indemnify Windstream under the circumstances set forth in the Tax Matters Agreement, we may also be subject to substantial tax liabilities.</w:t>
      </w:r>
    </w:p>
    <w:p>
      <w:pPr>
        <w:spacing w:after="0" w:line="124"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In addition, if the Spin-Off or the debt exchanges failed to qualify as tax free for U.S. federal income tax purposes, Windstream may incur significant tax liabilities that could materially affect Windstream’s ability to make payments under the Master Lease.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As of December 31, 2019, we had outstanding long term indebtedness of approximately $4.6 billion consisting of a combination of senior notes and revolving and term loans. Additionally, we have a revolving credit facility provided by a syndicate of banks and other financial institutions, which, as of December 31, 2019, had an aggregate principal amount of up to approximately $575.0 million, substantially all of which was drawn.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 Please see “Management’s Discussion and Analysis of Financial Condition and Results of Operations—Liquidity and Capital Resources—Credit Agreement” for information about the terms of the limited waiver we received from the lenders to our Credit Agreement.</w:t>
      </w:r>
    </w:p>
    <w:p>
      <w:pPr>
        <w:spacing w:after="0" w:line="115"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In February 2020, the Operating Partnership and certain of its subsidiaries issued $2.25 billion aggregate principal amount of 7.875% senior secured notes due 2025 and used the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anticipate that we will have sufficient access to liquidity to fund our cash needs; if we are unable to do so, we would need to reduce our spending and it could have an adverse effect on us.</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We anticipate continuing to invest in our network infrastructure across our Uniti Leasing, Uniti Fiber and Uniti Towers portfolios. We anticipate declaring dividends for the 2020 tax year to comply with our REIT distribution requirements. We also will need to raise capital to finance our settlement, which includes growth capital investments, with Windstream, if implemented. We anticipate that we will partially finance these needs, together with operating expenses (including our debt service obligations) from our cash on hand, cash flows provided by operating activities, together with funds anticipated from announced divestures.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17" w:lineRule="exact"/>
        <w:rPr>
          <w:sz w:val="20"/>
          <w:szCs w:val="20"/>
          <w:color w:val="auto"/>
        </w:rPr>
      </w:pPr>
    </w:p>
    <w:p>
      <w:pPr>
        <w:jc w:val="center"/>
        <w:ind w:right="500"/>
        <w:spacing w:after="0"/>
        <w:rPr>
          <w:sz w:val="20"/>
          <w:szCs w:val="20"/>
          <w:color w:val="auto"/>
        </w:rPr>
      </w:pPr>
      <w:r>
        <w:rPr>
          <w:rFonts w:ascii="Arial" w:cs="Arial" w:eastAsia="Arial" w:hAnsi="Arial"/>
          <w:sz w:val="10"/>
          <w:szCs w:val="10"/>
          <w:color w:val="auto"/>
        </w:rPr>
        <w:t>In light of recent developments and uncertainty surrounding Windstream, if the settlement is not approved or Windstream does not emerge from bankruptcy, we may take further measures to conserve cash as we anticipate that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it may be difficult for us to access the capital markets at attractive rates until such uncertainty is clarified. Accordingly, we may elect to suspend, delay or reduce success-based capital expenditures and dividend payments to conserve cash and if necessary, we may pay one or more dividends that are required to maintain or REIT status in shares to the extent allowed under IRS REIT rules. If our assumptions are incorrect, we could need additional sources of liquidity to fund our cash needs and cannot assure that we will obtain them.</w:t>
      </w:r>
    </w:p>
    <w:p>
      <w:pPr>
        <w:spacing w:after="0" w:line="127"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We intend to pursue acquisitions of additional properties and seek acquisitions and other strategic opportunities. Accordingly, we currently are, and expect in the future to be, engaged in evaluating potential transactions and other strategic alternatives.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In light of recent developments and uncertainty surrounding Windstream, we may curtail our acquisition activities during the pendency of Windstream’s bankruptcy in an effort to conserve cash.</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62"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As the owner, lessor and provider of communications services and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Our business, and that of our tenants, is subject to federal, state and local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identified a material weakness in our internal control over financial reporting which could, if not remediated, result in material misstatements in our financial statements.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As further described in Item 9A of this report, in the course of completing our assessment of internal control over financial reporting as of December 31, 2019, management identified a material weakness in our internal control over financial reporting related to the accounting of asset acquisitions, specifically around the identification and valuation of the acquired assets. A “material weakness” is a deficiency, or a combination of deficiencies, in internal control over financial reporting, such that there is a reasonable possibility that a material misstatement of the annual or interim financial statements would not be prevented or detected on a timely basis. As a result, management has concluded that, because of this material weakness, our internal control over financial reporting and our disclosure controls and procedures were not effective as of December 31, 2019. If we fail to complete the remediation of this material weakness, or after having remediated such material weakness, thereafter fail to maintain the effectiveness of our internal control over financial reporting or our disclosure controls and procedures, we could be subjected to regulatory scrutiny, civil or criminal penalties or shareholder litigation, the defense of any of which could cause the diversion of management’s attention and resources, we could incur significant legal and other expenses, and we could be required to pay damages to settle such actions if any such actions were not resolved in our favor. Continued or future failure to maintain effective internal control over financial reporting could also result in financial statements that do not accurately reflect our financial condition or results of operations. There can be no assurance that we will not conclude in the future that this material weakness continues to exist or that we will not identify any significant deficiencies or other material weaknesses that will impair our ability to report our financial condition and results of operations accurately or on a timely basis.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determine that our goodwill has become impaired, we may incur impairment charges, which would negatively impact our operating results.</w:t>
      </w:r>
    </w:p>
    <w:p>
      <w:pPr>
        <w:spacing w:after="0" w:line="168"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At December 31, 2019, we had $690.7 million of goodwill on our consolidated balance sheet. Goodwill represents the excess of cost over the fair value of net assets acquired in business combinations. We assess potential impairment of our goodwill at least annually. Impairment may result from significant changes in the manner of use of the acquired assets, negative industry or economic trends and/or any changes in key assumptions regarding our fair value. Changes in these events and conditions or other assumptions could result in an impairment charge in the future, which could have a significant adverse impact on our reported earnings. For a discussion of our goodwill impairment testing, see “Critical Accounting Policies-Evaluation of Goodwill Impairment” in Part II, Item 7A-Management’s Discussion and Analysis of Financial Condition and Results of Operations.</w:t>
      </w:r>
    </w:p>
    <w:p>
      <w:pPr>
        <w:spacing w:after="0" w:line="111"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15" w:lineRule="exact"/>
        <w:rPr>
          <w:sz w:val="20"/>
          <w:szCs w:val="20"/>
          <w:color w:val="auto"/>
        </w:rPr>
      </w:pPr>
    </w:p>
    <w:p>
      <w:pPr>
        <w:ind w:right="60"/>
        <w:spacing w:after="0" w:line="289" w:lineRule="auto"/>
        <w:rPr>
          <w:sz w:val="20"/>
          <w:szCs w:val="20"/>
          <w:color w:val="auto"/>
        </w:rPr>
      </w:pPr>
      <w:r>
        <w:rPr>
          <w:rFonts w:ascii="Arial" w:cs="Arial" w:eastAsia="Arial" w:hAnsi="Arial"/>
          <w:sz w:val="11"/>
          <w:szCs w:val="11"/>
          <w:color w:val="auto"/>
        </w:rPr>
        <w:t>The Master Lease requires, and we expect that new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information technology in our operations, and any material failure, inadequacy, interruption or security failure of that technology could harm our business.</w:t>
      </w:r>
    </w:p>
    <w:p>
      <w:pPr>
        <w:spacing w:after="0" w:line="150"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both"/>
        <w:ind w:right="280"/>
        <w:spacing w:after="0" w:line="330" w:lineRule="auto"/>
        <w:rPr>
          <w:sz w:val="20"/>
          <w:szCs w:val="20"/>
          <w:color w:val="auto"/>
        </w:rPr>
      </w:pPr>
      <w:r>
        <w:rPr>
          <w:rFonts w:ascii="Arial" w:cs="Arial" w:eastAsia="Arial" w:hAnsi="Arial"/>
          <w:sz w:val="10"/>
          <w:szCs w:val="10"/>
          <w:color w:val="auto"/>
        </w:rPr>
        <w:t>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of Uniti Fiber’s physical infrastructure or services could lead to significant costs and disruptions.</w:t>
      </w:r>
    </w:p>
    <w:p>
      <w:pPr>
        <w:spacing w:after="0" w:line="150" w:lineRule="exact"/>
        <w:rPr>
          <w:sz w:val="20"/>
          <w:szCs w:val="20"/>
          <w:color w:val="auto"/>
        </w:rPr>
      </w:pPr>
    </w:p>
    <w:p>
      <w:pPr>
        <w:ind w:right="120"/>
        <w:spacing w:after="0" w:line="285" w:lineRule="auto"/>
        <w:rPr>
          <w:sz w:val="20"/>
          <w:szCs w:val="20"/>
          <w:color w:val="auto"/>
        </w:rPr>
      </w:pPr>
      <w:r>
        <w:rPr>
          <w:rFonts w:ascii="Arial" w:cs="Arial" w:eastAsia="Arial" w:hAnsi="Arial"/>
          <w:sz w:val="11"/>
          <w:szCs w:val="11"/>
          <w:color w:val="auto"/>
        </w:rPr>
        <w:t>Uniti Fiber’s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Uniti Fiber’s networks or facilities, whether within our control or the control of third-party providers, could result in service interruptions or equipment damage. We may not be able to efficiently upgrade or change Uniti Fiber’s networks or facilities to meet new demands without incurring significant costs that we may not be able to pass on to customers. Given the service guarantees that may be included in Uniti Fiber’s agreements with customers, such disruptions could result in customer credits; however, we cannot assume that customers will accept these credits as compensation in the future, and we may face additional liability or loss of customers.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Status of Uniti as a REIT</w:t>
      </w:r>
    </w:p>
    <w:p>
      <w:pPr>
        <w:spacing w:after="0" w:line="154"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spacing w:after="0" w:line="11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operate as a REIT for U.S. federal income tax purposes. Our qualification as a REIT will depend on our satisfaction of certain highly technical and complex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If we were to fail to qualify as a REIT in any taxable year, we would be subject to U.S. federal income tax on our taxable income at regular corporate rates and dividends paid to our stockholders would not be deductible by us in computing our taxable income.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124" w:lineRule="exact"/>
        <w:rPr>
          <w:sz w:val="20"/>
          <w:szCs w:val="20"/>
          <w:color w:val="auto"/>
        </w:rPr>
      </w:pPr>
    </w:p>
    <w:p>
      <w:pPr>
        <w:ind w:right="100"/>
        <w:spacing w:after="0" w:line="326" w:lineRule="auto"/>
        <w:rPr>
          <w:sz w:val="20"/>
          <w:szCs w:val="20"/>
          <w:color w:val="auto"/>
        </w:rPr>
      </w:pPr>
      <w:r>
        <w:rPr>
          <w:rFonts w:ascii="Arial" w:cs="Arial" w:eastAsia="Arial" w:hAnsi="Arial"/>
          <w:sz w:val="10"/>
          <w:szCs w:val="10"/>
          <w:color w:val="auto"/>
        </w:rPr>
        <w:t>In addition, as a result of the limited waiver and amendment to our Credit Agreement and our issuance of 7.875% senior secured notes in February 2020, (discussed in “Risks Related to Our Business”) our ability to make cash distributions to our shareholders in amounts exceeding 90% of our REIT taxable income, determined without regard to the dividends paid deduction and excluding any capital gains, generally will be restricted.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other actions affecting REITs could have a negative effect on us.</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affect our ability to remain qualified as a REIT, the federal income tax consequences of such qualification, the determination of the amount of REIT taxable income or the amount of tax paid by the TRSs.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fail to qualify as a REIT if income we receive from sale-leaseback transactions, such as income from Windstream pursuant to the Master Lease, is not treated as qualifying income.</w:t>
      </w:r>
    </w:p>
    <w:p>
      <w:pPr>
        <w:spacing w:after="0" w:line="15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Master Lease, is not respected as a true lease for U.S. federal income tax purposes, we may fail to qualify as a REIT.</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REIT distribution requirements could adversely affect our ability to execute our business plan, and we could elect to pay dividends substantially in the form of additional shares of our common stock.</w:t>
      </w:r>
    </w:p>
    <w:p>
      <w:pPr>
        <w:spacing w:after="0" w:line="162" w:lineRule="exact"/>
        <w:rPr>
          <w:sz w:val="20"/>
          <w:szCs w:val="20"/>
          <w:color w:val="auto"/>
        </w:rPr>
      </w:pPr>
    </w:p>
    <w:p>
      <w:pPr>
        <w:spacing w:after="0" w:line="310" w:lineRule="auto"/>
        <w:rPr>
          <w:sz w:val="20"/>
          <w:szCs w:val="20"/>
          <w:color w:val="auto"/>
        </w:rPr>
      </w:pPr>
      <w:r>
        <w:rPr>
          <w:rFonts w:ascii="Arial" w:cs="Arial" w:eastAsia="Arial" w:hAnsi="Arial"/>
          <w:sz w:val="10"/>
          <w:szCs w:val="10"/>
          <w:color w:val="auto"/>
        </w:rPr>
        <w:t>We generally must qualify as a REIT and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We currently intend to make distributions to our stockholders to comply with the REIT requirements of the Code. However, as indicated in the risk factors above, as a result of recent developments surrounding Windstream, we may suspend, delay or reduce our dividend to conserve cash, and during the pendency of Windstream’s bankruptcy (discussed in “Risks Related to Our Business”), our ability to make cash distributions to our shareholders in amounts exceeding 90% of our REIT taxable income, determined without regard to the dividends paid deduction and excluding any net capital gains, generally will be restricted.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Our FFO is currently generated largely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developments surrounding Windstream could adversely affect our ability to continue to qualify as a REIT.</w:t>
      </w:r>
    </w:p>
    <w:p>
      <w:pPr>
        <w:spacing w:after="0" w:line="150" w:lineRule="exact"/>
        <w:rPr>
          <w:sz w:val="20"/>
          <w:szCs w:val="20"/>
          <w:color w:val="auto"/>
        </w:rPr>
      </w:pPr>
    </w:p>
    <w:p>
      <w:pPr>
        <w:ind w:right="520"/>
        <w:spacing w:after="0" w:line="323" w:lineRule="auto"/>
        <w:rPr>
          <w:sz w:val="20"/>
          <w:szCs w:val="20"/>
          <w:color w:val="auto"/>
        </w:rPr>
      </w:pPr>
      <w:r>
        <w:rPr>
          <w:rFonts w:ascii="Arial" w:cs="Arial" w:eastAsia="Arial" w:hAnsi="Arial"/>
          <w:sz w:val="11"/>
          <w:szCs w:val="11"/>
          <w:color w:val="auto"/>
        </w:rPr>
        <w:t>In addition to satisfying the distribution requirement described above in the immediately preceding risk factor, we must satisfy a number of other requirements in order to qualify as a REIT. Recent developments surrounding Windstream, as described in “Risks Related to Our Business”, could adversely affect our ability to satisfy several of these requirements and thus our ability to continue to qualify as a REIT.</w:t>
      </w:r>
    </w:p>
    <w:p>
      <w:pPr>
        <w:spacing w:after="0" w:line="92" w:lineRule="exact"/>
        <w:rPr>
          <w:sz w:val="20"/>
          <w:szCs w:val="20"/>
          <w:color w:val="auto"/>
        </w:rPr>
      </w:pPr>
    </w:p>
    <w:p>
      <w:pPr>
        <w:jc w:val="center"/>
        <w:ind w:right="380"/>
        <w:spacing w:after="0"/>
        <w:rPr>
          <w:sz w:val="20"/>
          <w:szCs w:val="20"/>
          <w:color w:val="auto"/>
        </w:rPr>
      </w:pPr>
      <w:r>
        <w:rPr>
          <w:rFonts w:ascii="Arial" w:cs="Arial" w:eastAsia="Arial" w:hAnsi="Arial"/>
          <w:sz w:val="10"/>
          <w:szCs w:val="10"/>
          <w:color w:val="auto"/>
        </w:rPr>
        <w:t>For example, in order to qualify as a REIT for any year, at the end of each calendar quarter, at least 75% of the value of our assets must consist of cash, cash items, government securities and “real estate assets” (as defined in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40"/>
        <w:spacing w:after="0" w:line="250" w:lineRule="auto"/>
        <w:rPr>
          <w:sz w:val="20"/>
          <w:szCs w:val="20"/>
          <w:color w:val="auto"/>
        </w:rPr>
      </w:pPr>
      <w:r>
        <w:rPr>
          <w:rFonts w:ascii="Arial" w:cs="Arial" w:eastAsia="Arial" w:hAnsi="Arial"/>
          <w:sz w:val="12"/>
          <w:szCs w:val="12"/>
          <w:color w:val="auto"/>
        </w:rPr>
        <w:t>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Our ability to satisfy these requirements depends in substantial part on the value of the assets that are the subject of the Master Lease with Windstream, and any diminution in the value of such assets, including as a result of any diminution in the implied value of the Master Lease as a result of changes in the financial condition or creditworthiness of Windstream, Windstream’s rejection of the Master Lease in bankruptcy, the recharacterization of the Master Lease as a “financing arrangement” or Windstream’s inability or unwillingness to meet its rent and other obligations under the Master Lease, could adversely affect our ability to satisfy these requirements at the end of any calendar quarter, and there can be no assurance that we would be able to timely correct any such failure or otherwise qualify for any statutory relief provision. See “—Risks Related to Our Business—We are dependent on Windstream Holdings to make payments to us under the Master Lease, and an event that materially and adversely affects Windstream’s business, financial</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2"/>
          <w:szCs w:val="12"/>
          <w:color w:val="auto"/>
        </w:rPr>
        <w:t>position or results of operations, including as a result of its recent petition for relief under Chapter 11 of the Bankruptcy Code, could materially and adversely affect our business, financial position or results of operations.” In addition, under applicable provisions of the Code, we will not be treated as a REIT for any year unless we satisfy various requirements, including requirements relating to the sources of our gross income in such year. Our ability to satisfy these gross income tests depends in substantial part on our receipt of rents paid under the Master Lease. The rejection by Windstream of the Master Lease, the recharacterization of the Master Lease as a “financing arrangement”, Windstream’s inability or unwillingness to meet its rent and other obligations under the Master Lease, or any suspension, delay or other reduction in the amount of rent that we receive under the Master Lease could adversely affect our ability to qualify as a REIT.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remain qualified as a REIT, we may face other tax liabilities that reduce our cash flow.</w:t>
      </w:r>
    </w:p>
    <w:p>
      <w:pPr>
        <w:spacing w:after="0" w:line="15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the REIT requirements may cause us to forego otherwise attractive acquisition opportunities.</w:t>
      </w:r>
    </w:p>
    <w:p>
      <w:pPr>
        <w:spacing w:after="0" w:line="150" w:lineRule="exact"/>
        <w:rPr>
          <w:sz w:val="20"/>
          <w:szCs w:val="20"/>
          <w:color w:val="auto"/>
        </w:rPr>
      </w:pPr>
    </w:p>
    <w:p>
      <w:pPr>
        <w:ind w:right="140"/>
        <w:spacing w:after="0" w:line="313" w:lineRule="auto"/>
        <w:rPr>
          <w:sz w:val="20"/>
          <w:szCs w:val="20"/>
          <w:color w:val="auto"/>
        </w:rPr>
      </w:pPr>
      <w:r>
        <w:rPr>
          <w:rFonts w:ascii="Arial" w:cs="Arial" w:eastAsia="Arial" w:hAnsi="Arial"/>
          <w:sz w:val="10"/>
          <w:szCs w:val="10"/>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guarantee our ability to pay dividends in the future.</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To qualify as a REIT, our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ensure that we will achieve investment results that will allow us to make a specified level of cash dividends or year-to-year increases in cash dividends in the future. As a result of recent actions related to Windstream, as set forth in “Risks Related to Our Business”, we may choose to reduce or suspend our dividend for a period of time until the situation is clarified. Moreover, during the pendency of Windstream’s bankruptcy (discussed in “Risks Related to Our Business” and “Risks Related to the Status of Uniti as a REIT”), our ability to make cash distributions to our shareholders in amounts exceeding 90% of our REIT taxable income, determined without regard to the dividends paid deduction and excluding any net capital gains, generally will be restricted.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spacing w:after="0" w:line="133"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Furthermore, while we are required to pay dividends in order to maintain our REIT status (as described above under “Risks Related to the Status of Uniti as a REIT—REIT distribution requirements could adversely affect our ability to execute our business plan”),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and trading volume of our common stock may fluctuate widely.</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cannot predict the prices at which our common stock may trade. The market price of our common stock has fluctuated significantly since February 15, 2019 and may continue to fluctuate significantly, depending upon many factors, some of which may be beyond our control, including the collateral consequences that have resulted, or could result, from Windstream’s bankruptcy.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50" w:lineRule="exact"/>
        <w:rPr>
          <w:sz w:val="20"/>
          <w:szCs w:val="20"/>
          <w:color w:val="auto"/>
        </w:rPr>
      </w:pPr>
    </w:p>
    <w:p>
      <w:pPr>
        <w:ind w:right="20"/>
        <w:spacing w:after="0" w:line="316" w:lineRule="auto"/>
        <w:rPr>
          <w:sz w:val="20"/>
          <w:szCs w:val="20"/>
          <w:color w:val="auto"/>
        </w:rPr>
      </w:pPr>
      <w:r>
        <w:rPr>
          <w:rFonts w:ascii="Arial" w:cs="Arial" w:eastAsia="Arial" w:hAnsi="Arial"/>
          <w:sz w:val="10"/>
          <w:szCs w:val="10"/>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 w:name="page25"/>
    <w:bookmarkEnd w:id="2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ind w:left="8" w:right="300"/>
        <w:spacing w:after="0" w:line="276" w:lineRule="auto"/>
        <w:rPr>
          <w:sz w:val="20"/>
          <w:szCs w:val="20"/>
          <w:color w:val="auto"/>
        </w:rPr>
      </w:pPr>
      <w:r>
        <w:rPr>
          <w:rFonts w:ascii="Arial" w:cs="Arial" w:eastAsia="Arial" w:hAnsi="Arial"/>
          <w:sz w:val="12"/>
          <w:szCs w:val="12"/>
          <w:color w:val="auto"/>
        </w:rPr>
        <w:t>Uniti and its subsidiaries own or lease approximately 120,000 fiber network route miles, representing approximately 6.3 million fiber strand miles, approximately 229,500 route miles of copper cable lines, wireless communication towers, central office land and buildings across 42 states and beneficial rights to permits, pole agreements and easements.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Leasing Segment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Uniti Leasing’s network properties include its fiber route miles and copper route miles. Below is a geographic distribution summary as of December 31, 2019:</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78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240" w:type="dxa"/>
            <w:vAlign w:val="bottom"/>
          </w:tcPr>
          <w:p>
            <w:pPr>
              <w:ind w:left="440"/>
              <w:spacing w:after="0"/>
              <w:rPr>
                <w:sz w:val="20"/>
                <w:szCs w:val="20"/>
                <w:color w:val="auto"/>
              </w:rPr>
            </w:pPr>
            <w:r>
              <w:rPr>
                <w:rFonts w:ascii="Arial" w:cs="Arial" w:eastAsia="Arial" w:hAnsi="Arial"/>
                <w:sz w:val="10"/>
                <w:szCs w:val="10"/>
                <w:b w:val="1"/>
                <w:bCs w:val="1"/>
                <w:color w:val="auto"/>
                <w:w w:val="93"/>
              </w:rPr>
              <w:t>Fiber Route Miles</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ind w:left="400"/>
              <w:spacing w:after="0"/>
              <w:rPr>
                <w:sz w:val="20"/>
                <w:szCs w:val="20"/>
                <w:color w:val="auto"/>
              </w:rPr>
            </w:pPr>
            <w:r>
              <w:rPr>
                <w:rFonts w:ascii="Arial" w:cs="Arial" w:eastAsia="Arial" w:hAnsi="Arial"/>
                <w:sz w:val="10"/>
                <w:szCs w:val="10"/>
                <w:b w:val="1"/>
                <w:bCs w:val="1"/>
                <w:color w:val="auto"/>
                <w:w w:val="85"/>
              </w:rPr>
              <w:t>Copper Route Miles</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gridSpan w:val="2"/>
          </w:tcPr>
          <w:p>
            <w:pPr>
              <w:ind w:left="460"/>
              <w:spacing w:after="0"/>
              <w:rPr>
                <w:sz w:val="20"/>
                <w:szCs w:val="20"/>
                <w:color w:val="auto"/>
              </w:rPr>
            </w:pPr>
            <w:r>
              <w:rPr>
                <w:rFonts w:ascii="Arial" w:cs="Arial" w:eastAsia="Arial" w:hAnsi="Arial"/>
                <w:sz w:val="10"/>
                <w:szCs w:val="10"/>
                <w:b w:val="1"/>
                <w:bCs w:val="1"/>
                <w:color w:val="auto"/>
              </w:rPr>
              <w:t>Total Route Miles</w:t>
            </w:r>
          </w:p>
        </w:tc>
      </w:tr>
      <w:tr>
        <w:trPr>
          <w:trHeight w:val="151"/>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GA</w:t>
            </w:r>
          </w:p>
        </w:tc>
        <w:tc>
          <w:tcPr>
            <w:tcW w:w="12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9,800</w:t>
            </w:r>
          </w:p>
        </w:tc>
        <w:tc>
          <w:tcPr>
            <w:tcW w:w="280" w:type="dxa"/>
            <w:vAlign w:val="bottom"/>
            <w:tcBorders>
              <w:top w:val="single" w:sz="8" w:color="CFF0FC"/>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45,000</w:t>
            </w:r>
          </w:p>
        </w:tc>
        <w:tc>
          <w:tcPr>
            <w:tcW w:w="260" w:type="dxa"/>
            <w:vAlign w:val="bottom"/>
            <w:tcBorders>
              <w:top w:val="single" w:sz="8" w:color="CFF0FC"/>
            </w:tcBorders>
            <w:shd w:val="clear" w:color="auto" w:fill="CFF0FC"/>
          </w:tcPr>
          <w:p>
            <w:pPr>
              <w:spacing w:after="0"/>
              <w:rPr>
                <w:sz w:val="13"/>
                <w:szCs w:val="13"/>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54,800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TX</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9,800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39,000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48,800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IA</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31,500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KY</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8,000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32,000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40,000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IL</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MO</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6,300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10,800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17,100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NC</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18,100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22,600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AR</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3,600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13,400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17,000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OH</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10,400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IN</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2,600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2,600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WI</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FL</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2,100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8,300</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10,400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MI</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CA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1,800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1,800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OK</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12,000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PA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1,300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TN</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VA</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1,100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NM</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5,100</w:t>
            </w:r>
          </w:p>
        </w:tc>
        <w:tc>
          <w:tcPr>
            <w:tcW w:w="2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2"/>
                <w:szCs w:val="12"/>
                <w:color w:val="auto"/>
              </w:rPr>
              <w:t>WV</w:t>
            </w:r>
          </w:p>
        </w:tc>
        <w:tc>
          <w:tcPr>
            <w:tcW w:w="1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900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900</w:t>
            </w:r>
          </w:p>
        </w:tc>
        <w:tc>
          <w:tcPr>
            <w:tcW w:w="120" w:type="dxa"/>
            <w:vAlign w:val="bottom"/>
          </w:tcPr>
          <w:p>
            <w:pPr>
              <w:spacing w:after="0"/>
              <w:rPr>
                <w:sz w:val="14"/>
                <w:szCs w:val="14"/>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KS</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120" w:type="dxa"/>
            <w:vAlign w:val="bottom"/>
            <w:shd w:val="clear" w:color="auto" w:fill="CFF0FC"/>
          </w:tcPr>
          <w:p>
            <w:pPr>
              <w:spacing w:after="0"/>
              <w:rPr>
                <w:sz w:val="14"/>
                <w:szCs w:val="14"/>
                <w:color w:val="auto"/>
              </w:rPr>
            </w:pPr>
          </w:p>
        </w:tc>
      </w:tr>
      <w:tr>
        <w:trPr>
          <w:trHeight w:val="162"/>
        </w:trPr>
        <w:tc>
          <w:tcPr>
            <w:tcW w:w="5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5,200</w:t>
            </w:r>
          </w:p>
        </w:tc>
        <w:tc>
          <w:tcPr>
            <w:tcW w:w="28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3,900</w:t>
            </w:r>
          </w:p>
        </w:tc>
        <w:tc>
          <w:tcPr>
            <w:tcW w:w="26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9,100</w:t>
            </w:r>
          </w:p>
        </w:tc>
        <w:tc>
          <w:tcPr>
            <w:tcW w:w="120" w:type="dxa"/>
            <w:vAlign w:val="bottom"/>
            <w:tcBorders>
              <w:bottom w:val="single" w:sz="8" w:color="CFF0FC"/>
            </w:tcBorders>
          </w:tcPr>
          <w:p>
            <w:pPr>
              <w:spacing w:after="0"/>
              <w:rPr>
                <w:sz w:val="14"/>
                <w:szCs w:val="14"/>
                <w:color w:val="auto"/>
              </w:rPr>
            </w:pPr>
          </w:p>
        </w:tc>
      </w:tr>
      <w:tr>
        <w:trPr>
          <w:trHeight w:val="151"/>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12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84,100</w:t>
            </w:r>
          </w:p>
        </w:tc>
        <w:tc>
          <w:tcPr>
            <w:tcW w:w="2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2"/>
              </w:rPr>
              <w:t>229,500</w:t>
            </w:r>
          </w:p>
        </w:tc>
        <w:tc>
          <w:tcPr>
            <w:tcW w:w="26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313,600</w:t>
            </w:r>
          </w:p>
        </w:tc>
        <w:tc>
          <w:tcPr>
            <w:tcW w:w="120" w:type="dxa"/>
            <w:vAlign w:val="bottom"/>
            <w:shd w:val="clear" w:color="auto" w:fill="CFF0FC"/>
          </w:tcPr>
          <w:p>
            <w:pPr>
              <w:spacing w:after="0"/>
              <w:rPr>
                <w:sz w:val="13"/>
                <w:szCs w:val="13"/>
                <w:color w:val="auto"/>
              </w:rPr>
            </w:pPr>
          </w:p>
        </w:tc>
      </w:tr>
    </w:tbl>
    <w:p>
      <w:pPr>
        <w:spacing w:after="0" w:line="9" w:lineRule="exact"/>
        <w:rPr>
          <w:sz w:val="20"/>
          <w:szCs w:val="20"/>
          <w:color w:val="auto"/>
        </w:rPr>
      </w:pPr>
    </w:p>
    <w:p>
      <w:pPr>
        <w:ind w:left="148" w:hanging="148"/>
        <w:spacing w:after="0"/>
        <w:tabs>
          <w:tab w:leader="none" w:pos="148" w:val="left"/>
        </w:tabs>
        <w:numPr>
          <w:ilvl w:val="0"/>
          <w:numId w:val="5"/>
        </w:numPr>
        <w:rPr>
          <w:rFonts w:ascii="Arial" w:cs="Arial" w:eastAsia="Arial" w:hAnsi="Arial"/>
          <w:sz w:val="10"/>
          <w:szCs w:val="10"/>
          <w:color w:val="auto"/>
        </w:rPr>
      </w:pPr>
      <w:r>
        <w:rPr>
          <w:rFonts w:ascii="Arial" w:cs="Arial" w:eastAsia="Arial" w:hAnsi="Arial"/>
          <w:sz w:val="12"/>
          <w:szCs w:val="12"/>
          <w:color w:val="auto"/>
        </w:rPr>
        <w:t>Includes 12 states.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Fiber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Uniti Fiber’s network properties include its fiber route miles. Below is a geographic distribution summary as of December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54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Fiber Route Miles</w:t>
            </w:r>
          </w:p>
        </w:tc>
      </w:tr>
      <w:tr>
        <w:trPr>
          <w:trHeight w:val="142"/>
        </w:trPr>
        <w:tc>
          <w:tcPr>
            <w:tcW w:w="9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FL</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6,200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GA</w:t>
            </w:r>
          </w:p>
        </w:tc>
        <w:tc>
          <w:tcPr>
            <w:tcW w:w="1640" w:type="dxa"/>
            <w:vAlign w:val="bottom"/>
          </w:tcPr>
          <w:p>
            <w:pPr>
              <w:jc w:val="right"/>
              <w:spacing w:after="0"/>
              <w:rPr>
                <w:sz w:val="20"/>
                <w:szCs w:val="20"/>
                <w:color w:val="auto"/>
              </w:rPr>
            </w:pPr>
            <w:r>
              <w:rPr>
                <w:rFonts w:ascii="Arial" w:cs="Arial" w:eastAsia="Arial" w:hAnsi="Arial"/>
                <w:sz w:val="12"/>
                <w:szCs w:val="12"/>
                <w:color w:val="auto"/>
              </w:rPr>
              <w:t>5,800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LA</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5,600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PA</w:t>
            </w:r>
          </w:p>
        </w:tc>
        <w:tc>
          <w:tcPr>
            <w:tcW w:w="1640" w:type="dxa"/>
            <w:vAlign w:val="bottom"/>
          </w:tcPr>
          <w:p>
            <w:pPr>
              <w:jc w:val="right"/>
              <w:spacing w:after="0"/>
              <w:rPr>
                <w:sz w:val="20"/>
                <w:szCs w:val="20"/>
                <w:color w:val="auto"/>
              </w:rPr>
            </w:pPr>
            <w:r>
              <w:rPr>
                <w:rFonts w:ascii="Arial" w:cs="Arial" w:eastAsia="Arial" w:hAnsi="Arial"/>
                <w:sz w:val="12"/>
                <w:szCs w:val="12"/>
                <w:color w:val="auto"/>
              </w:rPr>
              <w:t>4,500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AL</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MS</w:t>
            </w:r>
          </w:p>
        </w:tc>
        <w:tc>
          <w:tcPr>
            <w:tcW w:w="1640" w:type="dxa"/>
            <w:vAlign w:val="bottom"/>
          </w:tcPr>
          <w:p>
            <w:pPr>
              <w:jc w:val="right"/>
              <w:spacing w:after="0"/>
              <w:rPr>
                <w:sz w:val="20"/>
                <w:szCs w:val="20"/>
                <w:color w:val="auto"/>
              </w:rPr>
            </w:pPr>
            <w:r>
              <w:rPr>
                <w:rFonts w:ascii="Arial" w:cs="Arial" w:eastAsia="Arial" w:hAnsi="Arial"/>
                <w:sz w:val="12"/>
                <w:szCs w:val="12"/>
                <w:color w:val="auto"/>
              </w:rPr>
              <w:t>2,800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VA</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NY</w:t>
            </w:r>
          </w:p>
        </w:tc>
        <w:tc>
          <w:tcPr>
            <w:tcW w:w="1640" w:type="dxa"/>
            <w:vAlign w:val="bottom"/>
          </w:tcPr>
          <w:p>
            <w:pPr>
              <w:jc w:val="right"/>
              <w:spacing w:after="0"/>
              <w:rPr>
                <w:sz w:val="20"/>
                <w:szCs w:val="20"/>
                <w:color w:val="auto"/>
              </w:rPr>
            </w:pPr>
            <w:r>
              <w:rPr>
                <w:rFonts w:ascii="Arial" w:cs="Arial" w:eastAsia="Arial" w:hAnsi="Arial"/>
                <w:sz w:val="12"/>
                <w:szCs w:val="12"/>
                <w:color w:val="auto"/>
              </w:rPr>
              <w:t>1,500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TX</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NJ</w:t>
            </w:r>
          </w:p>
        </w:tc>
        <w:tc>
          <w:tcPr>
            <w:tcW w:w="1640" w:type="dxa"/>
            <w:vAlign w:val="bottom"/>
          </w:tcPr>
          <w:p>
            <w:pPr>
              <w:jc w:val="right"/>
              <w:spacing w:after="0"/>
              <w:rPr>
                <w:sz w:val="20"/>
                <w:szCs w:val="20"/>
                <w:color w:val="auto"/>
              </w:rPr>
            </w:pPr>
            <w:r>
              <w:rPr>
                <w:rFonts w:ascii="Arial" w:cs="Arial" w:eastAsia="Arial" w:hAnsi="Arial"/>
                <w:sz w:val="12"/>
                <w:szCs w:val="12"/>
                <w:color w:val="auto"/>
              </w:rPr>
              <w:t>800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120" w:type="dxa"/>
            <w:vAlign w:val="bottom"/>
            <w:shd w:val="clear" w:color="auto" w:fill="CFF0FC"/>
          </w:tcPr>
          <w:p>
            <w:pPr>
              <w:spacing w:after="0"/>
              <w:rPr>
                <w:sz w:val="13"/>
                <w:szCs w:val="13"/>
                <w:color w:val="auto"/>
              </w:rPr>
            </w:pPr>
          </w:p>
        </w:tc>
      </w:tr>
      <w:tr>
        <w:trPr>
          <w:trHeight w:val="142"/>
        </w:trPr>
        <w:tc>
          <w:tcPr>
            <w:tcW w:w="9540" w:type="dxa"/>
            <w:vAlign w:val="bottom"/>
          </w:tcPr>
          <w:p>
            <w:pPr>
              <w:spacing w:after="0"/>
              <w:rPr>
                <w:sz w:val="20"/>
                <w:szCs w:val="20"/>
                <w:color w:val="auto"/>
              </w:rPr>
            </w:pPr>
            <w:r>
              <w:rPr>
                <w:rFonts w:ascii="Arial" w:cs="Arial" w:eastAsia="Arial" w:hAnsi="Arial"/>
                <w:sz w:val="12"/>
                <w:szCs w:val="12"/>
                <w:color w:val="auto"/>
              </w:rPr>
              <w:t>Total</w:t>
            </w:r>
          </w:p>
        </w:tc>
        <w:tc>
          <w:tcPr>
            <w:tcW w:w="1640" w:type="dxa"/>
            <w:vAlign w:val="bottom"/>
          </w:tcPr>
          <w:p>
            <w:pPr>
              <w:jc w:val="right"/>
              <w:spacing w:after="0"/>
              <w:rPr>
                <w:sz w:val="20"/>
                <w:szCs w:val="20"/>
                <w:color w:val="auto"/>
              </w:rPr>
            </w:pPr>
            <w:r>
              <w:rPr>
                <w:rFonts w:ascii="Arial" w:cs="Arial" w:eastAsia="Arial" w:hAnsi="Arial"/>
                <w:sz w:val="12"/>
                <w:szCs w:val="12"/>
                <w:color w:val="auto"/>
              </w:rPr>
              <w:t>35,600</w:t>
            </w:r>
          </w:p>
        </w:tc>
        <w:tc>
          <w:tcPr>
            <w:tcW w:w="120" w:type="dxa"/>
            <w:vAlign w:val="bottom"/>
          </w:tcPr>
          <w:p>
            <w:pPr>
              <w:spacing w:after="0"/>
              <w:rPr>
                <w:sz w:val="12"/>
                <w:szCs w:val="12"/>
                <w:color w:val="auto"/>
              </w:rPr>
            </w:pPr>
          </w:p>
        </w:tc>
      </w:tr>
      <w:tr>
        <w:trPr>
          <w:trHeight w:val="162"/>
        </w:trPr>
        <w:tc>
          <w:tcPr>
            <w:tcW w:w="954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1"/>
                <w:szCs w:val="11"/>
                <w:color w:val="auto"/>
              </w:rPr>
              <w:t>Includes 5 states.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88"/>
        </w:trPr>
        <w:tc>
          <w:tcPr>
            <w:tcW w:w="9540" w:type="dxa"/>
            <w:vAlign w:val="bottom"/>
          </w:tcPr>
          <w:p>
            <w:pPr>
              <w:spacing w:after="0"/>
              <w:rPr>
                <w:sz w:val="20"/>
                <w:szCs w:val="20"/>
                <w:color w:val="auto"/>
              </w:rPr>
            </w:pPr>
            <w:r>
              <w:rPr>
                <w:rFonts w:ascii="Arial" w:cs="Arial" w:eastAsia="Arial" w:hAnsi="Arial"/>
                <w:sz w:val="12"/>
                <w:szCs w:val="12"/>
                <w:b w:val="1"/>
                <w:bCs w:val="1"/>
                <w:i w:val="1"/>
                <w:iCs w:val="1"/>
                <w:color w:val="auto"/>
              </w:rPr>
              <w:t>Towers Segment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9540" w:type="dxa"/>
            <w:vAlign w:val="bottom"/>
          </w:tcPr>
          <w:p>
            <w:pPr>
              <w:spacing w:after="0"/>
              <w:rPr>
                <w:sz w:val="20"/>
                <w:szCs w:val="20"/>
                <w:color w:val="auto"/>
              </w:rPr>
            </w:pPr>
            <w:r>
              <w:rPr>
                <w:rFonts w:ascii="Arial" w:cs="Arial" w:eastAsia="Arial" w:hAnsi="Arial"/>
                <w:sz w:val="12"/>
                <w:szCs w:val="12"/>
                <w:color w:val="auto"/>
              </w:rPr>
              <w:t>Uniti Towers’ network properties include its wireless communication towers. Below is a geographic distribution summary as of December 31, 2019:</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2"/>
        </w:trPr>
        <w:tc>
          <w:tcPr>
            <w:tcW w:w="9540" w:type="dxa"/>
            <w:vAlign w:val="bottom"/>
          </w:tcPr>
          <w:p>
            <w:pPr>
              <w:spacing w:after="0"/>
              <w:rPr>
                <w:sz w:val="20"/>
                <w:szCs w:val="20"/>
                <w:color w:val="auto"/>
              </w:rPr>
            </w:pPr>
            <w:r>
              <w:rPr>
                <w:rFonts w:ascii="Arial" w:cs="Arial" w:eastAsia="Arial" w:hAnsi="Arial"/>
                <w:sz w:val="10"/>
                <w:szCs w:val="10"/>
                <w:b w:val="1"/>
                <w:bCs w:val="1"/>
                <w:color w:val="auto"/>
              </w:rPr>
              <w:t>Location</w:t>
            </w:r>
          </w:p>
        </w:tc>
        <w:tc>
          <w:tcPr>
            <w:tcW w:w="1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79"/>
              </w:rPr>
              <w:t>Towers</w:t>
            </w:r>
          </w:p>
        </w:tc>
      </w:tr>
      <w:tr>
        <w:trPr>
          <w:trHeight w:val="142"/>
        </w:trPr>
        <w:tc>
          <w:tcPr>
            <w:tcW w:w="9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LA</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TX</w:t>
            </w:r>
          </w:p>
        </w:tc>
        <w:tc>
          <w:tcPr>
            <w:tcW w:w="1640" w:type="dxa"/>
            <w:vAlign w:val="bottom"/>
          </w:tcPr>
          <w:p>
            <w:pPr>
              <w:jc w:val="right"/>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AR</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IL</w:t>
            </w:r>
          </w:p>
        </w:tc>
        <w:tc>
          <w:tcPr>
            <w:tcW w:w="164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AL</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WI</w:t>
            </w:r>
          </w:p>
        </w:tc>
        <w:tc>
          <w:tcPr>
            <w:tcW w:w="164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MS</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KY</w:t>
            </w:r>
          </w:p>
        </w:tc>
        <w:tc>
          <w:tcPr>
            <w:tcW w:w="164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GA</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MO</w:t>
            </w:r>
          </w:p>
        </w:tc>
        <w:tc>
          <w:tcPr>
            <w:tcW w:w="164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NM</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OK</w:t>
            </w:r>
          </w:p>
        </w:tc>
        <w:tc>
          <w:tcPr>
            <w:tcW w:w="164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TN</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NE</w:t>
            </w:r>
          </w:p>
        </w:tc>
        <w:tc>
          <w:tcPr>
            <w:tcW w:w="164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OH</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MN</w:t>
            </w:r>
          </w:p>
        </w:tc>
        <w:tc>
          <w:tcPr>
            <w:tcW w:w="164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KS</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PA</w:t>
            </w:r>
          </w:p>
        </w:tc>
        <w:tc>
          <w:tcPr>
            <w:tcW w:w="164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SC</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IN</w:t>
            </w:r>
          </w:p>
        </w:tc>
        <w:tc>
          <w:tcPr>
            <w:tcW w:w="16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NC</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2"/>
                <w:szCs w:val="12"/>
                <w:color w:val="auto"/>
              </w:rPr>
              <w:t>NY</w:t>
            </w:r>
          </w:p>
        </w:tc>
        <w:tc>
          <w:tcPr>
            <w:tcW w:w="16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r>
      <w:tr>
        <w:trPr>
          <w:trHeight w:val="153"/>
        </w:trPr>
        <w:tc>
          <w:tcPr>
            <w:tcW w:w="9540" w:type="dxa"/>
            <w:vAlign w:val="bottom"/>
            <w:shd w:val="clear" w:color="auto" w:fill="CFF0FC"/>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10"/>
                <w:szCs w:val="10"/>
                <w:color w:val="auto"/>
              </w:rPr>
              <w:t>(1)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3"/>
                <w:szCs w:val="13"/>
                <w:color w:val="auto"/>
              </w:rPr>
            </w:pPr>
          </w:p>
        </w:tc>
      </w:tr>
      <w:tr>
        <w:trPr>
          <w:trHeight w:val="142"/>
        </w:trPr>
        <w:tc>
          <w:tcPr>
            <w:tcW w:w="9540" w:type="dxa"/>
            <w:vAlign w:val="bottom"/>
          </w:tcPr>
          <w:p>
            <w:pPr>
              <w:spacing w:after="0"/>
              <w:rPr>
                <w:sz w:val="20"/>
                <w:szCs w:val="20"/>
                <w:color w:val="auto"/>
              </w:rPr>
            </w:pPr>
            <w:r>
              <w:rPr>
                <w:rFonts w:ascii="Arial" w:cs="Arial" w:eastAsia="Arial" w:hAnsi="Arial"/>
                <w:sz w:val="12"/>
                <w:szCs w:val="12"/>
                <w:color w:val="auto"/>
              </w:rPr>
              <w:t>Total</w:t>
            </w:r>
          </w:p>
        </w:tc>
        <w:tc>
          <w:tcPr>
            <w:tcW w:w="1640" w:type="dxa"/>
            <w:vAlign w:val="bottom"/>
          </w:tcPr>
          <w:p>
            <w:pPr>
              <w:jc w:val="right"/>
              <w:spacing w:after="0"/>
              <w:rPr>
                <w:sz w:val="20"/>
                <w:szCs w:val="20"/>
                <w:color w:val="auto"/>
              </w:rPr>
            </w:pPr>
            <w:r>
              <w:rPr>
                <w:rFonts w:ascii="Arial" w:cs="Arial" w:eastAsia="Arial" w:hAnsi="Arial"/>
                <w:sz w:val="12"/>
                <w:szCs w:val="12"/>
                <w:color w:val="auto"/>
              </w:rPr>
              <w:t>672</w:t>
            </w:r>
          </w:p>
        </w:tc>
        <w:tc>
          <w:tcPr>
            <w:tcW w:w="120" w:type="dxa"/>
            <w:vAlign w:val="bottom"/>
          </w:tcPr>
          <w:p>
            <w:pPr>
              <w:spacing w:after="0"/>
              <w:rPr>
                <w:sz w:val="12"/>
                <w:szCs w:val="12"/>
                <w:color w:val="auto"/>
              </w:rPr>
            </w:pPr>
          </w:p>
        </w:tc>
      </w:tr>
      <w:tr>
        <w:trPr>
          <w:trHeight w:val="153"/>
        </w:trPr>
        <w:tc>
          <w:tcPr>
            <w:tcW w:w="9540" w:type="dxa"/>
            <w:vAlign w:val="bottom"/>
          </w:tcPr>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1"/>
                <w:szCs w:val="11"/>
                <w:color w:val="auto"/>
              </w:rPr>
              <w:t>Includes 11 states.</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9540" w:type="dxa"/>
            <w:vAlign w:val="bottom"/>
          </w:tcPr>
          <w:p>
            <w:pPr>
              <w:ind w:left="5580"/>
              <w:spacing w:after="0"/>
              <w:rPr>
                <w:sz w:val="20"/>
                <w:szCs w:val="20"/>
                <w:color w:val="auto"/>
              </w:rPr>
            </w:pPr>
            <w:r>
              <w:rPr>
                <w:rFonts w:ascii="Arial" w:cs="Arial" w:eastAsia="Arial" w:hAnsi="Arial"/>
                <w:sz w:val="12"/>
                <w:szCs w:val="12"/>
                <w:color w:val="auto"/>
              </w:rPr>
              <w:t>26</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954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Windstream Bankruptcy Filing</w:t>
      </w:r>
    </w:p>
    <w:p>
      <w:pPr>
        <w:spacing w:after="0" w:line="150" w:lineRule="exact"/>
        <w:rPr>
          <w:sz w:val="20"/>
          <w:szCs w:val="20"/>
          <w:color w:val="auto"/>
        </w:rPr>
      </w:pPr>
    </w:p>
    <w:p>
      <w:pPr>
        <w:ind w:right="80"/>
        <w:spacing w:after="0" w:line="285" w:lineRule="auto"/>
        <w:rPr>
          <w:sz w:val="20"/>
          <w:szCs w:val="20"/>
          <w:color w:val="auto"/>
        </w:rPr>
      </w:pPr>
      <w:r>
        <w:rPr>
          <w:rFonts w:ascii="Arial" w:cs="Arial" w:eastAsia="Arial" w:hAnsi="Arial"/>
          <w:sz w:val="11"/>
          <w:szCs w:val="11"/>
          <w:color w:val="auto"/>
        </w:rPr>
        <w:t>Prior to its bankruptcy filing described below, 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 See Part I, Item 1A “Risk Factors” for additional information concerning the impact Windstream’s bankruptcy may have on our operations and financial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Windstream Litigation and Settlement</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During the first half of 2019, Windstream’s chief executive officer stated that it was evaluating all options as part of the Chapter 11 reorganization process regarding the Master Lease, including renegotiation, recharacterization and rejection of the Master Lease. As further described below, on July 25, 2019, in connection with Windstream’s bankruptcy, Windstream Holdings and Windstream Services, LLC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2"/>
          <w:szCs w:val="12"/>
          <w:i w:val="1"/>
          <w:iCs w:val="1"/>
          <w:color w:val="auto"/>
        </w:rPr>
        <w:t>Rejection</w:t>
      </w:r>
      <w:r>
        <w:rPr>
          <w:rFonts w:ascii="Arial" w:cs="Arial" w:eastAsia="Arial" w:hAnsi="Arial"/>
          <w:sz w:val="12"/>
          <w:szCs w:val="12"/>
          <w:color w:val="auto"/>
        </w:rPr>
        <w:t>. In bankruptcy, Windstream has the option to assume or reject the Master Lease. Because the Master Lease is a single indivisible Master Lease with a single rent payment, it must be assumed or rejected in whole and cannot be</w:t>
      </w:r>
      <w:r>
        <w:rPr>
          <w:rFonts w:ascii="Arial" w:cs="Arial" w:eastAsia="Arial" w:hAnsi="Arial"/>
          <w:sz w:val="12"/>
          <w:szCs w:val="12"/>
          <w:i w:val="1"/>
          <w:iCs w:val="1"/>
          <w:color w:val="auto"/>
        </w:rPr>
        <w:t xml:space="preserve"> </w:t>
      </w:r>
      <w:r>
        <w:rPr>
          <w:rFonts w:ascii="Arial" w:cs="Arial" w:eastAsia="Arial" w:hAnsi="Arial"/>
          <w:sz w:val="12"/>
          <w:szCs w:val="12"/>
          <w:color w:val="auto"/>
        </w:rPr>
        <w:t>sub-divided by facility or market.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we believe Windstream would require approval from the applicable PUC and the FCC to cease providing service in those markets. As a result, although we can provide no assurances, we believe the probability of Windstream rejecting the Master Lease in bankruptcy to be remote. A rejection of the Master Lease, or even a temporary disruption in payments to us, would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our debt service obligations and could otherwise affect our ability to maintain REIT status.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A rejection of the Master Lease by Windstream could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 An acceleration of debt under our senior secured credit facilities due to an uncured “event of default” under our Credit Agreement would also result in an “event of default” under the terms of our outstanding notes. Such an “event of default” would give the holders of the applicable debt obligation the right to accelerate our repayment obligations relating to such debt.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Master Lease contains no provision that contemplates renegotiation of the lease and the bankruptcy court has no ability to unilaterally reset the rent or terms of the lease. In addition, our Credit Agreement prohibits us from amending the Master Lease in a manner that, among other provisions, pro forma for any such amendment, would result in our consolidated secured leverage ratio exceeding 5.00 to 1.00, and management has no intention to enter into a lease amendment that would violate our debt covenants. However, it is difficult to predict what could occur in Windstream’s bankruptcy restructuring, including as a result of the adversary proceeding brought by Windstream related to the Master Lease if the Settlement is not implemented.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2"/>
          <w:szCs w:val="12"/>
          <w:i w:val="1"/>
          <w:iCs w:val="1"/>
          <w:color w:val="auto"/>
        </w:rPr>
        <w:t>Mediation</w:t>
      </w:r>
      <w:r>
        <w:rPr>
          <w:rFonts w:ascii="Arial" w:cs="Arial" w:eastAsia="Arial" w:hAnsi="Arial"/>
          <w:sz w:val="12"/>
          <w:szCs w:val="12"/>
          <w:color w:val="auto"/>
        </w:rPr>
        <w:t>. Uniti, Windstream and Windstream’s creditors have been engaged in mediation in the Windstream bankruptcy to resolve claims brought by Windstream against Uniti. We have recently announced an agreement in principle</w:t>
      </w:r>
      <w:r>
        <w:rPr>
          <w:rFonts w:ascii="Arial" w:cs="Arial" w:eastAsia="Arial" w:hAnsi="Arial"/>
          <w:sz w:val="12"/>
          <w:szCs w:val="12"/>
          <w:i w:val="1"/>
          <w:iCs w:val="1"/>
          <w:color w:val="auto"/>
        </w:rPr>
        <w:t xml:space="preserve"> </w:t>
      </w:r>
      <w:r>
        <w:rPr>
          <w:rFonts w:ascii="Arial" w:cs="Arial" w:eastAsia="Arial" w:hAnsi="Arial"/>
          <w:sz w:val="12"/>
          <w:szCs w:val="12"/>
          <w:color w:val="auto"/>
        </w:rPr>
        <w:t>to resolve any and all claims and causes of action that have been or may be asserted against Uniti by Windstream, including all litigation brought by Windstream and certain of its creditors in the context of Windstream’s bankruptcy. All litigation between Windstream and Uniti will be stayed while the parties negotiate and prepare the definitive documentation to implement the Settlement. However, the settlement is subject to various conditions and if it does not occur, the litigation described below would be resumed. See “Item 1. Business.—Recent Developments.”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1"/>
          <w:szCs w:val="11"/>
          <w:i w:val="1"/>
          <w:iCs w:val="1"/>
          <w:color w:val="auto"/>
        </w:rPr>
        <w:t>Recharacterization / Pending Master Lease Litigation</w:t>
      </w:r>
      <w:r>
        <w:rPr>
          <w:rFonts w:ascii="Arial" w:cs="Arial" w:eastAsia="Arial" w:hAnsi="Arial"/>
          <w:sz w:val="11"/>
          <w:szCs w:val="11"/>
          <w:color w:val="auto"/>
        </w:rPr>
        <w:t>. On July 25, 2019, in connection with Windstream’s bankruptcy, Windstream Holdings and Windstream Services filed a complaint with the U.S. Bankruptcy Court for the Southern</w:t>
      </w:r>
      <w:r>
        <w:rPr>
          <w:rFonts w:ascii="Arial" w:cs="Arial" w:eastAsia="Arial" w:hAnsi="Arial"/>
          <w:sz w:val="11"/>
          <w:szCs w:val="11"/>
          <w:i w:val="1"/>
          <w:iCs w:val="1"/>
          <w:color w:val="auto"/>
        </w:rPr>
        <w:t xml:space="preserve"> </w:t>
      </w:r>
      <w:r>
        <w:rPr>
          <w:rFonts w:ascii="Arial" w:cs="Arial" w:eastAsia="Arial" w:hAnsi="Arial"/>
          <w:sz w:val="11"/>
          <w:szCs w:val="11"/>
          <w:color w:val="auto"/>
        </w:rPr>
        <w:t>District of New York against Uniti and certain of its affiliates, alleging¸ among other things, that (1) the Master Lease should be recharacterized as a financing arrangement, (2) rent payments and tenant capital improvements made by Windstream under the Master Lease since at least the third quarter of 2017 constitute constructive fraudulent transfers, (3) the Master Lease is a lease of personal property and (4) Uniti has breached its non-competition obligations to Windstream under the Master Lease, each of which allegations is discussed in more detail below. As described above, the trial for the recharacterization claim has been stayed.</w:t>
      </w:r>
    </w:p>
    <w:p>
      <w:pPr>
        <w:spacing w:after="0" w:line="111"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u w:val="single" w:color="auto"/>
          <w:color w:val="auto"/>
        </w:rPr>
        <w:t>Recharacterization</w:t>
      </w:r>
      <w:r>
        <w:rPr>
          <w:rFonts w:ascii="Arial" w:cs="Arial" w:eastAsia="Arial" w:hAnsi="Arial"/>
          <w:sz w:val="11"/>
          <w:szCs w:val="11"/>
          <w:color w:val="auto"/>
        </w:rPr>
        <w:t>. Windstream asserts that the Master Lease should be recharacterized as a financing arrangement. If the Master Lease were recharacterized as a financing arrangement, Windstream has argued that Windstream should be deemed the true owner of the property subject to the Master Lease, and Uniti should be treated as a creditor of Windstream rather than as a landlord. In evaluating a recharacterization claim, the Bankruptcy Court will look to assess, among other things, the “economic realities” of the transaction and may reach conclusions notwithstanding positions previously taken by Windstream or Uniti as to the nature of the Master Lease, whether publicly or otherwise. In assessing claims for recharacterization of a transaction involving a lease, bankruptcy courts have previously considered such factors as (i) whether the lessor retains residual value at the termination of the lease, (ii) whether “rental” payments were calculated to compensate the lessor for the use of the property, or were structured for another purpose, such as providing a specific return on investment, (iii) whether in a sale-leaseback transaction the purchase price charged for the assets related to the fair market value of the assets or a substantially different amount, such as the amount of financing required by the lessee, (iv) whether the property was purchased specifically for the lessee’s use, (v) whether structuring the transaction as a lease conveyed tax advantages for the parties, and (vi) who bears the risk and benefits of ownership, including whether the lessee retains obligations typically associated with ownership, such as responsibility for property taxes and insurance. Because any determination by the Bankruptcy Court will involve complex factual and legal analysis, including with respect to the factors described above, we cannot provide any assurances as to how the Bankruptcy Court may rule on these issues.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Were the Bankruptcy Court to hold that the Master Lease should be recharacterized as a financing arrangement, it could significantly affect or even eliminate current payments to us under the Master Lease and could significantly affect the ultimate treatment of our claims (including potentially through changing our status to that of a creditor that would share in creditor recoveries from the estate rather than receive rent payments). The Bankruptcy Court could determine that Windstream is the true owner of the property subject to the Master Lease, and we have argued that such property would be deemed to be owned by Windstream Holdings as the counterparty to the Master Lease and that Uniti would have a claim against Windstream Holdings that is secured by such property. Windstream has argued that such property would instead be owned by the operating subsidiaries that previously held it and that our claims would be against Windstream Holdings as the counterparty to the Master Lease. In such an event, the Bankruptcy Court would also determine if our claims are secured by an interest in the leased property. If the Bankruptcy Court were to determine that our claims are not secured by an interest in the leased property, our claims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could be unsecured and structurally subordinated to the claims of creditors at Windstream Holdings’ subsidiaries, including Windstream Services. Windstream Services is the issuer of substantially all of Windstream’s debt obligations and certain of its operating subsidiaries guarantee such debt obligations. Were we to be treated as an unsecured creditor of Windstream Holdings, we would not be able to recover any value from Windstream Services or such other operating subsidiaries until all of their respective debt obligations have been satisfied and, in such event, the notes and the guarantees of the notes would only be secured on a first-priority basis by certain of our assets that do not constitute the property subject to the Master Lease. In the event of such an adverse determination, our ability to meet our debt and other obligations could be materially impaired. In addition, recharacterization of the Master Lease as a financing arrangement, depending on the findings of fact and law of, and remedies applied by, the Bankruptcy Court, could affect the U.S. federal income tax treatment of the Master Lease, our status as a REIT (see “Risk Factors— Risks Related to the Status of Uniti as a REIT—Recent developments surrounding Windstream could adversely affect our ability to continue to qualify as a REIT”) and could materially adversely affect our consolidated results of operations, liquidity, and financial condition.</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2"/>
          <w:szCs w:val="12"/>
          <w:u w:val="single" w:color="auto"/>
          <w:color w:val="auto"/>
        </w:rPr>
        <w:t>Constructive Fraudulent Transfer</w:t>
      </w:r>
      <w:r>
        <w:rPr>
          <w:rFonts w:ascii="Arial" w:cs="Arial" w:eastAsia="Arial" w:hAnsi="Arial"/>
          <w:sz w:val="12"/>
          <w:szCs w:val="12"/>
          <w:color w:val="auto"/>
        </w:rPr>
        <w:t>. Windstream alleges that rent payments and tenant capital improvements made by Windstream under the Master Lease since at least the third quarter of 2017 constitute constructive fraudulent transfers. If the constructive fraudulent transfer claim were successful, Uniti may be required to repay Windstream the amount of rent payments made by Windstream above fair market rent as determined by the Bankruptcy Court and the aggregate amount of all tenant capital improvements made by Windstream, in each case since the date on which the Bankruptcy Court found Windstream to have been insolvent. In its complaint in the adversary proceeding, Windstream alleges that it has paid approximately $366 million for tenant capital improvements under the Master Lease from the fourth quarter of 2017 through November 2019, in addition to making substantial rent payments. As any such calculation of fair market rent and any resulting damages would be a fact-intensive inquiry, it is not possible to provide a likely range of damages at this time, but any such damages award could materially adversely affect our consolidated results of operations, liquidity, and financial condition.</w:t>
      </w:r>
    </w:p>
    <w:p>
      <w:pPr>
        <w:spacing w:after="0" w:line="128"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u w:val="single" w:color="auto"/>
          <w:color w:val="auto"/>
        </w:rPr>
        <w:t>Master Lease for Personal Property</w:t>
      </w:r>
      <w:r>
        <w:rPr>
          <w:rFonts w:ascii="Arial" w:cs="Arial" w:eastAsia="Arial" w:hAnsi="Arial"/>
          <w:sz w:val="12"/>
          <w:szCs w:val="12"/>
          <w:color w:val="auto"/>
        </w:rPr>
        <w:t>. Windstream alleges that the Master Lease is a lease of personal property. If the Master Lease were determined to be a lease of personal property, the deadline for Windstream Holdings to assume or reject the Master Lease would be the confirmation of its plan of reorganization by the Bankruptcy Court, which would extend the deadline that would otherwise be applicable under the bankruptcy code if the Master Lease were treated as a lease of real property, and Windstream could seek from the Bankruptcy Court relief from its current performance obligations during the bankruptcy case. In addition, if the Master Lease were determined to be a lease of personal property, this could also impact our status as a REIT if the IRS were to determine that our gross income is not sufficiently derived from real property. See “Risk Factors— Risks Related to the Status of Uniti as a REIT—Recent developments surrounding Windstream could adversely affect our ability to continue to qualify as a REIT.” On January 21, 2020, Windstream agreed to stay, without prejudice, its action seeking a determination that the Master Lease is a lease of personal property.</w:t>
      </w:r>
    </w:p>
    <w:p>
      <w:pPr>
        <w:spacing w:after="0" w:line="12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u w:val="single" w:color="auto"/>
          <w:color w:val="auto"/>
        </w:rPr>
        <w:t>Breach of Contract</w:t>
      </w:r>
      <w:r>
        <w:rPr>
          <w:rFonts w:ascii="Arial" w:cs="Arial" w:eastAsia="Arial" w:hAnsi="Arial"/>
          <w:sz w:val="12"/>
          <w:szCs w:val="12"/>
          <w:color w:val="auto"/>
        </w:rPr>
        <w:t>. Windstream alleges that Uniti has breached its non-competition obligations to Windstream under the Master Lease and that Windstream is entitled to damages and/or an abatement of rent as a result of such breach, although no damages amount has been asserted. We believe this claim is without merit and in any event do not believe damages would be material.</w:t>
      </w:r>
    </w:p>
    <w:p>
      <w:pPr>
        <w:spacing w:after="0" w:line="115"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While the Windstream Master Lease litigation is currently stayed, it is difficult to predict what could occur in Windstream’s bankruptcy restructuring. However, any adverse determination or judicial decision on one or more of the claims against us could materially adversely affect our consolidated results of operations, liquidity, and financial condition or, in certain circumstances, cause us to file for voluntary Chapter 11 protection.</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addition,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March 2, 2020, Uniti and Windstream jointly announced that they have reached an agreement in principle to resolve any and all claims and causes of action that have been or may be asserted against Uniti by Windstream, including all litigation brought by Windstream and certain of its creditors in the context of Windstream’s bankruptcy. All litigation between Windstream and Uniti will be stayed while the parties negotiate and prepare the definitive documentation to implement the Settlement. See “Item 1. Business.—Recent Developments.”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Litigation</w:t>
      </w:r>
    </w:p>
    <w:p>
      <w:pPr>
        <w:spacing w:after="0" w:line="150" w:lineRule="exact"/>
        <w:rPr>
          <w:sz w:val="20"/>
          <w:szCs w:val="20"/>
          <w:color w:val="auto"/>
        </w:rPr>
      </w:pPr>
    </w:p>
    <w:p>
      <w:pPr>
        <w:ind w:right="40"/>
        <w:spacing w:after="0" w:line="278" w:lineRule="auto"/>
        <w:rPr>
          <w:sz w:val="20"/>
          <w:szCs w:val="20"/>
          <w:color w:val="auto"/>
        </w:rPr>
      </w:pPr>
      <w:r>
        <w:rPr>
          <w:rFonts w:ascii="Arial" w:cs="Arial" w:eastAsia="Arial" w:hAnsi="Arial"/>
          <w:sz w:val="11"/>
          <w:szCs w:val="11"/>
          <w:color w:val="auto"/>
        </w:rPr>
        <w:t>On July 3, 2019, SLF Holdings, LLC (“SLF”) filed a complaint against the Company, Uniti Fiber Holdings Inc.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w:t>
      </w:r>
      <w:r>
        <w:rPr>
          <w:rFonts w:ascii="Arial" w:cs="Arial" w:eastAsia="Arial" w:hAnsi="Arial"/>
          <w:sz w:val="13"/>
          <w:szCs w:val="13"/>
          <w:color w:val="auto"/>
        </w:rPr>
        <w:t>.</w:t>
      </w:r>
      <w:r>
        <w:rPr>
          <w:rFonts w:ascii="Arial" w:cs="Arial" w:eastAsia="Arial" w:hAnsi="Arial"/>
          <w:sz w:val="11"/>
          <w:szCs w:val="11"/>
          <w:color w:val="auto"/>
        </w:rPr>
        <w:t xml:space="preserv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but no decision has been issued. We intend to defend this matter vigorously, and, because it is still in its preliminary stages, we have not yet determined what effect this lawsuit will have, if any, on our financial position or results of operations.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On October 25, 2019, Ibrahim E. Safadi filed a putative class action in the U.S. District Court for the Eastern District of Arkansas against the Company and certain of our officers alleging violations of federal securities laws (the “Safadi Action”). The putative class action seeks to represent investors who acquired the Company’s securities between April 20, 2015 and February 15, 2019. The lawsuit asserts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lawsuit seeks class certification, unspecified monetary damages, costs and attorneys’ fees and other relief. We intend to defend this matter vigorously, and, because it is still in its preliminary stages, we have not yet determined what effect this lawsuit will have, if any, on our financial position or results of operations.</w:t>
      </w:r>
    </w:p>
    <w:p>
      <w:pPr>
        <w:spacing w:after="0" w:line="128"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On December 6, 2019, Phil Queder filed a putative class action in the U.S. District Court for the Eastern District of Arkansas against the Company and certain of our officers alleging violations of federal securities laws (the “Queder Action”). The putative class action seeks to represent investors who acquired the Company’s securities between April 20, 2015 and February 15, 2019. The lawsuit asserts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lawsuit seeks class certification, unspecified monetary damages, costs and attorneys’ fees and other relief. We intend to defend this matter vigorously, and, because it is still in its preliminary stages, we have not yet determined what effect this lawsuit will have, if any, on our financial position or results of operations.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On December 23, 2019, Michael Avery filed a putative class action in the U.S. District Court for the Eastern District of Arkansas against the Company and certain of our officers alleging violations of federal securities laws. The putative class action seeks to represent investors who acquired the Company’s securities between April 20, 2015 and June 24, 2019 (the “Avery Action”). The lawsuit asserts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which would have certain consequences for the Company’s liquidity. The lawsuit seeks class certification, unspecified monetary damages, costs and attorneys’ fees and other relief. On March 9, 2020, the plaintiff in the Avery Action filed a notice of voluntary dismissal of the action without prejudice.</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December 30, 2019, various putative shareholders of the Company filed motions to consolidate the Safadi, Queder, and Avery Actions and to appoint a lead plaintiff and lead counsel in the consolidated action. The Court has not yet ruled on those motions.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traded on the NASDAQ Global Select Market under the symbol “UNIT.”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15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As of March 4, 2020, the closing price of our common stock was $10.34 per share as reported on the NASDAQ Global Select Market. As of March 4, 2020, we had 193,263,981 outstanding shares of common stock, and there were approximately 21,453 registered holders of record of Uniti’s common stock. A substantially greater number of holders of Uniti common stock are “street name” or beneficial holders, whose shares of record are held by banks, brokers, and other financial institutions.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 (Distributions)</w:t>
      </w:r>
    </w:p>
    <w:p>
      <w:pPr>
        <w:spacing w:after="0" w:line="154"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Distributions with respect to our common stock are characterized for federal income tax purposes as taxable ordinary dividends, capital gains dividends, non-dividend distributions or a combination thereof. It has been our policy to declare dividends to common shareholders so as to comply with the provisions of the Internal Revenue Code governing REITs.</w:t>
      </w:r>
    </w:p>
    <w:p>
      <w:pPr>
        <w:spacing w:after="0" w:line="115"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As a result of recent actions related to Windstream, as set forth in Part I, Item 1A “Risk Factors”, we may choose to reduce or suspend our dividend for a period of time until the situation is clarified. In addition, during the pendency of Windstream’s bankruptcy, the Fourth Amendment to our Credit Agreement (as set forth in Part I, Item 1A “Risk Factors”) and our 7.875% senior secured notes due 2025 generally limit our ability under the Credit Agreement to pay cash dividends in excess of 90% of our REIT taxable income, determined without regard to the dividends paid deduction and excluding any net capital gains.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 following graph shows a comparison from April 20, 2015 (the date our common stock commenced trading on the NASDAQ Global Select Market) through December 31, 2019 of the cumulative total return for our common stock, the Standard &amp; Poor's 400 Stock Index (S&amp;P 400 Index), and the MSCI US REIT Index. The graph assumes that $100 was invested at the market open on April 20, 2015 and that all dividends were reinvested in the common stock of Uniti, the S&amp;P 400 Index and the MSCI US REIT Index. The stock price performance of the following graph is not necessarily indicative of future stock price performance.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3560445" cy="1891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0445" cy="189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Cumulative Total Stockholder Returns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Based on Investment of $100.00 Beginning on April 20,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4/20/2015</w:t>
            </w:r>
          </w:p>
        </w:tc>
        <w:tc>
          <w:tcPr>
            <w:tcW w:w="3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12/31/2015</w:t>
            </w:r>
          </w:p>
        </w:tc>
        <w:tc>
          <w:tcPr>
            <w:tcW w:w="3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12/31/2016</w:t>
            </w: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12/31/2017</w:t>
            </w: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12/31/2018</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12/31/2019</w:t>
            </w:r>
          </w:p>
        </w:tc>
        <w:tc>
          <w:tcPr>
            <w:tcW w:w="120" w:type="dxa"/>
            <w:vAlign w:val="bottom"/>
            <w:tcBorders>
              <w:bottom w:val="single" w:sz="8" w:color="CFF0FC"/>
            </w:tcBorders>
          </w:tcPr>
          <w:p>
            <w:pPr>
              <w:spacing w:after="0"/>
              <w:rPr>
                <w:sz w:val="13"/>
                <w:szCs w:val="13"/>
                <w:color w:val="auto"/>
              </w:rPr>
            </w:pPr>
          </w:p>
        </w:tc>
      </w:tr>
      <w:tr>
        <w:trPr>
          <w:trHeight w:val="142"/>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Uniti Group Inc.</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72.33</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107.65</w:t>
            </w: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84.94</w:t>
            </w: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84.93</w:t>
            </w: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46.76</w:t>
            </w:r>
          </w:p>
        </w:tc>
        <w:tc>
          <w:tcPr>
            <w:tcW w:w="120" w:type="dxa"/>
            <w:vAlign w:val="bottom"/>
            <w:shd w:val="clear" w:color="auto" w:fill="CFF0FC"/>
          </w:tcPr>
          <w:p>
            <w:pPr>
              <w:spacing w:after="0"/>
              <w:rPr>
                <w:sz w:val="12"/>
                <w:szCs w:val="12"/>
                <w:color w:val="auto"/>
              </w:rPr>
            </w:pP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S&amp;P 400 Index</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92.56</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111.76</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129.90</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115.50</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145.77</w:t>
            </w:r>
          </w:p>
        </w:tc>
        <w:tc>
          <w:tcPr>
            <w:tcW w:w="120" w:type="dxa"/>
            <w:vAlign w:val="bottom"/>
          </w:tcPr>
          <w:p>
            <w:pPr>
              <w:spacing w:after="0"/>
              <w:rPr>
                <w:sz w:val="13"/>
                <w:szCs w:val="13"/>
                <w:color w:val="auto"/>
              </w:rPr>
            </w:pPr>
          </w:p>
        </w:tc>
      </w:tr>
      <w:tr>
        <w:trPr>
          <w:trHeight w:val="153"/>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MSCI US REIT Index</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100.78</w:t>
            </w: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109.46</w:t>
            </w: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115.08</w:t>
            </w: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109.89</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138.33</w:t>
            </w:r>
          </w:p>
        </w:tc>
        <w:tc>
          <w:tcPr>
            <w:tcW w:w="120" w:type="dxa"/>
            <w:vAlign w:val="bottom"/>
            <w:shd w:val="clear" w:color="auto" w:fill="CFF0FC"/>
          </w:tcPr>
          <w:p>
            <w:pPr>
              <w:spacing w:after="0"/>
              <w:rPr>
                <w:sz w:val="13"/>
                <w:szCs w:val="13"/>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8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jc w:val="center"/>
              <w:spacing w:after="0"/>
              <w:rPr>
                <w:sz w:val="20"/>
                <w:szCs w:val="20"/>
                <w:color w:val="auto"/>
              </w:rPr>
            </w:pPr>
            <w:r>
              <w:rPr>
                <w:rFonts w:ascii="Arial" w:cs="Arial" w:eastAsia="Arial" w:hAnsi="Arial"/>
                <w:sz w:val="10"/>
                <w:szCs w:val="10"/>
                <w:b w:val="1"/>
                <w:bCs w:val="1"/>
                <w:color w:val="auto"/>
                <w:w w:val="85"/>
              </w:rPr>
              <w:t>Total Number of Shares Purchased as</w:t>
            </w:r>
          </w:p>
        </w:tc>
        <w:tc>
          <w:tcPr>
            <w:tcW w:w="100" w:type="dxa"/>
            <w:vAlign w:val="bottom"/>
          </w:tcPr>
          <w:p>
            <w:pPr>
              <w:spacing w:after="0"/>
              <w:rPr>
                <w:sz w:val="10"/>
                <w:szCs w:val="10"/>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8"/>
              </w:rPr>
              <w:t>Maximum Number of Shares that May Yet</w:t>
            </w:r>
          </w:p>
        </w:tc>
      </w:tr>
      <w:tr>
        <w:trPr>
          <w:trHeight w:val="99"/>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right"/>
              <w:ind w:right="83"/>
              <w:spacing w:after="0" w:line="99" w:lineRule="exact"/>
              <w:rPr>
                <w:sz w:val="20"/>
                <w:szCs w:val="20"/>
                <w:color w:val="auto"/>
              </w:rPr>
            </w:pPr>
            <w:r>
              <w:rPr>
                <w:rFonts w:ascii="Arial" w:cs="Arial" w:eastAsia="Arial" w:hAnsi="Arial"/>
                <w:sz w:val="10"/>
                <w:szCs w:val="10"/>
                <w:b w:val="1"/>
                <w:bCs w:val="1"/>
                <w:color w:val="auto"/>
              </w:rPr>
              <w:t>Total Number of</w:t>
            </w: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Part of Publicly Announced Plans or</w:t>
            </w:r>
          </w:p>
        </w:tc>
        <w:tc>
          <w:tcPr>
            <w:tcW w:w="100" w:type="dxa"/>
            <w:vAlign w:val="bottom"/>
          </w:tcPr>
          <w:p>
            <w:pPr>
              <w:spacing w:after="0"/>
              <w:rPr>
                <w:sz w:val="8"/>
                <w:szCs w:val="8"/>
                <w:color w:val="auto"/>
              </w:rPr>
            </w:pPr>
          </w:p>
        </w:tc>
        <w:tc>
          <w:tcPr>
            <w:tcW w:w="1880" w:type="dxa"/>
            <w:vAlign w:val="bottom"/>
            <w:gridSpan w:val="2"/>
          </w:tcPr>
          <w:p>
            <w:pPr>
              <w:ind w:left="200"/>
              <w:spacing w:after="0" w:line="99" w:lineRule="exact"/>
              <w:rPr>
                <w:sz w:val="20"/>
                <w:szCs w:val="20"/>
                <w:color w:val="auto"/>
              </w:rPr>
            </w:pPr>
            <w:r>
              <w:rPr>
                <w:rFonts w:ascii="Arial" w:cs="Arial" w:eastAsia="Arial" w:hAnsi="Arial"/>
                <w:sz w:val="10"/>
                <w:szCs w:val="10"/>
                <w:b w:val="1"/>
                <w:bCs w:val="1"/>
                <w:color w:val="auto"/>
              </w:rPr>
              <w:t>Be Purchased Under the Plans or</w:t>
            </w:r>
          </w:p>
        </w:tc>
      </w:tr>
      <w:tr>
        <w:trPr>
          <w:trHeight w:val="113"/>
        </w:trPr>
        <w:tc>
          <w:tcPr>
            <w:tcW w:w="49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Period</w:t>
            </w:r>
          </w:p>
        </w:tc>
        <w:tc>
          <w:tcPr>
            <w:tcW w:w="16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63"/>
              <w:spacing w:after="0" w:line="114" w:lineRule="exact"/>
              <w:rPr>
                <w:sz w:val="20"/>
                <w:szCs w:val="20"/>
                <w:color w:val="auto"/>
              </w:rPr>
            </w:pPr>
            <w:r>
              <w:rPr>
                <w:rFonts w:ascii="Arial" w:cs="Arial" w:eastAsia="Arial" w:hAnsi="Arial"/>
                <w:sz w:val="10"/>
                <w:szCs w:val="10"/>
                <w:b w:val="1"/>
                <w:bCs w:val="1"/>
                <w:color w:val="auto"/>
                <w:w w:val="93"/>
              </w:rPr>
              <w:t>Shares Purchased</w:t>
            </w:r>
          </w:p>
        </w:tc>
        <w:tc>
          <w:tcPr>
            <w:tcW w:w="100" w:type="dxa"/>
            <w:vAlign w:val="bottom"/>
            <w:tcBorders>
              <w:bottom w:val="single" w:sz="8" w:color="CFF0FC"/>
            </w:tcBorders>
          </w:tcPr>
          <w:p>
            <w:pPr>
              <w:spacing w:after="0"/>
              <w:rPr>
                <w:sz w:val="9"/>
                <w:szCs w:val="9"/>
                <w:color w:val="auto"/>
              </w:rPr>
            </w:pPr>
          </w:p>
        </w:tc>
        <w:tc>
          <w:tcPr>
            <w:tcW w:w="144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89"/>
              </w:rPr>
              <w:t>Average Price Paid per Share(1)</w:t>
            </w:r>
          </w:p>
        </w:tc>
        <w:tc>
          <w:tcPr>
            <w:tcW w:w="100" w:type="dxa"/>
            <w:vAlign w:val="bottom"/>
            <w:tcBorders>
              <w:bottom w:val="single" w:sz="8" w:color="CFF0FC"/>
            </w:tcBorders>
          </w:tcPr>
          <w:p>
            <w:pPr>
              <w:spacing w:after="0"/>
              <w:rPr>
                <w:sz w:val="9"/>
                <w:szCs w:val="9"/>
                <w:color w:val="auto"/>
              </w:rPr>
            </w:pPr>
          </w:p>
        </w:tc>
        <w:tc>
          <w:tcPr>
            <w:tcW w:w="1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Programs</w:t>
            </w:r>
          </w:p>
        </w:tc>
        <w:tc>
          <w:tcPr>
            <w:tcW w:w="100" w:type="dxa"/>
            <w:vAlign w:val="bottom"/>
            <w:tcBorders>
              <w:bottom w:val="single" w:sz="8" w:color="CFF0FC"/>
            </w:tcBorders>
          </w:tcPr>
          <w:p>
            <w:pPr>
              <w:spacing w:after="0"/>
              <w:rPr>
                <w:sz w:val="9"/>
                <w:szCs w:val="9"/>
                <w:color w:val="auto"/>
              </w:rPr>
            </w:pPr>
          </w:p>
        </w:tc>
        <w:tc>
          <w:tcPr>
            <w:tcW w:w="1760" w:type="dxa"/>
            <w:vAlign w:val="bottom"/>
            <w:tcBorders>
              <w:bottom w:val="single" w:sz="8" w:color="auto"/>
            </w:tcBorders>
          </w:tcPr>
          <w:p>
            <w:pPr>
              <w:jc w:val="right"/>
              <w:ind w:right="625"/>
              <w:spacing w:after="0" w:line="114" w:lineRule="exact"/>
              <w:rPr>
                <w:sz w:val="20"/>
                <w:szCs w:val="20"/>
                <w:color w:val="auto"/>
              </w:rPr>
            </w:pPr>
            <w:r>
              <w:rPr>
                <w:rFonts w:ascii="Arial" w:cs="Arial" w:eastAsia="Arial" w:hAnsi="Arial"/>
                <w:sz w:val="10"/>
                <w:szCs w:val="10"/>
                <w:b w:val="1"/>
                <w:bCs w:val="1"/>
                <w:color w:val="auto"/>
              </w:rPr>
              <w:t>Programs</w:t>
            </w:r>
          </w:p>
        </w:tc>
        <w:tc>
          <w:tcPr>
            <w:tcW w:w="120" w:type="dxa"/>
            <w:vAlign w:val="bottom"/>
            <w:tcBorders>
              <w:bottom w:val="single" w:sz="8" w:color="CFF0FC"/>
            </w:tcBorders>
          </w:tcPr>
          <w:p>
            <w:pPr>
              <w:spacing w:after="0"/>
              <w:rPr>
                <w:sz w:val="9"/>
                <w:szCs w:val="9"/>
                <w:color w:val="auto"/>
              </w:rPr>
            </w:pPr>
          </w:p>
        </w:tc>
      </w:tr>
      <w:tr>
        <w:trPr>
          <w:trHeight w:val="142"/>
        </w:trPr>
        <w:tc>
          <w:tcPr>
            <w:tcW w:w="5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2019 to October 31, 2019</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537</w:t>
            </w:r>
          </w:p>
        </w:tc>
        <w:tc>
          <w:tcPr>
            <w:tcW w:w="740" w:type="dxa"/>
            <w:vAlign w:val="bottom"/>
            <w:gridSpan w:val="2"/>
            <w:shd w:val="clear" w:color="auto" w:fill="CFF0FC"/>
          </w:tcPr>
          <w:p>
            <w:pPr>
              <w:jc w:val="right"/>
              <w:ind w:right="532"/>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7.69</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ind w:left="15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060" w:type="dxa"/>
            <w:vAlign w:val="bottom"/>
            <w:gridSpan w:val="2"/>
          </w:tcPr>
          <w:p>
            <w:pPr>
              <w:spacing w:after="0"/>
              <w:rPr>
                <w:sz w:val="20"/>
                <w:szCs w:val="20"/>
                <w:color w:val="auto"/>
              </w:rPr>
            </w:pPr>
            <w:r>
              <w:rPr>
                <w:rFonts w:ascii="Arial" w:cs="Arial" w:eastAsia="Arial" w:hAnsi="Arial"/>
                <w:sz w:val="12"/>
                <w:szCs w:val="12"/>
                <w:color w:val="auto"/>
              </w:rPr>
              <w:t>November 1, 2019 to November 30, 2019</w:t>
            </w:r>
          </w:p>
        </w:tc>
        <w:tc>
          <w:tcPr>
            <w:tcW w:w="960" w:type="dxa"/>
            <w:vAlign w:val="bottom"/>
          </w:tcPr>
          <w:p>
            <w:pPr>
              <w:jc w:val="right"/>
              <w:spacing w:after="0"/>
              <w:rPr>
                <w:sz w:val="20"/>
                <w:szCs w:val="20"/>
                <w:color w:val="auto"/>
              </w:rPr>
            </w:pPr>
            <w:r>
              <w:rPr>
                <w:rFonts w:ascii="Arial" w:cs="Arial" w:eastAsia="Arial" w:hAnsi="Arial"/>
                <w:sz w:val="12"/>
                <w:szCs w:val="12"/>
                <w:color w:val="auto"/>
              </w:rPr>
              <w:t>920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6.05</w:t>
            </w:r>
          </w:p>
        </w:tc>
        <w:tc>
          <w:tcPr>
            <w:tcW w:w="100" w:type="dxa"/>
            <w:vAlign w:val="bottom"/>
          </w:tcPr>
          <w:p>
            <w:pPr>
              <w:spacing w:after="0"/>
              <w:rPr>
                <w:sz w:val="13"/>
                <w:szCs w:val="13"/>
                <w:color w:val="auto"/>
              </w:rPr>
            </w:pPr>
          </w:p>
        </w:tc>
        <w:tc>
          <w:tcPr>
            <w:tcW w:w="1660" w:type="dxa"/>
            <w:vAlign w:val="bottom"/>
          </w:tcPr>
          <w:p>
            <w:pPr>
              <w:ind w:left="15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0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December 1, 2019 to December 31, 2019</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shd w:val="clear" w:color="auto" w:fill="CFF0FC"/>
          </w:tcPr>
          <w:p>
            <w:pPr>
              <w:ind w:left="15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5060" w:type="dxa"/>
            <w:vAlign w:val="bottom"/>
            <w:gridSpan w:val="2"/>
          </w:tcPr>
          <w:p>
            <w:pPr>
              <w:spacing w:after="0"/>
              <w:rPr>
                <w:sz w:val="20"/>
                <w:szCs w:val="20"/>
                <w:color w:val="auto"/>
              </w:rPr>
            </w:pPr>
            <w:r>
              <w:rPr>
                <w:rFonts w:ascii="Arial" w:cs="Arial" w:eastAsia="Arial" w:hAnsi="Arial"/>
                <w:sz w:val="12"/>
                <w:szCs w:val="12"/>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1,457</w:t>
            </w:r>
          </w:p>
        </w:tc>
        <w:tc>
          <w:tcPr>
            <w:tcW w:w="740" w:type="dxa"/>
            <w:vAlign w:val="bottom"/>
            <w:gridSpan w:val="2"/>
          </w:tcPr>
          <w:p>
            <w:pPr>
              <w:jc w:val="right"/>
              <w:ind w:right="53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6.65</w:t>
            </w:r>
          </w:p>
        </w:tc>
        <w:tc>
          <w:tcPr>
            <w:tcW w:w="100" w:type="dxa"/>
            <w:vAlign w:val="bottom"/>
          </w:tcPr>
          <w:p>
            <w:pPr>
              <w:spacing w:after="0"/>
              <w:rPr>
                <w:sz w:val="12"/>
                <w:szCs w:val="12"/>
                <w:color w:val="auto"/>
              </w:rPr>
            </w:pPr>
          </w:p>
        </w:tc>
        <w:tc>
          <w:tcPr>
            <w:tcW w:w="1660" w:type="dxa"/>
            <w:vAlign w:val="bottom"/>
            <w:tcBorders>
              <w:bottom w:val="single" w:sz="8" w:color="auto"/>
            </w:tcBorders>
          </w:tcPr>
          <w:p>
            <w:pPr>
              <w:ind w:left="15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88"/>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63"/>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49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3" w:name="page34"/>
    <w:bookmarkEnd w:id="3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average price paid per share is the weighted-average of the fair market prices at which we calculated the number of shares withheld to cover tax withholdings for the employees.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Selected Financial Data.</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selected financial data for Uniti on a consolidated and combined historical basis as of the dates and for the years indicated.</w:t>
      </w:r>
    </w:p>
    <w:p>
      <w:pPr>
        <w:spacing w:after="0" w:line="150"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auto"/>
        </w:rPr>
        <w:t>Prior to April 24, 2015, we did not operate the Consumer CLEC Business separately from Windstream, nor did we commence our leasing business. The selected historical financial data for the period from January 1, 2015 to April 24, 2015 has been derived from the audited financial statements of the Consumer CLEC Business and Distribution Systems.</w:t>
      </w:r>
    </w:p>
    <w:p>
      <w:pPr>
        <w:spacing w:after="0" w:line="115"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 xml:space="preserve">The following should be read in conjunction with the consolidated and combined financial statements, accompanying notes and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each of which are included elsewhere in this Form 10-K.</w:t>
      </w:r>
    </w:p>
    <w:p>
      <w:pPr>
        <w:spacing w:after="0" w:line="163"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87"/>
              </w:rPr>
              <w:t>Year Ended December 31,</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0"/>
                <w:szCs w:val="10"/>
                <w:b w:val="1"/>
                <w:bCs w:val="1"/>
                <w:color w:val="auto"/>
                <w:w w:val="89"/>
              </w:rPr>
              <w:t>April 24 - December</w:t>
            </w:r>
          </w:p>
        </w:tc>
        <w:tc>
          <w:tcPr>
            <w:tcW w:w="104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January 1 - April 24,</w:t>
            </w:r>
          </w:p>
        </w:tc>
        <w:tc>
          <w:tcPr>
            <w:tcW w:w="0" w:type="dxa"/>
            <w:vAlign w:val="bottom"/>
          </w:tcPr>
          <w:p>
            <w:pPr>
              <w:spacing w:after="0"/>
              <w:rPr>
                <w:sz w:val="1"/>
                <w:szCs w:val="1"/>
                <w:color w:val="auto"/>
              </w:rPr>
            </w:pPr>
          </w:p>
        </w:tc>
      </w:tr>
      <w:tr>
        <w:trPr>
          <w:trHeight w:val="84"/>
        </w:trPr>
        <w:tc>
          <w:tcPr>
            <w:tcW w:w="4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740" w:type="dxa"/>
            <w:vAlign w:val="bottom"/>
            <w:gridSpan w:val="2"/>
          </w:tcPr>
          <w:p>
            <w:pPr>
              <w:spacing w:after="0" w:line="114" w:lineRule="exact"/>
              <w:rPr>
                <w:sz w:val="20"/>
                <w:szCs w:val="20"/>
                <w:color w:val="auto"/>
              </w:rPr>
            </w:pPr>
            <w:r>
              <w:rPr>
                <w:rFonts w:ascii="Arial" w:cs="Arial" w:eastAsia="Arial" w:hAnsi="Arial"/>
                <w:sz w:val="10"/>
                <w:szCs w:val="10"/>
                <w:color w:val="auto"/>
              </w:rPr>
              <w:t>(Thousands, except per share data)</w:t>
            </w:r>
          </w:p>
        </w:tc>
        <w:tc>
          <w:tcPr>
            <w:tcW w:w="20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jc w:val="right"/>
              <w:ind w:right="281"/>
              <w:spacing w:after="0" w:line="114" w:lineRule="exact"/>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2016</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ind w:right="221"/>
              <w:spacing w:after="0" w:line="114" w:lineRule="exact"/>
              <w:rPr>
                <w:sz w:val="20"/>
                <w:szCs w:val="20"/>
                <w:color w:val="auto"/>
              </w:rPr>
            </w:pPr>
            <w:r>
              <w:rPr>
                <w:rFonts w:ascii="Arial" w:cs="Arial" w:eastAsia="Arial" w:hAnsi="Arial"/>
                <w:sz w:val="10"/>
                <w:szCs w:val="10"/>
                <w:b w:val="1"/>
                <w:bCs w:val="1"/>
                <w:color w:val="auto"/>
              </w:rPr>
              <w:t>31, 2015</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301"/>
              <w:spacing w:after="0" w:line="114" w:lineRule="exact"/>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Statement of Income Data:</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Total revenue</w:t>
            </w:r>
            <w:r>
              <w:rPr>
                <w:rFonts w:ascii="Arial" w:cs="Arial" w:eastAsia="Arial" w:hAnsi="Arial"/>
                <w:sz w:val="10"/>
                <w:szCs w:val="10"/>
                <w:color w:val="auto"/>
              </w:rPr>
              <w:t>(1)</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1,057,611</w:t>
            </w:r>
          </w:p>
        </w:tc>
        <w:tc>
          <w:tcPr>
            <w:tcW w:w="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1,017,634</w:t>
            </w:r>
          </w:p>
        </w:tc>
        <w:tc>
          <w:tcPr>
            <w:tcW w:w="2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916,032</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770,408</w:t>
            </w:r>
          </w:p>
        </w:tc>
        <w:tc>
          <w:tcPr>
            <w:tcW w:w="20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476,314</w:t>
            </w:r>
          </w:p>
        </w:tc>
        <w:tc>
          <w:tcPr>
            <w:tcW w:w="2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10,149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 net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390,112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319,591</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305,994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275,394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181,797</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Net income (loss) attributable to common shareholders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7,989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(16,552)</w:t>
            </w:r>
          </w:p>
        </w:tc>
        <w:tc>
          <w:tcPr>
            <w:tcW w:w="2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(5,497)</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23,718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Earnings (loss) per common share - basic</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(0.10)</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(0.04)</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Earnings (loss) per common share - diluted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0.04</w:t>
            </w:r>
          </w:p>
        </w:tc>
        <w:tc>
          <w:tcPr>
            <w:tcW w:w="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0.04</w:t>
            </w:r>
          </w:p>
        </w:tc>
        <w:tc>
          <w:tcPr>
            <w:tcW w:w="2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(0.13)</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(0.04)</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0.16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Balance Sheet Data:</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5,014,284</w:t>
            </w:r>
          </w:p>
        </w:tc>
        <w:tc>
          <w:tcPr>
            <w:tcW w:w="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4,592,937</w:t>
            </w:r>
          </w:p>
        </w:tc>
        <w:tc>
          <w:tcPr>
            <w:tcW w:w="2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4,330,082</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3,318,752</w:t>
            </w:r>
          </w:p>
        </w:tc>
        <w:tc>
          <w:tcPr>
            <w:tcW w:w="20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2,542,636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Notes and other debt, net</w:t>
            </w:r>
            <w:r>
              <w:rPr>
                <w:rFonts w:ascii="Arial" w:cs="Arial" w:eastAsia="Arial" w:hAnsi="Arial"/>
                <w:sz w:val="10"/>
                <w:szCs w:val="10"/>
                <w:color w:val="auto"/>
              </w:rPr>
              <w:t>(2)</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5,070,673</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4,901,515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4,539,026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4,082,749</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3,505,228</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Convertible preferred stock</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86,508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80,552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shareholders' (deficit) equity</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(1,483,164)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(1,493,203)</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(1,207,142)</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(1,402,445)</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(1,166,906)</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b w:val="1"/>
                <w:bCs w:val="1"/>
                <w:color w:val="auto"/>
              </w:rPr>
              <w:t>Other Data:</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Dividends paid</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138,731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426,094</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400,210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367,830</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156,854</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Funds from operations ("FFO")</w:t>
            </w:r>
            <w:r>
              <w:rPr>
                <w:rFonts w:ascii="Arial" w:cs="Arial" w:eastAsia="Arial" w:hAnsi="Arial"/>
                <w:sz w:val="10"/>
                <w:szCs w:val="10"/>
                <w:color w:val="auto"/>
              </w:rPr>
              <w:t>(3)</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300,937</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373,741</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352,477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346,051</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259,829</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Diluted FFO per common share</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funds from operations ("AFFO")</w:t>
            </w:r>
            <w:r>
              <w:rPr>
                <w:rFonts w:ascii="Arial" w:cs="Arial" w:eastAsia="Arial" w:hAnsi="Arial"/>
                <w:sz w:val="10"/>
                <w:szCs w:val="10"/>
                <w:color w:val="auto"/>
              </w:rPr>
              <w:t>(3)</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412,458</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443,755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424,824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398,537</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267,077</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Diluted AFFO per common share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2.51</w:t>
            </w:r>
          </w:p>
        </w:tc>
        <w:tc>
          <w:tcPr>
            <w:tcW w:w="2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2.51</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2.61</w:t>
            </w:r>
          </w:p>
        </w:tc>
        <w:tc>
          <w:tcPr>
            <w:tcW w:w="20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1.78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 Information not applicable for periods presented</w:t>
      </w:r>
    </w:p>
    <w:p>
      <w:pPr>
        <w:spacing w:after="0" w:line="15" w:lineRule="exact"/>
        <w:rPr>
          <w:sz w:val="20"/>
          <w:szCs w:val="20"/>
          <w:color w:val="auto"/>
        </w:rPr>
      </w:pPr>
    </w:p>
    <w:p>
      <w:pPr>
        <w:ind w:left="588" w:hanging="588"/>
        <w:spacing w:after="0"/>
        <w:tabs>
          <w:tab w:leader="none" w:pos="588"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periods prior to April 24, 2015, amounts represent revenues of the Consumer CLEC Business as an integrated operation within Windstream.</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7"/>
        </w:numPr>
        <w:rPr>
          <w:rFonts w:ascii="Arial" w:cs="Arial" w:eastAsia="Arial" w:hAnsi="Arial"/>
          <w:sz w:val="12"/>
          <w:szCs w:val="12"/>
          <w:color w:val="auto"/>
        </w:rPr>
      </w:pPr>
      <w:r>
        <w:rPr>
          <w:rFonts w:ascii="Arial" w:cs="Arial" w:eastAsia="Arial" w:hAnsi="Arial"/>
          <w:sz w:val="12"/>
          <w:szCs w:val="12"/>
          <w:color w:val="auto"/>
        </w:rPr>
        <w:t>As of December 31, 2019, 2018, 2017 and 2016, amount includes $53.0 million, $55.3 million, $56.3 million and $54.5 million of finance lease obligations, respectively.</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For a more detailed discussion and reconciliation of FFO and AFFO, see “Non-GAAP Financial Measures” in </w:t>
      </w:r>
      <w:hyperlink w:anchor="page35">
        <w:r>
          <w:rPr>
            <w:rFonts w:ascii="Arial" w:cs="Arial" w:eastAsia="Arial" w:hAnsi="Arial"/>
            <w:sz w:val="12"/>
            <w:szCs w:val="12"/>
            <w:u w:val="single" w:color="auto"/>
            <w:color w:val="0000EE"/>
          </w:rPr>
          <w:t>Item 7</w:t>
        </w:r>
      </w:hyperlink>
      <w:r>
        <w:rPr>
          <w:rFonts w:ascii="Arial" w:cs="Arial" w:eastAsia="Arial" w:hAnsi="Arial"/>
          <w:sz w:val="12"/>
          <w:szCs w:val="12"/>
          <w:color w:val="auto"/>
        </w:rPr>
        <w:t>.</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4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Company Description</w:t>
      </w:r>
    </w:p>
    <w:p>
      <w:pPr>
        <w:spacing w:after="0" w:line="150" w:lineRule="exact"/>
        <w:rPr>
          <w:sz w:val="20"/>
          <w:szCs w:val="20"/>
          <w:color w:val="auto"/>
        </w:rPr>
      </w:pPr>
    </w:p>
    <w:p>
      <w:pPr>
        <w:ind w:right="580"/>
        <w:spacing w:after="0" w:line="323" w:lineRule="auto"/>
        <w:rPr>
          <w:sz w:val="20"/>
          <w:szCs w:val="20"/>
          <w:color w:val="auto"/>
        </w:rPr>
      </w:pPr>
      <w:r>
        <w:rPr>
          <w:rFonts w:ascii="Arial" w:cs="Arial" w:eastAsia="Arial" w:hAnsi="Arial"/>
          <w:sz w:val="11"/>
          <w:szCs w:val="11"/>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92"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certain aspects of our towers business, Uniti Towers,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24"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2019, we are the sole general partner of the Operating Partnership and own approximately 98.2% of the partnership interests in the Operating Partnership.</w:t>
      </w:r>
    </w:p>
    <w:p>
      <w:pPr>
        <w:spacing w:after="0" w:line="105" w:lineRule="exact"/>
        <w:rPr>
          <w:sz w:val="20"/>
          <w:szCs w:val="20"/>
          <w:color w:val="auto"/>
        </w:rPr>
      </w:pPr>
    </w:p>
    <w:p>
      <w:pPr>
        <w:ind w:right="160"/>
        <w:spacing w:after="0" w:line="256" w:lineRule="auto"/>
        <w:rPr>
          <w:sz w:val="20"/>
          <w:szCs w:val="20"/>
          <w:color w:val="auto"/>
        </w:rPr>
      </w:pPr>
      <w:r>
        <w:rPr>
          <w:rFonts w:ascii="Arial" w:cs="Arial" w:eastAsia="Arial" w:hAnsi="Arial"/>
          <w:sz w:val="12"/>
          <w:szCs w:val="12"/>
          <w:color w:val="auto"/>
        </w:rPr>
        <w:t>We expect to grow and diversify our portfolio and tenant base by pursuing a range of transaction structures with communication service providers, including, (i) 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We manage our operations as four reportable business segments in addition to our corporate operations:</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i w:val="1"/>
          <w:iCs w:val="1"/>
          <w:u w:val="single" w:color="auto"/>
          <w:color w:val="auto"/>
        </w:rPr>
        <w:t>Leasing Segment</w:t>
      </w:r>
      <w:r>
        <w:rPr>
          <w:rFonts w:ascii="Arial" w:cs="Arial" w:eastAsia="Arial" w:hAnsi="Arial"/>
          <w:sz w:val="12"/>
          <w:szCs w:val="12"/>
          <w:color w:val="auto"/>
        </w:rPr>
        <w:t>: Represents the results from our leasing business, Uniti Leasing, which is engaged in the acquisition of mission-critical communications assets and leasing them to anchor customers on either an exclusive or shared-tenant basis. Uniti Leasing is a component of our REIT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u w:val="single" w:color="auto"/>
          <w:color w:val="auto"/>
        </w:rPr>
        <w:t>Fiber Infrastructure Segment</w:t>
      </w:r>
      <w:r>
        <w:rPr>
          <w:rFonts w:ascii="Arial" w:cs="Arial" w:eastAsia="Arial" w:hAnsi="Arial"/>
          <w:sz w:val="11"/>
          <w:szCs w:val="11"/>
          <w:color w:val="auto"/>
        </w:rPr>
        <w:t>: Represents the operations of our fiber business, Uniti Fiber, which is a leading provider of infrastructure solutions, including cell site backhaul and dark fiber, to the telecommunications industry.</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i w:val="1"/>
          <w:iCs w:val="1"/>
          <w:u w:val="single" w:color="auto"/>
          <w:color w:val="auto"/>
        </w:rPr>
        <w:t>Towers Segment</w:t>
      </w:r>
      <w:r>
        <w:rPr>
          <w:rFonts w:ascii="Arial" w:cs="Arial" w:eastAsia="Arial" w:hAnsi="Arial"/>
          <w:sz w:val="12"/>
          <w:szCs w:val="12"/>
          <w:color w:val="auto"/>
        </w:rPr>
        <w:t>: Represents the operations of our towers business, Uniti Towers, through which we acquire and construct tower and tower-related real estate and lease space on communications towers to wireless service providers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tenants in the United States. On April 2, 2019, the Company completed the sale of Uniti Towers’ Latin American business and no longer has on-going operations in Latin America. On May 23, 2019, the Company completed the sale of substantially all of its ground lease business located across the United States. Portions of our towers business are a component of our REIT operations, while the remainder is owned and operated by our TRSs. Refer to “Significant Business Developments” below regarding the announced sale of U.S. tower assets.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i w:val="1"/>
          <w:iCs w:val="1"/>
          <w:u w:val="single" w:color="auto"/>
          <w:color w:val="auto"/>
        </w:rPr>
        <w:t>Consumer CLEC Segment</w:t>
      </w:r>
      <w:r>
        <w:rPr>
          <w:rFonts w:ascii="Arial" w:cs="Arial" w:eastAsia="Arial" w:hAnsi="Arial"/>
          <w:sz w:val="12"/>
          <w:szCs w:val="12"/>
          <w:color w:val="auto"/>
        </w:rPr>
        <w:t>: Represents the operations of Talk America through which we operate the Consumer CLEC Business that prior to the Spin-Off was reported as an integrated operation within Windstream. Talk America</w:t>
      </w:r>
      <w:r>
        <w:rPr>
          <w:rFonts w:ascii="Arial" w:cs="Arial" w:eastAsia="Arial" w:hAnsi="Arial"/>
          <w:sz w:val="12"/>
          <w:szCs w:val="12"/>
          <w:i w:val="1"/>
          <w:iCs w:val="1"/>
          <w:color w:val="auto"/>
        </w:rPr>
        <w:t xml:space="preserve"> </w:t>
      </w:r>
      <w:r>
        <w:rPr>
          <w:rFonts w:ascii="Arial" w:cs="Arial" w:eastAsia="Arial" w:hAnsi="Arial"/>
          <w:sz w:val="12"/>
          <w:szCs w:val="12"/>
          <w:color w:val="auto"/>
        </w:rPr>
        <w:t>provides local telephone, high-speed internet and long-distance services to customers in the eastern and central United States. We have commenced a wind down of our Consumer CLEC Business, which we estimate will be completed during the second quarter of 2020.</w:t>
      </w:r>
    </w:p>
    <w:p>
      <w:pPr>
        <w:spacing w:after="0" w:line="12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i w:val="1"/>
          <w:iCs w:val="1"/>
          <w:u w:val="single" w:color="auto"/>
          <w:color w:val="auto"/>
        </w:rPr>
        <w:t>Corporate Operations</w:t>
      </w:r>
      <w:r>
        <w:rPr>
          <w:rFonts w:ascii="Arial" w:cs="Arial" w:eastAsia="Arial" w:hAnsi="Arial"/>
          <w:sz w:val="12"/>
          <w:szCs w:val="12"/>
          <w:color w:val="auto"/>
        </w:rPr>
        <w:t>: Represents our corporate office and shared service functions. Certain costs and expenses, primarily related to headcount, information technology systems, insurance, professional fees and similar charges,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directly attributable to operations of our business segments are allocated to the respective segments.</w:t>
      </w:r>
    </w:p>
    <w:p>
      <w:pPr>
        <w:spacing w:after="0" w:line="115" w:lineRule="exact"/>
        <w:rPr>
          <w:sz w:val="20"/>
          <w:szCs w:val="20"/>
          <w:color w:val="auto"/>
        </w:rPr>
      </w:pPr>
    </w:p>
    <w:p>
      <w:pPr>
        <w:ind w:right="40"/>
        <w:spacing w:after="0" w:line="294" w:lineRule="auto"/>
        <w:rPr>
          <w:rFonts w:ascii="Arial" w:cs="Arial" w:eastAsia="Arial" w:hAnsi="Arial"/>
          <w:sz w:val="11"/>
          <w:szCs w:val="11"/>
          <w:color w:val="auto"/>
        </w:rPr>
      </w:pPr>
      <w:r>
        <w:rPr>
          <w:rFonts w:ascii="Arial" w:cs="Arial" w:eastAsia="Arial" w:hAnsi="Arial"/>
          <w:sz w:val="11"/>
          <w:szCs w:val="11"/>
          <w:color w:val="auto"/>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costs associated with Windstream’s bankruptcy, costs associated with litigation claims made against us, and costs associated with the implementation of our new enterprise resource planning system, the write off of unamortized deferred financing costs, costs incurred as a result of the early repayment of debt, gains or losses on dispositions, changes in the fair value of contingent consideration and financial instruments, and other similar items. For more information on Adjusted EBITDA, see “Non-GAAP Financial Measures.” Detailed information about our segments can be found in </w:t>
      </w:r>
      <w:hyperlink w:anchor="page115">
        <w:r>
          <w:rPr>
            <w:rFonts w:ascii="Arial" w:cs="Arial" w:eastAsia="Arial" w:hAnsi="Arial"/>
            <w:sz w:val="11"/>
            <w:szCs w:val="11"/>
            <w:color w:val="auto"/>
          </w:rPr>
          <w:t xml:space="preserve">Note 14 </w:t>
        </w:r>
      </w:hyperlink>
      <w:r>
        <w:rPr>
          <w:rFonts w:ascii="Arial" w:cs="Arial" w:eastAsia="Arial" w:hAnsi="Arial"/>
          <w:sz w:val="11"/>
          <w:szCs w:val="11"/>
          <w:color w:val="auto"/>
        </w:rPr>
        <w:t xml:space="preserve">to our consolidated financial statements contained in Part II, Item 8 </w:t>
      </w:r>
      <w:r>
        <w:rPr>
          <w:rFonts w:ascii="Arial" w:cs="Arial" w:eastAsia="Arial" w:hAnsi="Arial"/>
          <w:sz w:val="11"/>
          <w:szCs w:val="11"/>
          <w:i w:val="1"/>
          <w:iCs w:val="1"/>
          <w:color w:val="auto"/>
        </w:rPr>
        <w:t>Financial Statements and Supplementary Data</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-34290</wp:posOffset>
            </wp:positionV>
            <wp:extent cx="2432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3205" cy="57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Business Developments</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i w:val="1"/>
          <w:iCs w:val="1"/>
          <w:u w:val="single" w:color="auto"/>
          <w:color w:val="auto"/>
        </w:rPr>
        <w:t>Windstream Bankruptcy Filing.</w:t>
      </w:r>
      <w:r>
        <w:rPr>
          <w:rFonts w:ascii="Arial" w:cs="Arial" w:eastAsia="Arial" w:hAnsi="Arial"/>
          <w:sz w:val="12"/>
          <w:szCs w:val="12"/>
          <w:i w:val="1"/>
          <w:iCs w:val="1"/>
          <w:color w:val="auto"/>
        </w:rPr>
        <w:t xml:space="preserve"> </w:t>
      </w:r>
      <w:r>
        <w:rPr>
          <w:rFonts w:ascii="Arial" w:cs="Arial" w:eastAsia="Arial" w:hAnsi="Arial"/>
          <w:sz w:val="12"/>
          <w:szCs w:val="12"/>
          <w:color w:val="auto"/>
        </w:rPr>
        <w:t>Prior to its bankruptcy filing described below, Windstream was involved in litigation with an entity who acquired certain Windstream debt securities and thereafter issued a notice of default as to such</w:t>
      </w:r>
      <w:r>
        <w:rPr>
          <w:rFonts w:ascii="Arial" w:cs="Arial" w:eastAsia="Arial" w:hAnsi="Arial"/>
          <w:sz w:val="12"/>
          <w:szCs w:val="12"/>
          <w:i w:val="1"/>
          <w:iCs w:val="1"/>
          <w:color w:val="auto"/>
        </w:rPr>
        <w:t xml:space="preserve"> </w:t>
      </w:r>
      <w:r>
        <w:rPr>
          <w:rFonts w:ascii="Arial" w:cs="Arial" w:eastAsia="Arial" w:hAnsi="Arial"/>
          <w:sz w:val="12"/>
          <w:szCs w:val="12"/>
          <w:color w:val="auto"/>
        </w:rPr>
        <w:t>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i w:val="1"/>
          <w:iCs w:val="1"/>
          <w:u w:val="single" w:color="auto"/>
          <w:color w:val="auto"/>
        </w:rPr>
        <w:t>Windstream Litigation and Settlement.</w:t>
      </w:r>
      <w:r>
        <w:rPr>
          <w:rFonts w:ascii="Arial" w:cs="Arial" w:eastAsia="Arial" w:hAnsi="Arial"/>
          <w:sz w:val="12"/>
          <w:szCs w:val="12"/>
          <w:i w:val="1"/>
          <w:iCs w:val="1"/>
          <w:color w:val="auto"/>
        </w:rPr>
        <w:t xml:space="preserve"> </w:t>
      </w:r>
      <w:r>
        <w:rPr>
          <w:rFonts w:ascii="Arial" w:cs="Arial" w:eastAsia="Arial" w:hAnsi="Arial"/>
          <w:sz w:val="12"/>
          <w:szCs w:val="12"/>
          <w:color w:val="auto"/>
        </w:rPr>
        <w:t>During the first half of 2019, Windstream’s chief executive officer stated that it was evaluating all options as part of the Chapter 11 reorganization process regarding the Master Lease,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renegotiation, recharacterization and rejection of the Master Lease. As further described below, on July 25, 2019, in connection with Windstream’s bankruptcy, Windstream Holdings and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March 2, 2020, Uniti and Windstream jointly announced that they have reached an agreement in principle to resolve any and all claims and causes of action that have been or may be asserted against Uniti by Windstream, including all litigation brought by Windstream and certain of its creditors in the context of Windstream’s bankruptcy. All litigation between Windstream and Uniti will be stayed while the parties negotiate and prepare the definitive documentation to implement the Settlement.</w:t>
      </w:r>
    </w:p>
    <w:p>
      <w:pPr>
        <w:spacing w:after="0" w:line="122"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Pursuant to the Settlement, Uniti and Windstream will agree to mutual releases with respect to any and all liability related to any claims and causes of action between them, including those relating to Windstream’s Chapter 11 proceedings and the Master Lease. Under the Settlement, Uniti will agree to make a $400 million cash payment to Windstream in equal installments over 20 consecutive quarters beginning the first month after Windstream’s emergence at an annual interest rate of 9%, and Uniti may prepay any installments falling due on or after the first anniversary of the Settlement’s effective date (resulting in total payments ranging from $432-$490 million). Uniti will also transfer the proceeds from the sale of its common stock described below to Windstream. In exchange, Windstream will transfer to Uniti certain dark fiber IRU contracts (that currently generate approximately $21 million in annual operating income before depreciation and amortization) and access rights to 1.8 million fiber strand miles leased by Windstream that is either unutilized or utilized for the dark fiber IRUs being transferred. Uniti will be required to pay Windstream $350 per route mile on any fiber strand miles that are sold above and beyond the fiber strand miles currently being utilized in connection with such dark fiber IRUs. In addition, Uniti will acquire certain Windstream-owned assets, including certain fiber IRU contracts generating $8 million of annual operating income before depreciation and amortization and 0.4 million fiber strand miles covering 4,100 route miles, in exchange for $40.0 million in cash and a 20-year, zero cost, IRU for such strands.</w:t>
      </w:r>
    </w:p>
    <w:p>
      <w:pPr>
        <w:spacing w:after="0" w:line="128"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Windstream and Uniti will also agree to bifurcate the Master Lease into two structurally similar, but independent, agreements to govern the ILEC and CLEC facilities, respectively. Certain copper CLEC assets will be governed under the New Lease relating to the ILEC facilities. The initial aggregate annual rent under the New Leases will be equal to the annual rent under the Master Lease currently in effect. Each of Windstream Services, LLC, certain of its subsidiaries and/or newly formed affiliated entities will become parties to the New Leases. The New Leases will contain cross-guarantees and cross-default provisions, which will remain effective as long as Windstream or an affiliate is a tenant under one of the New Leases. In addition, the New Leases will be amended to require that Windstream maintain certain financial covenants and to permit Uniti to transfer its rights and obligations and otherwise monetize or encumber the New Leases so long as it does not transfer interests to a Windstream competitor.</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Pursuant to the Settlement, Uniti will agree to fund up to an aggregate $1.75 billion in growth capital improvements in long-term fiber and related assets in certain ILEC and CLEC properties. Growth Capital Improvements will exclude maintenance or repair expenditures and expenditures toward fiber replacement in excess of $70 million per year and will be subject to Uniti’s approval based on underwriting standards to be included in the New Leases. Annual commitments by Uniti for the Growth Capital Improvements will comprise: $125 million in 2020; $225 million per year in 2021 through 2024; $175 million per year in 2025 and 2026; and $125 million per year in 2027 through 2029. Windstream will be entitled to reimbursement for any cumulative Growth Capital Improvements it incurs in excess of the foregoing annual amounts from the commitment amounts in a subsequent period. On the first anniversary of an installment of funding for a Growth Capital Improvement, the annual base rent payable by Windstream will increase by an amount equal to 8.0% of such installment of funding. The Rent Rate will thereafter increase to 100.5% of the prior Rent Rate in subsequent years.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Pursuant to the Settlement, if Windstream is not in compliance with the terms and conditions of the New Leases, Uniti will not be required to fund Growth Capital Improvements. In the event Uniti defaults or otherwise fails to timely satisfy its obligations under the New Leases and Windstream is in compliance with the terms of the New Leases, then Windstream has the right to deduct from the subsequent rent payment or payments, amounts otherwise owed to Windstream.</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connection with the Settlement, Uniti also entered into binding letters of intent on March 2, 2020 with certain first lien creditors of Windstream, pursuant to which Uniti will sell an aggregate of 38,633,470 shares of Uniti common stock, par value $0.0001 per share, at $6.33 per share, which represents the closing price of Uniti common stock on the date when an agreement in principle of the basic outline of the Settlement was first reached. Uniti will transfer the proceeds from the sale of the Settlement Common Stock to Windstream as additional settlement consideration.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380"/>
        <w:spacing w:after="0" w:line="323" w:lineRule="auto"/>
        <w:rPr>
          <w:sz w:val="20"/>
          <w:szCs w:val="20"/>
          <w:color w:val="auto"/>
        </w:rPr>
      </w:pPr>
      <w:r>
        <w:rPr>
          <w:rFonts w:ascii="Arial" w:cs="Arial" w:eastAsia="Arial" w:hAnsi="Arial"/>
          <w:sz w:val="11"/>
          <w:szCs w:val="11"/>
          <w:color w:val="auto"/>
        </w:rPr>
        <w:t>The issuance and sale of the Settlement Common Stock will be made in reliance upon the exemption from registration requirements pursuant to Section 4(a)(2) of the Securities Act of 1933, as amended. Certain recipients of the Settlement Common Stock will be subject to a one-year lock up, and all recipients will be subject to a customary standstill agreement. No recipient will receive any governance rights in connection with the issuance.</w:t>
      </w:r>
    </w:p>
    <w:p>
      <w:pPr>
        <w:spacing w:after="0" w:line="92"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Finally, on March 2, 2020, Uniti, Windstream and certain of Windstream’s creditors entered into a Plan Support Agreement. Pursuant to the Plan Support Agreement, the Parties agreed to support the Settlement and the approval of a plan of reorganization for Windstream on the terms and subject to the conditions described therein. The Plan Support Agreement is terminable by the Parties upon the occurrence of certain specified termination events, including, among other things, (i) the failure to meet certain case milestones, including failure by Windstream to file a motion to approve the Settlement by March 12, 2020 and failure to obtain approval of the Settlement from the bankruptcy court by April 6, 2020, (ii) failure by Windstream to timely appeal any order by the bankruptcy court denying the Settlement or any order overturning an order approving the Settlement on appeal, and (iii) the issuance by a regulatory authority of an order enjoining, or the commencement of an action that could be reasonably expected to enjoin, material portions of the settlement or substantial consummation of the Settlement (subject to a 10 day cure period). The parties to the Plan Support Agreement expect the Plan to become effective, and for Windstream to emerge from bankruptcy, by August 29, 2020.</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The Settlement is subject to negotiation and execution of definitive documentation and certain regulatory approvals and conditions precedent, including bankruptcy court approval and Uniti’s receipt of satisfactory “true lease” opinions confirming that the New Leases are “true leases” for U.S. federal income tax purposes. If the settlement is not approved, Windstream could continue its litigation. See Item 3. Legal Proceedings. If that occurs, it is difficult to predict what could occur in Windstream’s bankruptcy restructuring. However, any adverse determination or judicial decision on one or more of the claims against us could materially adversely affect our consolidated results of operations, liquidity, and financial condition or, in certain circumstances, cause us to file for voluntary Chapter 11 protection</w:t>
      </w:r>
      <w:r>
        <w:rPr>
          <w:rFonts w:ascii="Arial" w:cs="Arial" w:eastAsia="Arial" w:hAnsi="Arial"/>
          <w:sz w:val="14"/>
          <w:szCs w:val="14"/>
          <w:color w:val="auto"/>
        </w:rPr>
        <w:t>.</w:t>
      </w:r>
    </w:p>
    <w:p>
      <w:pPr>
        <w:spacing w:after="0" w:line="120" w:lineRule="exact"/>
        <w:rPr>
          <w:sz w:val="20"/>
          <w:szCs w:val="20"/>
          <w:color w:val="auto"/>
        </w:rPr>
      </w:pPr>
    </w:p>
    <w:p>
      <w:pPr>
        <w:ind w:right="100"/>
        <w:spacing w:after="0" w:line="278" w:lineRule="auto"/>
        <w:rPr>
          <w:sz w:val="20"/>
          <w:szCs w:val="20"/>
          <w:color w:val="auto"/>
        </w:rPr>
      </w:pPr>
      <w:r>
        <w:rPr>
          <w:rFonts w:ascii="Arial" w:cs="Arial" w:eastAsia="Arial" w:hAnsi="Arial"/>
          <w:sz w:val="11"/>
          <w:szCs w:val="11"/>
          <w:i w:val="1"/>
          <w:iCs w:val="1"/>
          <w:u w:val="single" w:color="auto"/>
          <w:color w:val="auto"/>
        </w:rPr>
        <w:t>Going Concern.</w:t>
      </w:r>
      <w:r>
        <w:rPr>
          <w:rFonts w:ascii="Arial" w:cs="Arial" w:eastAsia="Arial" w:hAnsi="Arial"/>
          <w:sz w:val="11"/>
          <w:szCs w:val="11"/>
          <w:i w:val="1"/>
          <w:iCs w:val="1"/>
          <w:color w:val="auto"/>
        </w:rPr>
        <w:t xml:space="preserve"> </w:t>
      </w:r>
      <w:r>
        <w:rPr>
          <w:rFonts w:ascii="Arial" w:cs="Arial" w:eastAsia="Arial" w:hAnsi="Arial"/>
          <w:sz w:val="11"/>
          <w:szCs w:val="11"/>
          <w:color w:val="auto"/>
        </w:rPr>
        <w:t>There are conditions and events which raise substantial doubt about our ability to continue as a going concern, and in its opinion on our December 31, 2019 financial statements, PricewaterhouseCoopers LLP, our</w:t>
      </w:r>
      <w:r>
        <w:rPr>
          <w:rFonts w:ascii="Arial" w:cs="Arial" w:eastAsia="Arial" w:hAnsi="Arial"/>
          <w:sz w:val="11"/>
          <w:szCs w:val="11"/>
          <w:i w:val="1"/>
          <w:iCs w:val="1"/>
          <w:color w:val="auto"/>
        </w:rPr>
        <w:t xml:space="preserve"> </w:t>
      </w:r>
      <w:r>
        <w:rPr>
          <w:rFonts w:ascii="Arial" w:cs="Arial" w:eastAsia="Arial" w:hAnsi="Arial"/>
          <w:sz w:val="11"/>
          <w:szCs w:val="11"/>
          <w:color w:val="auto"/>
        </w:rPr>
        <w:t>independent registered public accounting firm, expressed substantial doubt as to whether we could continue as a going concern during the one year period following the date those financial statements were issued as a result of Windstream’s bankruptcy petition, the bankruptcy’s potential uncertain effects on the Master Lease, and uncertainties surrounding the satisfaction of conditions required for our settlement with Windstream to be effectuated. Our financial statements do not include any adjustments that may result from the outcome of this uncertainty. If the settlement is not implemented, we expect Windstream will continue to perform on the Master Lease and believe it is unlikely that Windstream will reject the Master Lease because the Master Lease is central to Windstream’s operations. We also believe that it is unlikely that a court will determine that the Master Lease should be recharacterized as a financing transaction, that the Master Lease is a lease of personal property, or that rent payments and tenant capital improvements made by Windstream under the Master Lease since at least the third quarter of 2017 constitute constructive fraudulent transfers. We have reduced our dividend and may reduce our capital expenditures, as well as seek external funding in order to sustain our operations. The failure to provide 2019 audited financial statements without a going concern opinion to the lenders under our Credit Agreement by March 31, 2020 would have constituted a breach of the covenants and an immediate event of default under our Credit Agreement, unless waived by our lenders. If an event of default were to have occurred under our Credit Agreement, the Credit Agreement’s administrative agent could have declared all outstanding loans immediately due and payable. Such an acceleration would have triggered cross-default provisions within the indentures governing our senior notes and thereby would have entitled the trustee and noteholders to accelerate the repayment of the senior notes.</w:t>
      </w:r>
    </w:p>
    <w:p>
      <w:pPr>
        <w:spacing w:after="0" w:line="119"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See “—Amendments to Credit Agreement” below.</w:t>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10"/>
          <w:szCs w:val="10"/>
          <w:i w:val="1"/>
          <w:iCs w:val="1"/>
          <w:u w:val="single" w:color="auto"/>
          <w:color w:val="auto"/>
        </w:rPr>
        <w:t>Secured Notes Offering.</w:t>
      </w:r>
      <w:r>
        <w:rPr>
          <w:rFonts w:ascii="Arial" w:cs="Arial" w:eastAsia="Arial" w:hAnsi="Arial"/>
          <w:sz w:val="10"/>
          <w:szCs w:val="10"/>
          <w:i w:val="1"/>
          <w:iCs w:val="1"/>
          <w:color w:val="auto"/>
        </w:rPr>
        <w:t xml:space="preserve"> </w:t>
      </w:r>
      <w:r>
        <w:rPr>
          <w:rFonts w:ascii="Arial" w:cs="Arial" w:eastAsia="Arial" w:hAnsi="Arial"/>
          <w:sz w:val="10"/>
          <w:szCs w:val="10"/>
          <w:color w:val="auto"/>
        </w:rPr>
        <w:t>On February 10, 2020, the Operating Partnership, CSL Capital, LLC, Uniti Group Finance 2019 Inc. and Uniti Fiber, as co-issuers, issued $2.25 billion aggregate principal amount of 7.875% senior secured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notes due 2025 at an issue prices of 100% of par value. The issuers used the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115"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i w:val="1"/>
          <w:iCs w:val="1"/>
          <w:u w:val="single" w:color="auto"/>
          <w:color w:val="auto"/>
        </w:rPr>
        <w:t>Sale of U.S. Tower Assets.</w:t>
      </w:r>
      <w:r>
        <w:rPr>
          <w:rFonts w:ascii="Arial" w:cs="Arial" w:eastAsia="Arial" w:hAnsi="Arial"/>
          <w:sz w:val="12"/>
          <w:szCs w:val="12"/>
          <w:i w:val="1"/>
          <w:iCs w:val="1"/>
          <w:color w:val="auto"/>
        </w:rPr>
        <w:t xml:space="preserve"> </w:t>
      </w:r>
      <w:r>
        <w:rPr>
          <w:rFonts w:ascii="Arial" w:cs="Arial" w:eastAsia="Arial" w:hAnsi="Arial"/>
          <w:sz w:val="12"/>
          <w:szCs w:val="12"/>
          <w:color w:val="auto"/>
        </w:rPr>
        <w:t>In February 2020, we entered into a definitive agreement to sell 486 of our U.S. towers located across 32 states for total cash consideration of approximately $190 million, subject to adjustments. Concurrent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sale of the U.S. towers, we entered into a strategic “off-take” tower arrangement with a wireless infrastructure partner. Pursuant to the “off-take” arrangement, we will continue to build towers in the U.S. and sell those towers to our partner at an agreed upon price during 2020. We also have the option to extend the “off-take” arrangement to 2021.</w:t>
      </w:r>
    </w:p>
    <w:p>
      <w:pPr>
        <w:spacing w:after="0" w:line="12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The definitive agreement includes a "go-shop" provision, which permits Uniti's Board of Directors and its advisors to solicit alternative proposals from third parties. Uniti will have the right to terminate the agreement to enter into a superior proposal subject to certain terms and conditions.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i w:val="1"/>
          <w:iCs w:val="1"/>
          <w:u w:val="single" w:color="auto"/>
          <w:color w:val="auto"/>
        </w:rPr>
        <w:t>Bluebird Network, LLC.</w:t>
      </w:r>
      <w:r>
        <w:rPr>
          <w:rFonts w:ascii="Arial" w:cs="Arial" w:eastAsia="Arial" w:hAnsi="Arial"/>
          <w:sz w:val="12"/>
          <w:szCs w:val="12"/>
          <w:i w:val="1"/>
          <w:iCs w:val="1"/>
          <w:color w:val="auto"/>
        </w:rPr>
        <w:t xml:space="preserve"> </w:t>
      </w:r>
      <w:r>
        <w:rPr>
          <w:rFonts w:ascii="Arial" w:cs="Arial" w:eastAsia="Arial" w:hAnsi="Arial"/>
          <w:sz w:val="12"/>
          <w:szCs w:val="12"/>
          <w:color w:val="auto"/>
        </w:rPr>
        <w:t>On August 30, 2019, the Company closed on its OpCo-PropCo transaction with Macquarie Infrastructure Partners (“MIP”) to acquire Bluebird Network, LLC (“Bluebird”). MIP operates within the Macquarie</w:t>
      </w:r>
      <w:r>
        <w:rPr>
          <w:rFonts w:ascii="Arial" w:cs="Arial" w:eastAsia="Arial" w:hAnsi="Arial"/>
          <w:sz w:val="12"/>
          <w:szCs w:val="12"/>
          <w:i w:val="1"/>
          <w:iCs w:val="1"/>
          <w:color w:val="auto"/>
        </w:rPr>
        <w:t xml:space="preserve"> </w:t>
      </w:r>
      <w:r>
        <w:rPr>
          <w:rFonts w:ascii="Arial" w:cs="Arial" w:eastAsia="Arial" w:hAnsi="Arial"/>
          <w:sz w:val="12"/>
          <w:szCs w:val="12"/>
          <w:color w:val="auto"/>
        </w:rPr>
        <w:t>Infrastructure and Real Assets division of Macquarie Group. Bluebird’s network consists of approximately 178,000 fiber strand miles in the Midwest across Missouri, Kansas, Illinois and Oklahoma. In the transaction, Uniti has purchased the Bluebird fiber network and MIP has purchased the Bluebird operations. In addition, Uniti has sold Uniti Fiber’s Midwest operations to MIP, while Uniti retains its existing Midwest fiber network. Uniti acquired the fiber network of Bluebird for $321 million, of which $175 million was funded by Uniti in cash and $144 million from pre-paid rent received from MIP at closing. In connection with the sale of the Company’s Midwest operations, we received total upfront cash of approximately $37 million, including related pre-paid rent received from MIP at closing. Concurrently with the closing of these transactions, Uniti leased the Bluebird fiber network and its Midwest fiber network on a combined basis to MIP, under a long-term triple net lease. The lease is reported within the results of our Leasing segment. The Midwest operations that were sold to MIP was previously reported in our Fiber Infrastructure segment.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Under the terms of our lease with MIP (the “Bluebird Lease”), we have the right, but not the obligation, to fund growth capital expenditures. Assets constructed with our capital become a part of the leased assets upon completion. MIP will compensate the Company from the date of funding based on a mix of fixed and variable payments as stipulated in the lease agreement. The Company will recognize revenue associated with these assets from the date of completion through the end of the initial lease term. As of December 31, 2019, the Company has committed to fund approximately $22.7 million of growth capital expenditures, of which $11.4 million was funded during the year ended December 31, 2019.</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i w:val="1"/>
          <w:iCs w:val="1"/>
          <w:u w:val="single" w:color="auto"/>
          <w:color w:val="auto"/>
        </w:rPr>
        <w:t>Convertible Preferred Stock Conversion.</w:t>
      </w:r>
      <w:r>
        <w:rPr>
          <w:rFonts w:ascii="Arial" w:cs="Arial" w:eastAsia="Arial" w:hAnsi="Arial"/>
          <w:sz w:val="12"/>
          <w:szCs w:val="12"/>
          <w:i w:val="1"/>
          <w:iCs w:val="1"/>
          <w:color w:val="auto"/>
        </w:rPr>
        <w:t xml:space="preserve"> </w:t>
      </w:r>
      <w:r>
        <w:rPr>
          <w:rFonts w:ascii="Arial" w:cs="Arial" w:eastAsia="Arial" w:hAnsi="Arial"/>
          <w:sz w:val="12"/>
          <w:szCs w:val="12"/>
          <w:color w:val="auto"/>
        </w:rPr>
        <w:t>On July 2, 2019, the Company issued 8,677,163 shares of its common stock in connection with the conversion by PEG Bandwidth Holdings, LLC of 87,500 shares of the Company’s 3.00%</w:t>
      </w:r>
      <w:r>
        <w:rPr>
          <w:rFonts w:ascii="Arial" w:cs="Arial" w:eastAsia="Arial" w:hAnsi="Arial"/>
          <w:sz w:val="12"/>
          <w:szCs w:val="12"/>
          <w:i w:val="1"/>
          <w:iCs w:val="1"/>
          <w:color w:val="auto"/>
        </w:rPr>
        <w:t xml:space="preserve"> </w:t>
      </w:r>
      <w:r>
        <w:rPr>
          <w:rFonts w:ascii="Arial" w:cs="Arial" w:eastAsia="Arial" w:hAnsi="Arial"/>
          <w:sz w:val="12"/>
          <w:szCs w:val="12"/>
          <w:color w:val="auto"/>
        </w:rPr>
        <w:t>Series A Convertible Preferred Stock (the “Series A Shares”). The Company issued common stock with a total value of $87.5 million, with the total number of shares calculated based on the five-day volume weighted average price of its common stock ending on June 27, 2019. Upon conversion, all outstanding Series A Shares were cancelled and no longer remain outstanding.</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1"/>
          <w:szCs w:val="11"/>
          <w:i w:val="1"/>
          <w:iCs w:val="1"/>
          <w:u w:val="single" w:color="auto"/>
          <w:color w:val="auto"/>
        </w:rPr>
        <w:t>Exchangeable Notes Offering.</w:t>
      </w:r>
      <w:r>
        <w:rPr>
          <w:rFonts w:ascii="Arial" w:cs="Arial" w:eastAsia="Arial" w:hAnsi="Arial"/>
          <w:sz w:val="11"/>
          <w:szCs w:val="11"/>
          <w:i w:val="1"/>
          <w:iCs w:val="1"/>
          <w:color w:val="auto"/>
        </w:rPr>
        <w:t xml:space="preserve"> </w:t>
      </w:r>
      <w:r>
        <w:rPr>
          <w:rFonts w:ascii="Arial" w:cs="Arial" w:eastAsia="Arial" w:hAnsi="Arial"/>
          <w:sz w:val="11"/>
          <w:szCs w:val="11"/>
          <w:color w:val="auto"/>
        </w:rPr>
        <w:t>On June 28, 2019, Uniti Fiber Holdings Inc. (“Uniti Fiber”), a subsidiary of the Company, issued $345 million aggregate principal amount of 4.00% Exchangeable Senior Notes due 2024 (the</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“Exchangeable Notes”). The Exchangeable Notes are guaranteed by the Company and each of the Company’s subsidiaries (other than Uniti Fiber) that is an issuer, obligor or guarantor under the Company’s other outstanding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The Exchangeable Notes will mature on June 15, 2024, unless earlier exchanged, redeemed or repurchased.</w:t>
      </w:r>
    </w:p>
    <w:p>
      <w:pPr>
        <w:spacing w:after="0" w:line="11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net proceeds from the sale of the Exchangeable Notes were approximately $334.7 million, after deducting discounts and commissions to the initial purchasers of the Exchangeable Notes. A portion of the net proceeds were used to repay outstanding borrowings under our senior secured revolving credit facility, variable rate, that matures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 xml:space="preserve">April 24, 2022 pursuant to the Credit Agreement (the “Revolving Credit Facility”), as described below, and to pay the cost of the exchangeable note hedge transactions, as described in Note 9 to our consolidated financial statements contained in Part II,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 The remaining net proceeds were used for general corporate purposes, which included funding acquisitions and the repayment of additional borrowings under the Revolving Credit Facility.</w:t>
      </w:r>
    </w:p>
    <w:p>
      <w:pPr>
        <w:spacing w:after="0" w:line="122"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i w:val="1"/>
          <w:iCs w:val="1"/>
          <w:u w:val="single" w:color="auto"/>
          <w:color w:val="auto"/>
        </w:rPr>
        <w:t>Amendments to Credit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On June 24, 2019, we entered into an amendment (the “Fifth Amendment”) to our Credit Agreement to extend the maturity date of $575.9 million of commitments under the Revolving Credit Facility</w:t>
      </w:r>
      <w:r>
        <w:rPr>
          <w:rFonts w:ascii="Arial" w:cs="Arial" w:eastAsia="Arial" w:hAnsi="Arial"/>
          <w:sz w:val="12"/>
          <w:szCs w:val="12"/>
          <w:i w:val="1"/>
          <w:iCs w:val="1"/>
          <w:color w:val="auto"/>
        </w:rPr>
        <w:t xml:space="preserve"> </w:t>
      </w:r>
      <w:r>
        <w:rPr>
          <w:rFonts w:ascii="Arial" w:cs="Arial" w:eastAsia="Arial" w:hAnsi="Arial"/>
          <w:sz w:val="12"/>
          <w:szCs w:val="12"/>
          <w:color w:val="auto"/>
        </w:rPr>
        <w:t>to April 24, 2022,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above to fund the repayments.</w:t>
      </w:r>
    </w:p>
    <w:p>
      <w:pPr>
        <w:spacing w:after="0" w:line="128" w:lineRule="exact"/>
        <w:rPr>
          <w:sz w:val="20"/>
          <w:szCs w:val="20"/>
          <w:color w:val="auto"/>
        </w:rPr>
      </w:pPr>
    </w:p>
    <w:p>
      <w:pPr>
        <w:ind w:right="200"/>
        <w:spacing w:after="0" w:line="256" w:lineRule="auto"/>
        <w:rPr>
          <w:sz w:val="20"/>
          <w:szCs w:val="20"/>
          <w:color w:val="auto"/>
        </w:rPr>
      </w:pPr>
      <w:r>
        <w:rPr>
          <w:rFonts w:ascii="Arial" w:cs="Arial" w:eastAsia="Arial" w:hAnsi="Arial"/>
          <w:sz w:val="12"/>
          <w:szCs w:val="12"/>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In addition to the restrictions imposed by the Fourth Amendment (as set forth in Part I, Item 1A “Risk Factors”),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2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i w:val="1"/>
          <w:iCs w:val="1"/>
          <w:u w:val="single" w:color="auto"/>
          <w:color w:val="auto"/>
        </w:rPr>
        <w:t>Sale of Ground Lease Portfolio.</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completed the sale of substantially all of its ground lease business located across the United States for cash consideration of approximately $33.6 million, realizing a pre-tax gain of $5.2</w:t>
      </w:r>
      <w:r>
        <w:rPr>
          <w:rFonts w:ascii="Arial" w:cs="Arial" w:eastAsia="Arial" w:hAnsi="Arial"/>
          <w:sz w:val="12"/>
          <w:szCs w:val="12"/>
          <w:i w:val="1"/>
          <w:iCs w:val="1"/>
          <w:color w:val="auto"/>
        </w:rPr>
        <w:t xml:space="preserve"> </w:t>
      </w:r>
      <w:r>
        <w:rPr>
          <w:rFonts w:ascii="Arial" w:cs="Arial" w:eastAsia="Arial" w:hAnsi="Arial"/>
          <w:sz w:val="12"/>
          <w:szCs w:val="12"/>
          <w:color w:val="auto"/>
        </w:rPr>
        <w:t>million.</w:t>
      </w:r>
    </w:p>
    <w:p>
      <w:pPr>
        <w:spacing w:after="0" w:line="115" w:lineRule="exact"/>
        <w:rPr>
          <w:sz w:val="20"/>
          <w:szCs w:val="20"/>
          <w:color w:val="auto"/>
        </w:rPr>
      </w:pPr>
    </w:p>
    <w:p>
      <w:pPr>
        <w:spacing w:after="0" w:line="323" w:lineRule="auto"/>
        <w:rPr>
          <w:sz w:val="20"/>
          <w:szCs w:val="20"/>
          <w:color w:val="auto"/>
        </w:rPr>
      </w:pPr>
      <w:r>
        <w:rPr>
          <w:rFonts w:ascii="Arial" w:cs="Arial" w:eastAsia="Arial" w:hAnsi="Arial"/>
          <w:sz w:val="11"/>
          <w:szCs w:val="11"/>
          <w:i w:val="1"/>
          <w:iCs w:val="1"/>
          <w:u w:val="single" w:color="auto"/>
          <w:color w:val="auto"/>
        </w:rPr>
        <w:t>Sale of Latin American Tower Portfolio.</w:t>
      </w:r>
      <w:r>
        <w:rPr>
          <w:rFonts w:ascii="Arial" w:cs="Arial" w:eastAsia="Arial" w:hAnsi="Arial"/>
          <w:sz w:val="11"/>
          <w:szCs w:val="11"/>
          <w:i w:val="1"/>
          <w:iCs w:val="1"/>
          <w:color w:val="auto"/>
        </w:rPr>
        <w:t xml:space="preserve"> </w:t>
      </w:r>
      <w:r>
        <w:rPr>
          <w:rFonts w:ascii="Arial" w:cs="Arial" w:eastAsia="Arial" w:hAnsi="Arial"/>
          <w:sz w:val="11"/>
          <w:szCs w:val="11"/>
          <w:color w:val="auto"/>
        </w:rPr>
        <w:t>During 2019, the Company completed the sale of the Uniti Towers’ Latin American business to an entity controlled by Phoenix Towers International (“PTI”). At closing, PTI acquired 498 towers</w:t>
      </w:r>
      <w:r>
        <w:rPr>
          <w:rFonts w:ascii="Arial" w:cs="Arial" w:eastAsia="Arial" w:hAnsi="Arial"/>
          <w:sz w:val="11"/>
          <w:szCs w:val="11"/>
          <w:i w:val="1"/>
          <w:iCs w:val="1"/>
          <w:color w:val="auto"/>
        </w:rPr>
        <w:t xml:space="preserve"> </w:t>
      </w:r>
      <w:r>
        <w:rPr>
          <w:rFonts w:ascii="Arial" w:cs="Arial" w:eastAsia="Arial" w:hAnsi="Arial"/>
          <w:sz w:val="11"/>
          <w:szCs w:val="11"/>
          <w:color w:val="auto"/>
        </w:rPr>
        <w:t>located across Mexico, Colombia and Nicaragua. Total consideration was approximately $100 million. For the year ended December 31, 2019, we recorded a pre-tax gain of $23.8 million related to this sale.</w:t>
      </w:r>
    </w:p>
    <w:p>
      <w:pPr>
        <w:spacing w:after="0" w:line="92"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i w:val="1"/>
          <w:iCs w:val="1"/>
          <w:u w:val="single" w:color="auto"/>
          <w:color w:val="auto"/>
        </w:rPr>
        <w:t>Consumer CLEC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On April 23, 2019, Windstream provided notice to Uniti of its termination of (i) the Wholesale Master Services Agreement between Windstream Communications, Inc. and Talk America, (ii) the Master</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Agreement between Windstream Services, LLC and Talk America, and (iii) the Billing and Remittance Agreement between Windstream Services, LLC and CSL National, LP, each dated April 24, 2015 (collectively the “Agreements”). The termination of the Agreements is effective April 20, 2020. Under the Agreements, Windstream provides us transport, provisioning, repair and billing and collection services necessary to operate our Consumer CLEC Business. We currently do not have the infrastructure necessary to perform these services in the absence of the Agreements. We have evaluated the costs of building out the required infrastructure and have determined that incurring such costs would not be economically feasible. Furthermore, we have evaluated potential strategic alternatives with respect to the Consumer CLEC Business, including retaining other vendors to perform the services currently provided under the Agreements, and an outright sale of all or parts of the business, but have not identified viable alternatives. As a result, we have commenced a wind down of our Consumer CLEC Business, which includes customer notifications and terminations. We anticipate that the business will be completely wound down prior to the April 20, 2020 effective date of the termination of the Agreements. The subsidiaries comprising our Consumer CLEC Business are direct subsidiaries of Uniti Group Inc. and are not subsidiaries of the Operating Partnership, which is a primary obligor and/or guarantor under our Credit Agreement and our outstanding notes, and do not guarantee such debt. Other than the assets and liabilities and results related to the Consumer CLEC Business, which are immaterial, the financial condition and results of operations of the Operating Partnership and Uniti Group Inc. are identical in all material respects.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2019 and 2018</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sets forth, for the periods indicated, our results of operations expressed as dollars and as a percentage of total revenues: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Year Ended</w:t>
            </w: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 of</w:t>
            </w:r>
          </w:p>
        </w:tc>
        <w:tc>
          <w:tcPr>
            <w:tcW w:w="200" w:type="dxa"/>
            <w:vAlign w:val="bottom"/>
          </w:tcPr>
          <w:p>
            <w:pPr>
              <w:spacing w:after="0"/>
              <w:rPr>
                <w:sz w:val="10"/>
                <w:szCs w:val="10"/>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Year Ended</w:t>
            </w: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 of</w:t>
            </w:r>
          </w:p>
        </w:tc>
        <w:tc>
          <w:tcPr>
            <w:tcW w:w="0" w:type="dxa"/>
            <w:vAlign w:val="bottom"/>
          </w:tcPr>
          <w:p>
            <w:pPr>
              <w:spacing w:after="0"/>
              <w:rPr>
                <w:sz w:val="1"/>
                <w:szCs w:val="1"/>
                <w:color w:val="auto"/>
              </w:rPr>
            </w:pPr>
          </w:p>
        </w:tc>
      </w:tr>
      <w:tr>
        <w:trPr>
          <w:trHeight w:val="113"/>
        </w:trPr>
        <w:tc>
          <w:tcPr>
            <w:tcW w:w="440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w w:val="97"/>
              </w:rPr>
              <w:t>December 31, 2019</w:t>
            </w:r>
          </w:p>
        </w:tc>
        <w:tc>
          <w:tcPr>
            <w:tcW w:w="10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Revenues</w:t>
            </w:r>
          </w:p>
        </w:tc>
        <w:tc>
          <w:tcPr>
            <w:tcW w:w="200" w:type="dxa"/>
            <w:vAlign w:val="bottom"/>
          </w:tcPr>
          <w:p>
            <w:pPr>
              <w:spacing w:after="0"/>
              <w:rPr>
                <w:sz w:val="9"/>
                <w:szCs w:val="9"/>
                <w:color w:val="auto"/>
              </w:rPr>
            </w:pPr>
          </w:p>
        </w:tc>
        <w:tc>
          <w:tcPr>
            <w:tcW w:w="1520" w:type="dxa"/>
            <w:vAlign w:val="bottom"/>
            <w:gridSpan w:val="2"/>
          </w:tcPr>
          <w:p>
            <w:pPr>
              <w:jc w:val="right"/>
              <w:ind w:right="600"/>
              <w:spacing w:after="0" w:line="114" w:lineRule="exact"/>
              <w:rPr>
                <w:sz w:val="20"/>
                <w:szCs w:val="20"/>
                <w:color w:val="auto"/>
              </w:rPr>
            </w:pPr>
            <w:r>
              <w:rPr>
                <w:rFonts w:ascii="Arial" w:cs="Arial" w:eastAsia="Arial" w:hAnsi="Arial"/>
                <w:sz w:val="10"/>
                <w:szCs w:val="10"/>
                <w:b w:val="1"/>
                <w:bCs w:val="1"/>
                <w:color w:val="auto"/>
                <w:w w:val="99"/>
              </w:rPr>
              <w:t>December 31, 2018</w:t>
            </w:r>
          </w:p>
        </w:tc>
        <w:tc>
          <w:tcPr>
            <w:tcW w:w="9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0"/>
              </w:rPr>
              <w:t>Revenues</w:t>
            </w:r>
          </w:p>
        </w:tc>
        <w:tc>
          <w:tcPr>
            <w:tcW w:w="0" w:type="dxa"/>
            <w:vAlign w:val="bottom"/>
          </w:tcPr>
          <w:p>
            <w:pPr>
              <w:spacing w:after="0"/>
              <w:rPr>
                <w:sz w:val="1"/>
                <w:szCs w:val="1"/>
                <w:color w:val="auto"/>
              </w:rPr>
            </w:pPr>
          </w:p>
        </w:tc>
      </w:tr>
      <w:tr>
        <w:trPr>
          <w:trHeight w:val="142"/>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Leasing</w:t>
            </w:r>
          </w:p>
        </w:tc>
        <w:tc>
          <w:tcPr>
            <w:tcW w:w="16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716,640</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3"/>
              </w:rPr>
              <w:t>67.8%</w:t>
            </w:r>
          </w:p>
        </w:tc>
        <w:tc>
          <w:tcPr>
            <w:tcW w:w="26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699,847</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8"/>
              </w:rPr>
              <w:t>68.8%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315,605</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29.8%</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28.4%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Tower</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14,693</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1.4%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14,617</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4"/>
              </w:rPr>
              <w:t>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Consumer CLEC</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10,673</w:t>
            </w:r>
          </w:p>
        </w:tc>
        <w:tc>
          <w:tcPr>
            <w:tcW w:w="28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1.0%</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6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tcPr>
          <w:p>
            <w:pPr>
              <w:ind w:left="320"/>
              <w:spacing w:after="0"/>
              <w:rPr>
                <w:sz w:val="20"/>
                <w:szCs w:val="20"/>
                <w:color w:val="auto"/>
              </w:rPr>
            </w:pPr>
            <w:r>
              <w:rPr>
                <w:rFonts w:ascii="Arial" w:cs="Arial" w:eastAsia="Arial" w:hAnsi="Arial"/>
                <w:sz w:val="12"/>
                <w:szCs w:val="12"/>
                <w:color w:val="auto"/>
              </w:rPr>
              <w:t>Total revenues</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1,057,611</w:t>
            </w:r>
          </w:p>
        </w:tc>
        <w:tc>
          <w:tcPr>
            <w:tcW w:w="2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1,017,634</w:t>
            </w:r>
          </w:p>
        </w:tc>
        <w:tc>
          <w:tcPr>
            <w:tcW w:w="2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Interest expense, net</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390,112</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3"/>
              </w:rPr>
              <w:t>36.9%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319,591</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8"/>
              </w:rPr>
              <w:t>31.4%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405,754</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38.4%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44.4%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General and administrative expense</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102,900</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9.7%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85,198</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4"/>
              </w:rPr>
              <w:t>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expense (exclusive of depreciation and amortization)</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160,024</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15.1%</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137,065</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13.5%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Transaction related and other costs</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43,708</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4.1%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17,410</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4"/>
              </w:rPr>
              <w:t>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Gain on sale of real estate</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(28,995)</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(2.7%)</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8"/>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Other income, net</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2"/>
                <w:szCs w:val="12"/>
                <w:color w:val="auto"/>
              </w:rPr>
              <w:t>(31,463)</w:t>
            </w:r>
          </w:p>
        </w:tc>
        <w:tc>
          <w:tcPr>
            <w:tcW w:w="820" w:type="dxa"/>
            <w:vAlign w:val="bottom"/>
          </w:tcPr>
          <w:p>
            <w:pPr>
              <w:jc w:val="center"/>
              <w:spacing w:after="0"/>
              <w:rPr>
                <w:sz w:val="20"/>
                <w:szCs w:val="20"/>
                <w:color w:val="auto"/>
              </w:rPr>
            </w:pPr>
            <w:r>
              <w:rPr>
                <w:rFonts w:ascii="Arial" w:cs="Arial" w:eastAsia="Arial" w:hAnsi="Arial"/>
                <w:sz w:val="12"/>
                <w:szCs w:val="12"/>
                <w:color w:val="auto"/>
                <w:w w:val="90"/>
              </w:rPr>
              <w:t>(3.0%)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(4,504)</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costs and expenses</w:t>
            </w:r>
          </w:p>
        </w:tc>
        <w:tc>
          <w:tcPr>
            <w:tcW w:w="13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1,042,040</w:t>
            </w: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3"/>
              </w:rPr>
              <w:t>98.5%</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1,006,510</w:t>
            </w: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98.9%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Income before income taxes</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15,571</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1.5%</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11,124</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1.1%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Income tax expense (benefit)</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4,663</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0.5%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(5,421)</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income</w:t>
            </w:r>
          </w:p>
        </w:tc>
        <w:tc>
          <w:tcPr>
            <w:tcW w:w="13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1.0%</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1.6%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3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0.0%</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w:t>
            </w:r>
          </w:p>
        </w:tc>
        <w:tc>
          <w:tcPr>
            <w:tcW w:w="2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0.0%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income attributable to shareholders</w:t>
            </w: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10,582</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1.0%</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16,187</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Participating securities' share in earnings</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2"/>
                <w:szCs w:val="12"/>
                <w:color w:val="auto"/>
              </w:rPr>
              <w:t>(549)</w:t>
            </w: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(2,594)</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Dividends declared on convertible preferred stock</w:t>
            </w: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(656)</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(0.1%)</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(2,624)</w:t>
            </w: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Amortization of discount on convertible preferred stock</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2"/>
                <w:szCs w:val="12"/>
                <w:color w:val="auto"/>
              </w:rPr>
              <w:t>(993)</w:t>
            </w:r>
          </w:p>
        </w:tc>
        <w:tc>
          <w:tcPr>
            <w:tcW w:w="820" w:type="dxa"/>
            <w:vAlign w:val="bottom"/>
          </w:tcPr>
          <w:p>
            <w:pPr>
              <w:jc w:val="center"/>
              <w:spacing w:after="0"/>
              <w:rPr>
                <w:sz w:val="20"/>
                <w:szCs w:val="20"/>
                <w:color w:val="auto"/>
              </w:rPr>
            </w:pPr>
            <w:r>
              <w:rPr>
                <w:rFonts w:ascii="Arial" w:cs="Arial" w:eastAsia="Arial" w:hAnsi="Arial"/>
                <w:sz w:val="12"/>
                <w:szCs w:val="12"/>
                <w:color w:val="auto"/>
                <w:w w:val="90"/>
              </w:rPr>
              <w:t>(0.1%)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2"/>
                <w:szCs w:val="12"/>
                <w:color w:val="auto"/>
              </w:rPr>
              <w:t>(2,980)</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income attributable to common shareholders</w:t>
            </w:r>
          </w:p>
        </w:tc>
        <w:tc>
          <w:tcPr>
            <w:tcW w:w="1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400" w:type="dxa"/>
            <w:vAlign w:val="bottom"/>
            <w:vMerge w:val="continue"/>
            <w:shd w:val="clear" w:color="auto" w:fill="CFF0FC"/>
          </w:tcPr>
          <w:p>
            <w:pPr>
              <w:spacing w:after="0"/>
              <w:rPr>
                <w:sz w:val="14"/>
                <w:szCs w:val="14"/>
                <w:color w:val="auto"/>
              </w:rPr>
            </w:pP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8,384</w:t>
            </w: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0.8%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7,989</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400" w:type="dxa"/>
            <w:vAlign w:val="bottom"/>
            <w:tcBorders>
              <w:top w:val="single" w:sz="8" w:color="CFF0FC"/>
            </w:tcBorders>
          </w:tcPr>
          <w:p>
            <w:pPr>
              <w:spacing w:after="0"/>
              <w:rPr>
                <w:sz w:val="23"/>
                <w:szCs w:val="23"/>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41</w:t>
            </w:r>
          </w:p>
        </w:tc>
        <w:tc>
          <w:tcPr>
            <w:tcW w:w="16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80" w:type="dxa"/>
            <w:vAlign w:val="bottom"/>
            <w:tcBorders>
              <w:top w:val="single" w:sz="8" w:color="CFF0FC"/>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44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for the years ended December 31, 2019 and 2018, revenues and Adjusted EBITDA of our reportable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Year Ended December 31, 2019</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3"/>
        </w:trPr>
        <w:tc>
          <w:tcPr>
            <w:tcW w:w="4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r>
      <w:tr>
        <w:trPr>
          <w:trHeight w:val="113"/>
        </w:trPr>
        <w:tc>
          <w:tcPr>
            <w:tcW w:w="42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1"/>
              </w:rPr>
              <w:t>Fiber Infrastructure</w:t>
            </w:r>
          </w:p>
        </w:tc>
        <w:tc>
          <w:tcPr>
            <w:tcW w:w="22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04"/>
              <w:spacing w:after="0" w:line="114" w:lineRule="exact"/>
              <w:rPr>
                <w:sz w:val="20"/>
                <w:szCs w:val="20"/>
                <w:color w:val="auto"/>
              </w:rPr>
            </w:pPr>
            <w:r>
              <w:rPr>
                <w:rFonts w:ascii="Arial" w:cs="Arial" w:eastAsia="Arial" w:hAnsi="Arial"/>
                <w:sz w:val="10"/>
                <w:szCs w:val="10"/>
                <w:b w:val="1"/>
                <w:bCs w:val="1"/>
                <w:color w:val="auto"/>
              </w:rPr>
              <w:t>Towers</w:t>
            </w:r>
          </w:p>
        </w:tc>
        <w:tc>
          <w:tcPr>
            <w:tcW w:w="24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
              <w:spacing w:after="0" w:line="114" w:lineRule="exact"/>
              <w:rPr>
                <w:sz w:val="20"/>
                <w:szCs w:val="20"/>
                <w:color w:val="auto"/>
              </w:rPr>
            </w:pPr>
            <w:r>
              <w:rPr>
                <w:rFonts w:ascii="Arial" w:cs="Arial" w:eastAsia="Arial" w:hAnsi="Arial"/>
                <w:sz w:val="10"/>
                <w:szCs w:val="10"/>
                <w:b w:val="1"/>
                <w:bCs w:val="1"/>
                <w:color w:val="auto"/>
                <w:w w:val="79"/>
              </w:rPr>
              <w:t>Segments</w:t>
            </w:r>
          </w:p>
        </w:tc>
        <w:tc>
          <w:tcPr>
            <w:tcW w:w="140" w:type="dxa"/>
            <w:vAlign w:val="bottom"/>
            <w:tcBorders>
              <w:bottom w:val="single" w:sz="8" w:color="CFF0FC"/>
            </w:tcBorders>
          </w:tcPr>
          <w:p>
            <w:pPr>
              <w:spacing w:after="0"/>
              <w:rPr>
                <w:sz w:val="9"/>
                <w:szCs w:val="9"/>
                <w:color w:val="auto"/>
              </w:rPr>
            </w:pPr>
          </w:p>
        </w:tc>
      </w:tr>
      <w:tr>
        <w:trPr>
          <w:trHeight w:val="142"/>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Revenues</w:t>
            </w: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716,640</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315,605</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14,693</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10,673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1,057,611</w:t>
            </w:r>
          </w:p>
        </w:tc>
        <w:tc>
          <w:tcPr>
            <w:tcW w:w="140" w:type="dxa"/>
            <w:vAlign w:val="bottom"/>
            <w:shd w:val="clear" w:color="auto" w:fill="CFF0FC"/>
          </w:tcPr>
          <w:p>
            <w:pPr>
              <w:spacing w:after="0"/>
              <w:rPr>
                <w:sz w:val="12"/>
                <w:szCs w:val="12"/>
                <w:color w:val="auto"/>
              </w:rPr>
            </w:pPr>
          </w:p>
        </w:tc>
      </w:tr>
      <w:tr>
        <w:trPr>
          <w:trHeight w:val="153"/>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711,119</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126,754</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w w:val="71"/>
              </w:rPr>
              <w:t>$</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(595)</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1,955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(26,494)</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812,739</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spacing w:after="0"/>
              <w:rPr>
                <w:sz w:val="20"/>
                <w:szCs w:val="20"/>
                <w:color w:val="auto"/>
              </w:rPr>
            </w:pPr>
            <w:r>
              <w:rPr>
                <w:rFonts w:ascii="Arial" w:cs="Arial" w:eastAsia="Arial" w:hAnsi="Arial"/>
                <w:sz w:val="12"/>
                <w:szCs w:val="12"/>
                <w:color w:val="auto"/>
              </w:rPr>
              <w:t>Adjusted EBITDA margin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2"/>
                <w:szCs w:val="12"/>
                <w:color w:val="auto"/>
              </w:rPr>
              <w:t>99.2%</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40.2%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18.3%</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76.8%</w:t>
            </w: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Less: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Interest expense,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390,112</w:t>
            </w: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282,107</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114,566</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1,879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728</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405,754</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Other income,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(24,219)</w:t>
            </w: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43,708</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Gain on sale of real estate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(28,995)</w:t>
            </w: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Stock-based compensation</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10,808</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tcBorders>
              <w:bottom w:val="single" w:sz="8" w:color="CFF0FC"/>
            </w:tcBorders>
            <w:gridSpan w:val="3"/>
          </w:tcPr>
          <w:p>
            <w:pPr>
              <w:ind w:left="80"/>
              <w:spacing w:after="0"/>
              <w:rPr>
                <w:sz w:val="20"/>
                <w:szCs w:val="20"/>
                <w:color w:val="auto"/>
              </w:rPr>
            </w:pPr>
            <w:r>
              <w:rPr>
                <w:rFonts w:ascii="Arial" w:cs="Arial" w:eastAsia="Arial" w:hAnsi="Arial"/>
                <w:sz w:val="12"/>
                <w:szCs w:val="12"/>
                <w:color w:val="auto"/>
              </w:rPr>
              <w:t>Income tax expense</w:t>
            </w: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4,663</w:t>
            </w:r>
          </w:p>
        </w:tc>
        <w:tc>
          <w:tcPr>
            <w:tcW w:w="140" w:type="dxa"/>
            <w:vAlign w:val="bottom"/>
            <w:tcBorders>
              <w:bottom w:val="single" w:sz="8" w:color="CFF0FC"/>
            </w:tcBorders>
          </w:tcPr>
          <w:p>
            <w:pPr>
              <w:spacing w:after="0"/>
              <w:rPr>
                <w:sz w:val="13"/>
                <w:szCs w:val="13"/>
                <w:color w:val="auto"/>
              </w:rPr>
            </w:pPr>
          </w:p>
        </w:tc>
      </w:tr>
      <w:tr>
        <w:trPr>
          <w:trHeight w:val="162"/>
        </w:trPr>
        <w:tc>
          <w:tcPr>
            <w:tcW w:w="43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Net income</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365"/>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Year Ended December 31, 2018</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83"/>
        </w:trPr>
        <w:tc>
          <w:tcPr>
            <w:tcW w:w="4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r>
      <w:tr>
        <w:trPr>
          <w:trHeight w:val="113"/>
        </w:trPr>
        <w:tc>
          <w:tcPr>
            <w:tcW w:w="4220" w:type="dxa"/>
            <w:vAlign w:val="bottom"/>
            <w:tcBorders>
              <w:bottom w:val="single" w:sz="8" w:color="auto"/>
            </w:tcBorders>
            <w:gridSpan w:val="2"/>
          </w:tcPr>
          <w:p>
            <w:pPr>
              <w:spacing w:after="0" w:line="114" w:lineRule="exact"/>
              <w:rPr>
                <w:sz w:val="20"/>
                <w:szCs w:val="20"/>
                <w:color w:val="auto"/>
              </w:rPr>
            </w:pPr>
            <w:r>
              <w:rPr>
                <w:rFonts w:ascii="Arial" w:cs="Arial" w:eastAsia="Arial" w:hAnsi="Arial"/>
                <w:sz w:val="10"/>
                <w:szCs w:val="10"/>
                <w:color w:val="auto"/>
              </w:rPr>
              <w:t>(Thousands)</w:t>
            </w:r>
          </w:p>
        </w:tc>
        <w:tc>
          <w:tcPr>
            <w:tcW w:w="8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Leasing</w:t>
            </w:r>
          </w:p>
        </w:tc>
        <w:tc>
          <w:tcPr>
            <w:tcW w:w="2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40" w:type="dxa"/>
            <w:vAlign w:val="bottom"/>
            <w:tcBorders>
              <w:bottom w:val="single" w:sz="8" w:color="CFF0FC"/>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
              <w:spacing w:after="0" w:line="114" w:lineRule="exact"/>
              <w:rPr>
                <w:sz w:val="20"/>
                <w:szCs w:val="20"/>
                <w:color w:val="auto"/>
              </w:rPr>
            </w:pPr>
            <w:r>
              <w:rPr>
                <w:rFonts w:ascii="Arial" w:cs="Arial" w:eastAsia="Arial" w:hAnsi="Arial"/>
                <w:sz w:val="10"/>
                <w:szCs w:val="10"/>
                <w:b w:val="1"/>
                <w:bCs w:val="1"/>
                <w:color w:val="auto"/>
                <w:w w:val="79"/>
              </w:rPr>
              <w:t>Segments</w:t>
            </w:r>
          </w:p>
        </w:tc>
        <w:tc>
          <w:tcPr>
            <w:tcW w:w="140" w:type="dxa"/>
            <w:vAlign w:val="bottom"/>
            <w:tcBorders>
              <w:bottom w:val="single" w:sz="8" w:color="CFF0FC"/>
            </w:tcBorders>
          </w:tcPr>
          <w:p>
            <w:pPr>
              <w:spacing w:after="0"/>
              <w:rPr>
                <w:sz w:val="9"/>
                <w:szCs w:val="9"/>
                <w:color w:val="auto"/>
              </w:rPr>
            </w:pPr>
          </w:p>
        </w:tc>
      </w:tr>
      <w:tr>
        <w:trPr>
          <w:trHeight w:val="142"/>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Revenues</w:t>
            </w: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699,847</w:t>
            </w:r>
          </w:p>
        </w:tc>
        <w:tc>
          <w:tcPr>
            <w:tcW w:w="2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289,239</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14,617</w:t>
            </w: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1,017,634</w:t>
            </w:r>
          </w:p>
        </w:tc>
        <w:tc>
          <w:tcPr>
            <w:tcW w:w="140" w:type="dxa"/>
            <w:vAlign w:val="bottom"/>
            <w:shd w:val="clear" w:color="auto" w:fill="CFF0FC"/>
          </w:tcPr>
          <w:p>
            <w:pPr>
              <w:spacing w:after="0"/>
              <w:rPr>
                <w:sz w:val="12"/>
                <w:szCs w:val="12"/>
                <w:color w:val="auto"/>
              </w:rPr>
            </w:pPr>
          </w:p>
        </w:tc>
      </w:tr>
      <w:tr>
        <w:trPr>
          <w:trHeight w:val="153"/>
        </w:trPr>
        <w:tc>
          <w:tcPr>
            <w:tcW w:w="4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697,545</w:t>
            </w: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123,389</w:t>
            </w: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22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3,353</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(21,759)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802,883</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spacing w:after="0"/>
              <w:rPr>
                <w:sz w:val="20"/>
                <w:szCs w:val="20"/>
                <w:color w:val="auto"/>
              </w:rPr>
            </w:pPr>
            <w:r>
              <w:rPr>
                <w:rFonts w:ascii="Arial" w:cs="Arial" w:eastAsia="Arial" w:hAnsi="Arial"/>
                <w:sz w:val="12"/>
                <w:szCs w:val="12"/>
                <w:color w:val="auto"/>
              </w:rPr>
              <w:t>Adjusted EBITDA margin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99.7%</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2"/>
                <w:szCs w:val="12"/>
                <w:color w:val="auto"/>
              </w:rPr>
              <w:t>42.7%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24.1%</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78.9%</w:t>
            </w: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Less: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Interest expense,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319,591</w:t>
            </w: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337,126</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105,651</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6,704</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Other income,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(4,504)</w:t>
            </w: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17,410</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Stock-based compensation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8,064</w:t>
            </w: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(5,421)</w:t>
            </w: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Other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(552)</w:t>
            </w:r>
          </w:p>
        </w:tc>
      </w:tr>
      <w:tr>
        <w:trPr>
          <w:trHeight w:val="149"/>
        </w:trPr>
        <w:tc>
          <w:tcPr>
            <w:tcW w:w="43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Net income</w:t>
            </w: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6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7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Leasing revenues are primarily attributable to rental revenue from leasing our Distribution Systems to Windstream Holdings pursuant to the Master Lease. Under the Master Lease, Windstream Holdings is responsible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costs related to operating the Distribution Systems, including property taxes, insurance, and maintenance and repair costs. As a result, we do not record an obligation related to the payment of property taxes, as Windstream makes direct payments to the taxing authorities. The Master Lease has an initial term of 15 years with four 5-year renewal options and encompasses properties located in 29 states. Annual cash rent under the Master Lease is currently $657 million and is subject to an annual escalation of 0.5% each May through the initial term.</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 xml:space="preserve">We adopted Accounting Standards Update (“ASU”) No.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(“ASC 842”) as of January 1, 2019. This standard supersedes prior guidance regarding the evaluation of collectability of lease receivables, including straight-line revenue receivables. We evaluated the collectability of our straight-line revenue receivable associated with the Master Lease in accordance with the transition provisions of ASC 842, and at the date of adoption, due to uncertainties surrounding Windstream’s operations and liquidity, including uncertainties surrounding the outcome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right="180"/>
        <w:spacing w:after="0" w:line="302" w:lineRule="auto"/>
        <w:rPr>
          <w:sz w:val="20"/>
          <w:szCs w:val="20"/>
          <w:color w:val="auto"/>
        </w:rPr>
      </w:pPr>
      <w:r>
        <w:rPr>
          <w:rFonts w:ascii="Arial" w:cs="Arial" w:eastAsia="Arial" w:hAnsi="Arial"/>
          <w:sz w:val="11"/>
          <w:szCs w:val="11"/>
          <w:color w:val="auto"/>
        </w:rPr>
        <w:t>Windstream’s pending litigation, we concluded that it was not probable that we would collect all future payments due to the Company over the initial term of the Master Lease</w:t>
      </w:r>
      <w:r>
        <w:rPr>
          <w:rFonts w:ascii="Arial" w:cs="Arial" w:eastAsia="Arial" w:hAnsi="Arial"/>
          <w:sz w:val="11"/>
          <w:szCs w:val="11"/>
          <w:b w:val="1"/>
          <w:bCs w:val="1"/>
          <w:color w:val="auto"/>
        </w:rPr>
        <w:t>.</w:t>
      </w:r>
      <w:r>
        <w:rPr>
          <w:rFonts w:ascii="Arial" w:cs="Arial" w:eastAsia="Arial" w:hAnsi="Arial"/>
          <w:sz w:val="11"/>
          <w:szCs w:val="11"/>
          <w:color w:val="auto"/>
        </w:rPr>
        <w:t xml:space="preserve"> As a result, effective January 1, 2019, the Company recorded the Master Lease on a cash basis in accordance with ASC 842 and will not reflect a straight-line revenue receivable until a time at which collectability of all future rents is determined to be probable. At the adoption of ASC 842, we reflected the write-off of the straight-line revenue balance as of January 1, 2019 as a $61.5 million adjustment to equity resulting from the change in accounting principle.</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For the year ended December 31, 2019, we recognized $687.9 million of revenue from rents under the Master Lease, which included $29.0 million of TCI revenue. For the year ended December 31, 2018, we recognized $693.9 million of revenue under the Master Lease, which included $23.1 million of non-cash TCI revenue and $15.1 million of non-cash straight-line rental revenue. The increase in TCI revenue is attributable to continued investment by Windstream in TCIs. Windstream invested $164.7 million in TCIs during the year ended December 31, 2019, an increase from $153.6 million it invested in TCIs during the year ended December 31, 2018. Since the inception of the Master Lease, Windstream has invested a total of $771.8 million in such improvements.</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maintain our status as a REIT and service debt if Windstream were to reject the Master Lease in bankruptcy, default under the Master Lease, succeed in its claims against us or otherwise experiences operating or liquidity difficulties and becomes unable to generate sufficient cash to make payments to us. In recent years, Windstream has experienced annual declines in its total revenue, sales and cash flow, has had its credit ratings downgraded by nationally recognized credit rating agencies multiple times over the past 12 months and, on February 25, 2019, filed voluntary petitions for relief under Chapter 11 of the Bankruptcy Code in the U.S. Bankruptcy Court for the Southern District of New York.</w:t>
      </w:r>
    </w:p>
    <w:p>
      <w:pPr>
        <w:spacing w:after="0" w:line="12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Windstream’s stock is quoted on the OTC Markets under the ticker symbol “WINMQ.” Windstream is subject to the periodic filing requirements of the Securities Exchange Act of 1934, as amended, but Windstream is not current in its reporting obligations. Windstream filings can be found at www.sec.gov. Windstream filings are not incorporated by reference in this Annual Report on Form 10-K.</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For the year ended December 31, 2019, we recognized $28.7 million of leasing revenues from non-Windstream triple-net leasing and dark fiber IRU arrangements, including $7.2 million of revenue related to the Bluebird transaction that closed on August 30, 2019. For the year ended December 31, 2018, we recognized $6.0 million from non-Windstream triple-net leasing and dark fiber IRU arrangements. The increase in non-Windstream related revenues is due to the timing of closing sale-leaseback transactions, including the Bluebird transaction.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i w:val="1"/>
          <w:iCs w:val="1"/>
          <w:u w:val="single" w:color="auto"/>
          <w:color w:val="auto"/>
        </w:rPr>
        <w:t>Fiber Infrastructure</w:t>
      </w:r>
      <w:r>
        <w:rPr>
          <w:rFonts w:ascii="Arial" w:cs="Arial" w:eastAsia="Arial" w:hAnsi="Arial"/>
          <w:sz w:val="11"/>
          <w:szCs w:val="11"/>
          <w:i w:val="1"/>
          <w:iCs w:val="1"/>
          <w:color w:val="auto"/>
        </w:rPr>
        <w:t xml:space="preserve"> </w:t>
      </w:r>
      <w:r>
        <w:rPr>
          <w:rFonts w:ascii="Arial" w:cs="Arial" w:eastAsia="Arial" w:hAnsi="Arial"/>
          <w:sz w:val="11"/>
          <w:szCs w:val="11"/>
          <w:color w:val="auto"/>
        </w:rPr>
        <w:t>– For the years ended December 31, 2019 and 2018, we recognized $315.6 million and $289.2 million of revenue, respectively, in our Fiber Infrastructure segment. The increase is primarily driven by the timing of</w:t>
      </w:r>
      <w:r>
        <w:rPr>
          <w:rFonts w:ascii="Arial" w:cs="Arial" w:eastAsia="Arial" w:hAnsi="Arial"/>
          <w:sz w:val="11"/>
          <w:szCs w:val="11"/>
          <w:i w:val="1"/>
          <w:iCs w:val="1"/>
          <w:color w:val="auto"/>
        </w:rPr>
        <w:t xml:space="preserve"> </w:t>
      </w:r>
      <w:r>
        <w:rPr>
          <w:rFonts w:ascii="Arial" w:cs="Arial" w:eastAsia="Arial" w:hAnsi="Arial"/>
          <w:sz w:val="11"/>
          <w:szCs w:val="11"/>
          <w:color w:val="auto"/>
        </w:rPr>
        <w:t>the Information Transport Solutions, Inc. (“ITS”) acquisition that occurred on October 19, 2018, which contributed revenues of $36.7 million during the year ended December 31, 2019 as compared to $9.0 million of revenues from the date of acquisition to December 31, 2018. Revenue components for the Fiber Infrastructure segment for the years ended December 31, 2019 and 2018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5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113"/>
        </w:trPr>
        <w:tc>
          <w:tcPr>
            <w:tcW w:w="588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300" w:type="dxa"/>
            <w:vAlign w:val="bottom"/>
          </w:tcPr>
          <w:p>
            <w:pPr>
              <w:spacing w:after="0"/>
              <w:rPr>
                <w:sz w:val="9"/>
                <w:szCs w:val="9"/>
                <w:color w:val="auto"/>
              </w:rPr>
            </w:pPr>
          </w:p>
        </w:tc>
        <w:tc>
          <w:tcPr>
            <w:tcW w:w="1420" w:type="dxa"/>
            <w:vAlign w:val="bottom"/>
            <w:gridSpan w:val="2"/>
          </w:tcPr>
          <w:p>
            <w:pPr>
              <w:ind w:left="260"/>
              <w:spacing w:after="0" w:line="114" w:lineRule="exact"/>
              <w:rPr>
                <w:sz w:val="20"/>
                <w:szCs w:val="20"/>
                <w:color w:val="auto"/>
              </w:rPr>
            </w:pPr>
            <w:r>
              <w:rPr>
                <w:rFonts w:ascii="Arial" w:cs="Arial" w:eastAsia="Arial" w:hAnsi="Arial"/>
                <w:sz w:val="10"/>
                <w:szCs w:val="10"/>
                <w:b w:val="1"/>
                <w:bCs w:val="1"/>
                <w:color w:val="auto"/>
              </w:rPr>
              <w:t>Amount</w:t>
            </w:r>
          </w:p>
        </w:tc>
        <w:tc>
          <w:tcPr>
            <w:tcW w:w="10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2"/>
              </w:rPr>
              <w:t>Segment Revenues</w:t>
            </w:r>
          </w:p>
        </w:tc>
        <w:tc>
          <w:tcPr>
            <w:tcW w:w="980" w:type="dxa"/>
            <w:vAlign w:val="bottom"/>
          </w:tcPr>
          <w:p>
            <w:pPr>
              <w:jc w:val="right"/>
              <w:ind w:right="32"/>
              <w:spacing w:after="0" w:line="114" w:lineRule="exact"/>
              <w:rPr>
                <w:sz w:val="20"/>
                <w:szCs w:val="20"/>
                <w:color w:val="auto"/>
              </w:rPr>
            </w:pPr>
            <w:r>
              <w:rPr>
                <w:rFonts w:ascii="Arial" w:cs="Arial" w:eastAsia="Arial" w:hAnsi="Arial"/>
                <w:sz w:val="10"/>
                <w:szCs w:val="10"/>
                <w:b w:val="1"/>
                <w:bCs w:val="1"/>
                <w:color w:val="auto"/>
              </w:rPr>
              <w:t>Amount</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Segment Revenues</w:t>
            </w:r>
          </w:p>
        </w:tc>
      </w:tr>
      <w:tr>
        <w:trPr>
          <w:trHeight w:val="142"/>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Fiber Infrastructure revenues:</w:t>
            </w: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880" w:type="dxa"/>
            <w:vAlign w:val="bottom"/>
            <w:gridSpan w:val="2"/>
          </w:tcPr>
          <w:p>
            <w:pPr>
              <w:ind w:left="160"/>
              <w:spacing w:after="0"/>
              <w:rPr>
                <w:sz w:val="20"/>
                <w:szCs w:val="20"/>
                <w:color w:val="auto"/>
              </w:rPr>
            </w:pPr>
            <w:r>
              <w:rPr>
                <w:rFonts w:ascii="Arial" w:cs="Arial" w:eastAsia="Arial" w:hAnsi="Arial"/>
                <w:sz w:val="12"/>
                <w:szCs w:val="12"/>
                <w:color w:val="auto"/>
              </w:rPr>
              <w:t>Lit backhaul services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125,983</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3"/>
              </w:rPr>
              <w:t>39.9%</w:t>
            </w:r>
          </w:p>
        </w:tc>
        <w:tc>
          <w:tcPr>
            <w:tcW w:w="260" w:type="dxa"/>
            <w:vAlign w:val="bottom"/>
          </w:tcPr>
          <w:p>
            <w:pPr>
              <w:spacing w:after="0"/>
              <w:rPr>
                <w:sz w:val="13"/>
                <w:szCs w:val="13"/>
                <w:color w:val="auto"/>
              </w:rPr>
            </w:pP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132,361</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8"/>
              </w:rPr>
              <w:t>45.8%</w:t>
            </w:r>
          </w:p>
        </w:tc>
        <w:tc>
          <w:tcPr>
            <w:tcW w:w="120" w:type="dxa"/>
            <w:vAlign w:val="bottom"/>
          </w:tcPr>
          <w:p>
            <w:pPr>
              <w:spacing w:after="0"/>
              <w:rPr>
                <w:sz w:val="13"/>
                <w:szCs w:val="13"/>
                <w:color w:val="auto"/>
              </w:rPr>
            </w:pPr>
          </w:p>
        </w:tc>
      </w:tr>
      <w:tr>
        <w:trPr>
          <w:trHeight w:val="153"/>
        </w:trPr>
        <w:tc>
          <w:tcPr>
            <w:tcW w:w="5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Enterprise and wholesale</w:t>
            </w: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66,545</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21.1%</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63,519</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8"/>
              </w:rPr>
              <w:t>22.0%</w:t>
            </w:r>
          </w:p>
        </w:tc>
        <w:tc>
          <w:tcPr>
            <w:tcW w:w="120" w:type="dxa"/>
            <w:vAlign w:val="bottom"/>
            <w:shd w:val="clear" w:color="auto" w:fill="CFF0FC"/>
          </w:tcPr>
          <w:p>
            <w:pPr>
              <w:spacing w:after="0"/>
              <w:rPr>
                <w:sz w:val="13"/>
                <w:szCs w:val="13"/>
                <w:color w:val="auto"/>
              </w:rPr>
            </w:pPr>
          </w:p>
        </w:tc>
      </w:tr>
      <w:tr>
        <w:trPr>
          <w:trHeight w:val="153"/>
        </w:trPr>
        <w:tc>
          <w:tcPr>
            <w:tcW w:w="5880" w:type="dxa"/>
            <w:vAlign w:val="bottom"/>
            <w:gridSpan w:val="2"/>
          </w:tcPr>
          <w:p>
            <w:pPr>
              <w:ind w:left="160"/>
              <w:spacing w:after="0"/>
              <w:rPr>
                <w:sz w:val="20"/>
                <w:szCs w:val="20"/>
                <w:color w:val="auto"/>
              </w:rPr>
            </w:pPr>
            <w:r>
              <w:rPr>
                <w:rFonts w:ascii="Arial" w:cs="Arial" w:eastAsia="Arial" w:hAnsi="Arial"/>
                <w:sz w:val="12"/>
                <w:szCs w:val="12"/>
                <w:color w:val="auto"/>
              </w:rPr>
              <w:t>E-Rate and government</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89,430</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3"/>
              </w:rPr>
              <w:t>28.3%</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74,752</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8"/>
              </w:rPr>
              <w:t>25.8%</w:t>
            </w:r>
          </w:p>
        </w:tc>
        <w:tc>
          <w:tcPr>
            <w:tcW w:w="120" w:type="dxa"/>
            <w:vAlign w:val="bottom"/>
          </w:tcPr>
          <w:p>
            <w:pPr>
              <w:spacing w:after="0"/>
              <w:rPr>
                <w:sz w:val="13"/>
                <w:szCs w:val="13"/>
                <w:color w:val="auto"/>
              </w:rPr>
            </w:pPr>
          </w:p>
        </w:tc>
      </w:tr>
      <w:tr>
        <w:trPr>
          <w:trHeight w:val="153"/>
        </w:trPr>
        <w:tc>
          <w:tcPr>
            <w:tcW w:w="5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Dark fiber and small cells</w:t>
            </w: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31,245</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9.9%</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14,115</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4.9%</w:t>
            </w:r>
          </w:p>
        </w:tc>
        <w:tc>
          <w:tcPr>
            <w:tcW w:w="120" w:type="dxa"/>
            <w:vAlign w:val="bottom"/>
            <w:shd w:val="clear" w:color="auto" w:fill="CFF0FC"/>
          </w:tcPr>
          <w:p>
            <w:pPr>
              <w:spacing w:after="0"/>
              <w:rPr>
                <w:sz w:val="13"/>
                <w:szCs w:val="13"/>
                <w:color w:val="auto"/>
              </w:rPr>
            </w:pPr>
          </w:p>
        </w:tc>
      </w:tr>
      <w:tr>
        <w:trPr>
          <w:trHeight w:val="153"/>
        </w:trPr>
        <w:tc>
          <w:tcPr>
            <w:tcW w:w="588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Other services</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w:t>
            </w:r>
          </w:p>
        </w:tc>
        <w:tc>
          <w:tcPr>
            <w:tcW w:w="2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0.8%</w:t>
            </w: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4,492</w:t>
            </w:r>
          </w:p>
        </w:tc>
        <w:tc>
          <w:tcPr>
            <w:tcW w:w="2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1.5%</w:t>
            </w:r>
          </w:p>
        </w:tc>
        <w:tc>
          <w:tcPr>
            <w:tcW w:w="120" w:type="dxa"/>
            <w:vAlign w:val="bottom"/>
            <w:tcBorders>
              <w:bottom w:val="single" w:sz="8" w:color="CFF0FC"/>
            </w:tcBorders>
          </w:tcPr>
          <w:p>
            <w:pPr>
              <w:spacing w:after="0"/>
              <w:rPr>
                <w:sz w:val="13"/>
                <w:szCs w:val="13"/>
                <w:color w:val="auto"/>
              </w:rPr>
            </w:pPr>
          </w:p>
        </w:tc>
      </w:tr>
      <w:tr>
        <w:trPr>
          <w:trHeight w:val="149"/>
        </w:trPr>
        <w:tc>
          <w:tcPr>
            <w:tcW w:w="58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Total Fiber Infrastructure revenues</w:t>
            </w:r>
          </w:p>
        </w:tc>
        <w:tc>
          <w:tcPr>
            <w:tcW w:w="30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315,605</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100.0%</w:t>
            </w:r>
          </w:p>
        </w:tc>
        <w:tc>
          <w:tcPr>
            <w:tcW w:w="2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87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3"/>
              </w:rPr>
              <w:t>100.0%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2019, we had approximately 20,900 customer connections, up from 18,200 customer connections at 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00" w:type="dxa"/>
            <w:vAlign w:val="bottom"/>
            <w:gridSpan w:val="3"/>
          </w:tcPr>
          <w:p>
            <w:pPr>
              <w:spacing w:after="0"/>
              <w:rPr>
                <w:sz w:val="20"/>
                <w:szCs w:val="20"/>
                <w:color w:val="auto"/>
              </w:rPr>
            </w:pPr>
            <w:r>
              <w:rPr>
                <w:rFonts w:ascii="Arial" w:cs="Arial" w:eastAsia="Arial" w:hAnsi="Arial"/>
                <w:sz w:val="12"/>
                <w:szCs w:val="12"/>
                <w:i w:val="1"/>
                <w:iCs w:val="1"/>
                <w:color w:val="auto"/>
              </w:rPr>
              <w:t xml:space="preserve">Towers </w:t>
            </w:r>
            <w:r>
              <w:rPr>
                <w:rFonts w:ascii="Arial" w:cs="Arial" w:eastAsia="Arial" w:hAnsi="Arial"/>
                <w:sz w:val="12"/>
                <w:szCs w:val="12"/>
                <w:color w:val="auto"/>
              </w:rPr>
              <w:t>– Towers revenues for the years ended December 31, 2019 and 2018 consisted of the following:</w:t>
            </w: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3"/>
        </w:trPr>
        <w:tc>
          <w:tcPr>
            <w:tcW w:w="34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3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340" w:type="dxa"/>
            <w:vAlign w:val="bottom"/>
          </w:tcPr>
          <w:p>
            <w:pPr>
              <w:spacing w:after="0"/>
              <w:rPr>
                <w:sz w:val="7"/>
                <w:szCs w:val="7"/>
                <w:color w:val="auto"/>
              </w:rPr>
            </w:pPr>
          </w:p>
        </w:tc>
        <w:tc>
          <w:tcPr>
            <w:tcW w:w="5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3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0"/>
              </w:rPr>
              <w:t>Segment</w:t>
            </w: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Segment</w:t>
            </w:r>
          </w:p>
        </w:tc>
      </w:tr>
      <w:tr>
        <w:trPr>
          <w:trHeight w:val="113"/>
        </w:trPr>
        <w:tc>
          <w:tcPr>
            <w:tcW w:w="5700" w:type="dxa"/>
            <w:vAlign w:val="bottom"/>
            <w:gridSpan w:val="3"/>
          </w:tcPr>
          <w:p>
            <w:pPr>
              <w:spacing w:after="0" w:line="114" w:lineRule="exact"/>
              <w:rPr>
                <w:sz w:val="20"/>
                <w:szCs w:val="20"/>
                <w:color w:val="auto"/>
              </w:rPr>
            </w:pPr>
            <w:r>
              <w:rPr>
                <w:rFonts w:ascii="Arial" w:cs="Arial" w:eastAsia="Arial" w:hAnsi="Arial"/>
                <w:sz w:val="10"/>
                <w:szCs w:val="10"/>
                <w:color w:val="auto"/>
              </w:rPr>
              <w:t>(Thousands)</w:t>
            </w:r>
          </w:p>
        </w:tc>
        <w:tc>
          <w:tcPr>
            <w:tcW w:w="340" w:type="dxa"/>
            <w:vAlign w:val="bottom"/>
          </w:tcPr>
          <w:p>
            <w:pPr>
              <w:spacing w:after="0"/>
              <w:rPr>
                <w:sz w:val="9"/>
                <w:szCs w:val="9"/>
                <w:color w:val="auto"/>
              </w:rPr>
            </w:pPr>
          </w:p>
        </w:tc>
        <w:tc>
          <w:tcPr>
            <w:tcW w:w="1480" w:type="dxa"/>
            <w:vAlign w:val="bottom"/>
            <w:gridSpan w:val="2"/>
          </w:tcPr>
          <w:p>
            <w:pPr>
              <w:ind w:left="260"/>
              <w:spacing w:after="0" w:line="114" w:lineRule="exact"/>
              <w:rPr>
                <w:sz w:val="20"/>
                <w:szCs w:val="20"/>
                <w:color w:val="auto"/>
              </w:rPr>
            </w:pPr>
            <w:r>
              <w:rPr>
                <w:rFonts w:ascii="Arial" w:cs="Arial" w:eastAsia="Arial" w:hAnsi="Arial"/>
                <w:sz w:val="10"/>
                <w:szCs w:val="10"/>
                <w:b w:val="1"/>
                <w:bCs w:val="1"/>
                <w:color w:val="auto"/>
              </w:rPr>
              <w:t>Amount</w:t>
            </w:r>
          </w:p>
        </w:tc>
        <w:tc>
          <w:tcPr>
            <w:tcW w:w="9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0"/>
              </w:rPr>
              <w:t>Revenues</w:t>
            </w:r>
          </w:p>
        </w:tc>
        <w:tc>
          <w:tcPr>
            <w:tcW w:w="1120" w:type="dxa"/>
            <w:vAlign w:val="bottom"/>
          </w:tcPr>
          <w:p>
            <w:pPr>
              <w:jc w:val="right"/>
              <w:ind w:right="32"/>
              <w:spacing w:after="0" w:line="114" w:lineRule="exact"/>
              <w:rPr>
                <w:sz w:val="20"/>
                <w:szCs w:val="20"/>
                <w:color w:val="auto"/>
              </w:rPr>
            </w:pPr>
            <w:r>
              <w:rPr>
                <w:rFonts w:ascii="Arial" w:cs="Arial" w:eastAsia="Arial" w:hAnsi="Arial"/>
                <w:sz w:val="10"/>
                <w:szCs w:val="10"/>
                <w:b w:val="1"/>
                <w:bCs w:val="1"/>
                <w:color w:val="auto"/>
              </w:rPr>
              <w:t>Amount</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Revenues</w:t>
            </w:r>
          </w:p>
        </w:tc>
      </w:tr>
      <w:tr>
        <w:trPr>
          <w:trHeight w:val="142"/>
        </w:trPr>
        <w:tc>
          <w:tcPr>
            <w:tcW w:w="55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Towers revenues:</w:t>
            </w:r>
          </w:p>
        </w:tc>
        <w:tc>
          <w:tcPr>
            <w:tcW w:w="1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700" w:type="dxa"/>
            <w:vAlign w:val="bottom"/>
            <w:gridSpan w:val="3"/>
          </w:tcPr>
          <w:p>
            <w:pPr>
              <w:ind w:left="160"/>
              <w:spacing w:after="0"/>
              <w:rPr>
                <w:sz w:val="20"/>
                <w:szCs w:val="20"/>
                <w:color w:val="auto"/>
              </w:rPr>
            </w:pPr>
            <w:r>
              <w:rPr>
                <w:rFonts w:ascii="Arial" w:cs="Arial" w:eastAsia="Arial" w:hAnsi="Arial"/>
                <w:sz w:val="12"/>
                <w:szCs w:val="12"/>
                <w:color w:val="auto"/>
              </w:rPr>
              <w:t>United States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12,141</w:t>
            </w:r>
          </w:p>
        </w:tc>
        <w:tc>
          <w:tcPr>
            <w:tcW w:w="2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8"/>
              </w:rPr>
              <w:t>82.6%</w:t>
            </w:r>
          </w:p>
        </w:tc>
        <w:tc>
          <w:tcPr>
            <w:tcW w:w="260" w:type="dxa"/>
            <w:vAlign w:val="bottom"/>
          </w:tcPr>
          <w:p>
            <w:pPr>
              <w:spacing w:after="0"/>
              <w:rPr>
                <w:sz w:val="13"/>
                <w:szCs w:val="13"/>
                <w:color w:val="auto"/>
              </w:rPr>
            </w:pPr>
          </w:p>
        </w:tc>
        <w:tc>
          <w:tcPr>
            <w:tcW w:w="1120" w:type="dxa"/>
            <w:vAlign w:val="bottom"/>
          </w:tcPr>
          <w:p>
            <w:pPr>
              <w:jc w:val="right"/>
              <w:ind w:right="101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5,207</w:t>
            </w:r>
          </w:p>
        </w:tc>
        <w:tc>
          <w:tcPr>
            <w:tcW w:w="2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35.6%</w:t>
            </w:r>
          </w:p>
        </w:tc>
        <w:tc>
          <w:tcPr>
            <w:tcW w:w="120" w:type="dxa"/>
            <w:vAlign w:val="bottom"/>
          </w:tcPr>
          <w:p>
            <w:pPr>
              <w:spacing w:after="0"/>
              <w:rPr>
                <w:sz w:val="13"/>
                <w:szCs w:val="13"/>
                <w:color w:val="auto"/>
              </w:rPr>
            </w:pPr>
          </w:p>
        </w:tc>
      </w:tr>
      <w:tr>
        <w:trPr>
          <w:trHeight w:val="153"/>
        </w:trPr>
        <w:tc>
          <w:tcPr>
            <w:tcW w:w="570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Latin America</w:t>
            </w:r>
          </w:p>
        </w:tc>
        <w:tc>
          <w:tcPr>
            <w:tcW w:w="34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2,552</w:t>
            </w:r>
          </w:p>
        </w:tc>
        <w:tc>
          <w:tcPr>
            <w:tcW w:w="26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17.4%</w:t>
            </w:r>
          </w:p>
        </w:tc>
        <w:tc>
          <w:tcPr>
            <w:tcW w:w="260" w:type="dxa"/>
            <w:vAlign w:val="bottom"/>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9,410</w:t>
            </w:r>
          </w:p>
        </w:tc>
        <w:tc>
          <w:tcPr>
            <w:tcW w:w="26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3"/>
              </w:rPr>
              <w:t>64.4%</w:t>
            </w:r>
          </w:p>
        </w:tc>
        <w:tc>
          <w:tcPr>
            <w:tcW w:w="120" w:type="dxa"/>
            <w:vAlign w:val="bottom"/>
            <w:shd w:val="clear" w:color="auto" w:fill="CFF0FC"/>
          </w:tcPr>
          <w:p>
            <w:pPr>
              <w:spacing w:after="0"/>
              <w:rPr>
                <w:sz w:val="13"/>
                <w:szCs w:val="13"/>
                <w:color w:val="auto"/>
              </w:rPr>
            </w:pPr>
          </w:p>
        </w:tc>
      </w:tr>
      <w:tr>
        <w:trPr>
          <w:trHeight w:val="149"/>
        </w:trPr>
        <w:tc>
          <w:tcPr>
            <w:tcW w:w="5700" w:type="dxa"/>
            <w:vAlign w:val="bottom"/>
            <w:gridSpan w:val="3"/>
          </w:tcPr>
          <w:p>
            <w:pPr>
              <w:ind w:left="24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14,693</w:t>
            </w:r>
          </w:p>
        </w:tc>
        <w:tc>
          <w:tcPr>
            <w:tcW w:w="26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right"/>
              <w:ind w:right="10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14,617</w:t>
            </w:r>
          </w:p>
        </w:tc>
        <w:tc>
          <w:tcPr>
            <w:tcW w:w="2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right="120"/>
        <w:spacing w:after="0" w:line="289" w:lineRule="auto"/>
        <w:rPr>
          <w:sz w:val="20"/>
          <w:szCs w:val="20"/>
          <w:color w:val="auto"/>
        </w:rPr>
      </w:pPr>
      <w:r>
        <w:rPr>
          <w:rFonts w:ascii="Arial" w:cs="Arial" w:eastAsia="Arial" w:hAnsi="Arial"/>
          <w:sz w:val="11"/>
          <w:szCs w:val="11"/>
          <w:color w:val="auto"/>
        </w:rPr>
        <w:t>The increased revenue in the United States for the year ended December 31, 2019, compared to the year ended December 31, 2018, is primarily driven by our development activities, and the inclusion of a non-recurring charge of $1.1 million related to the accounting of straight-line rents during the year ended December 31, 2018. For the year ended December 31, 2019, we completed the construction of 242 towers in the U.S. At December 31, 2019, the Uniti Towers’ domestic portfolio consisted of 672 wireless communications towers located in 33 states across the eastern and central regions in the United States, an increase from 430 wireless communications towers at December 31, 2018. The decrease in revenues in Latin America compared to the year ended December 31, 2018 is due to the April 2, 2019 sale of our Latin American tower portfolio.</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2019, we recognized $10.7 million of revenue from the Consumer CLEC Business, compared to $13.9 million for the year ended December 31, 2018. The decrease is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a loss of customers during the period. We served approximately 10,800 customers as of December 31, 2019, a 52% decrease from 22,500 at December 31, 2018. We have commenced a wind down of our Consumer CLEC Business, which we expect to be completed by the second quarter of 2020.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Interest expense for the year ended December 31, 2019, totaled $390.1 million, which includes non-cash interest expense of $42.8 million resulting from the amortization of our debt discounts and debt issuance costs, partially offset by $3.1 million of capitalized interest. Interest expense for the year ended December 31, 2018, totaled $319.6 million, which includes non-cash interest expense of $24.6 million resulting from the amortization of our debt discounts and debt issuance costs, partially offset by $5.6 million of capitalized interest.</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The increase is primarily related to an increase of interest expense of $31.9 million on the Term Loan Facility as a result of the Fourth Amendment to our Credit Agreement, which increased the rate of our term loans by 200 basis points effective March 18, 2019, an increase of interest expense of $13.2 million on the Revolving Credit Facility primarily due to the Fifth Amendment to our Credit Agreement, which, until our entry into the Sixth Amendment on February 10, 2020, increased the rate by 200 basis points effective June 24, 2019, and an increase of $7.0 million of cash interest expense incurred on our 4.0% Exchangeable Notes issued June 28, 2019. Furthermore, there was an increase in non-cash interest expense from the amortization of our debt discounts and debt issuance costs of $18.2 million related to the issues of the Exchangeable Notes and as a result of the Fourth Amendment.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150" w:lineRule="exact"/>
        <w:rPr>
          <w:sz w:val="20"/>
          <w:szCs w:val="20"/>
          <w:color w:val="auto"/>
        </w:rPr>
      </w:pPr>
    </w:p>
    <w:p>
      <w:pPr>
        <w:jc w:val="both"/>
        <w:ind w:right="340"/>
        <w:spacing w:after="0" w:line="263" w:lineRule="auto"/>
        <w:rPr>
          <w:sz w:val="20"/>
          <w:szCs w:val="20"/>
          <w:color w:val="auto"/>
        </w:rPr>
      </w:pPr>
      <w:r>
        <w:rPr>
          <w:rFonts w:ascii="Arial" w:cs="Arial" w:eastAsia="Arial" w:hAnsi="Arial"/>
          <w:sz w:val="12"/>
          <w:szCs w:val="12"/>
          <w:color w:val="auto"/>
        </w:rPr>
        <w:t>We incur depreciation and amortization expense related to our property, plant and equipment, corporate assets and intangible assets. Charges for depreciation and amortization for the year ended December 31, 2019 totaled $405.8 million, which included $378.6 million of depreciation expense and $27.2 million of amortization expense. Charges for depreciation and amortization for the year ended December 31, 2018 totaled $451.8 million, which included property, plant and equipment depreciation of $425.2 million and intangible asset amortization of $26.6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150"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General and administrative expenses include compensation costs, including stock-based compensation awards, professional and legal services, corporate office costs and other costs associated with the administrative activities of our segments. For the year ended December 31, 2019, general and administrative costs totaled $102.9 million, which includes $10.8 million of stock-based compensation expense. For the year ended December 31, 2018, general and administrative costs totaled $85.2 million, which includes $8.1 million of stock-based compensation expense. The remaining $15.0 million, or 17.6%, increase in 2019 over 2018 is primarily driven by increased legal &amp; professional fees, increased insurance costs, and increased labor costs.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w:t>
      </w:r>
    </w:p>
    <w:p>
      <w:pPr>
        <w:spacing w:after="0" w:line="150"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Operating expense for the year ended December 31, 2019, totaled $160.0 million compared to $137.1 million for the year ended December 31, 2018. Operating expense for our reportable segments for the years ended December 31, 2019 and 2018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5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5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Consolidated</w:t>
            </w:r>
          </w:p>
        </w:tc>
      </w:tr>
      <w:tr>
        <w:trPr>
          <w:trHeight w:val="113"/>
        </w:trPr>
        <w:tc>
          <w:tcPr>
            <w:tcW w:w="588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300" w:type="dxa"/>
            <w:vAlign w:val="bottom"/>
          </w:tcPr>
          <w:p>
            <w:pPr>
              <w:spacing w:after="0"/>
              <w:rPr>
                <w:sz w:val="9"/>
                <w:szCs w:val="9"/>
                <w:color w:val="auto"/>
              </w:rPr>
            </w:pPr>
          </w:p>
        </w:tc>
        <w:tc>
          <w:tcPr>
            <w:tcW w:w="1420" w:type="dxa"/>
            <w:vAlign w:val="bottom"/>
            <w:gridSpan w:val="2"/>
          </w:tcPr>
          <w:p>
            <w:pPr>
              <w:ind w:left="260"/>
              <w:spacing w:after="0" w:line="114" w:lineRule="exact"/>
              <w:rPr>
                <w:sz w:val="20"/>
                <w:szCs w:val="20"/>
                <w:color w:val="auto"/>
              </w:rPr>
            </w:pPr>
            <w:r>
              <w:rPr>
                <w:rFonts w:ascii="Arial" w:cs="Arial" w:eastAsia="Arial" w:hAnsi="Arial"/>
                <w:sz w:val="10"/>
                <w:szCs w:val="10"/>
                <w:b w:val="1"/>
                <w:bCs w:val="1"/>
                <w:color w:val="auto"/>
              </w:rPr>
              <w:t>Amount</w:t>
            </w:r>
          </w:p>
        </w:tc>
        <w:tc>
          <w:tcPr>
            <w:tcW w:w="10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Revenues</w:t>
            </w:r>
          </w:p>
        </w:tc>
        <w:tc>
          <w:tcPr>
            <w:tcW w:w="980" w:type="dxa"/>
            <w:vAlign w:val="bottom"/>
          </w:tcPr>
          <w:p>
            <w:pPr>
              <w:jc w:val="right"/>
              <w:ind w:right="32"/>
              <w:spacing w:after="0" w:line="114" w:lineRule="exact"/>
              <w:rPr>
                <w:sz w:val="20"/>
                <w:szCs w:val="20"/>
                <w:color w:val="auto"/>
              </w:rPr>
            </w:pPr>
            <w:r>
              <w:rPr>
                <w:rFonts w:ascii="Arial" w:cs="Arial" w:eastAsia="Arial" w:hAnsi="Arial"/>
                <w:sz w:val="10"/>
                <w:szCs w:val="10"/>
                <w:b w:val="1"/>
                <w:bCs w:val="1"/>
                <w:color w:val="auto"/>
              </w:rPr>
              <w:t>Amount</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0"/>
              </w:rPr>
              <w:t>Revenues</w:t>
            </w:r>
          </w:p>
        </w:tc>
      </w:tr>
      <w:tr>
        <w:trPr>
          <w:trHeight w:val="142"/>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Operating expense by segment:</w:t>
            </w: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880" w:type="dxa"/>
            <w:vAlign w:val="bottom"/>
            <w:gridSpan w:val="2"/>
          </w:tcPr>
          <w:p>
            <w:pPr>
              <w:ind w:left="160"/>
              <w:spacing w:after="0"/>
              <w:rPr>
                <w:sz w:val="20"/>
                <w:szCs w:val="20"/>
                <w:color w:val="auto"/>
              </w:rPr>
            </w:pPr>
            <w:r>
              <w:rPr>
                <w:rFonts w:ascii="Arial" w:cs="Arial" w:eastAsia="Arial" w:hAnsi="Arial"/>
                <w:sz w:val="12"/>
                <w:szCs w:val="12"/>
                <w:color w:val="auto"/>
              </w:rPr>
              <w:t>Fiber Infrastructure</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139,460</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93"/>
              </w:rPr>
              <w:t>13.2%</w:t>
            </w:r>
          </w:p>
        </w:tc>
        <w:tc>
          <w:tcPr>
            <w:tcW w:w="260" w:type="dxa"/>
            <w:vAlign w:val="bottom"/>
          </w:tcPr>
          <w:p>
            <w:pPr>
              <w:spacing w:after="0"/>
              <w:rPr>
                <w:sz w:val="13"/>
                <w:szCs w:val="13"/>
                <w:color w:val="auto"/>
              </w:rPr>
            </w:pP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117,781</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88"/>
              </w:rPr>
              <w:t>11.5%</w:t>
            </w:r>
          </w:p>
        </w:tc>
        <w:tc>
          <w:tcPr>
            <w:tcW w:w="120" w:type="dxa"/>
            <w:vAlign w:val="bottom"/>
          </w:tcPr>
          <w:p>
            <w:pPr>
              <w:spacing w:after="0"/>
              <w:rPr>
                <w:sz w:val="13"/>
                <w:szCs w:val="13"/>
                <w:color w:val="auto"/>
              </w:rPr>
            </w:pPr>
          </w:p>
        </w:tc>
      </w:tr>
      <w:tr>
        <w:trPr>
          <w:trHeight w:val="153"/>
        </w:trPr>
        <w:tc>
          <w:tcPr>
            <w:tcW w:w="5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Towers</w:t>
            </w: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9,819</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0.9%</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7,989</w:t>
            </w: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4"/>
              </w:rPr>
              <w:t>0.8%</w:t>
            </w:r>
          </w:p>
        </w:tc>
        <w:tc>
          <w:tcPr>
            <w:tcW w:w="120" w:type="dxa"/>
            <w:vAlign w:val="bottom"/>
            <w:shd w:val="clear" w:color="auto" w:fill="CFF0FC"/>
          </w:tcPr>
          <w:p>
            <w:pPr>
              <w:spacing w:after="0"/>
              <w:rPr>
                <w:sz w:val="13"/>
                <w:szCs w:val="13"/>
                <w:color w:val="auto"/>
              </w:rPr>
            </w:pPr>
          </w:p>
        </w:tc>
      </w:tr>
      <w:tr>
        <w:trPr>
          <w:trHeight w:val="153"/>
        </w:trPr>
        <w:tc>
          <w:tcPr>
            <w:tcW w:w="5880" w:type="dxa"/>
            <w:vAlign w:val="bottom"/>
            <w:gridSpan w:val="2"/>
          </w:tcPr>
          <w:p>
            <w:pPr>
              <w:ind w:left="160"/>
              <w:spacing w:after="0"/>
              <w:rPr>
                <w:sz w:val="20"/>
                <w:szCs w:val="20"/>
                <w:color w:val="auto"/>
              </w:rPr>
            </w:pPr>
            <w:r>
              <w:rPr>
                <w:rFonts w:ascii="Arial" w:cs="Arial" w:eastAsia="Arial" w:hAnsi="Arial"/>
                <w:sz w:val="12"/>
                <w:szCs w:val="12"/>
                <w:color w:val="auto"/>
              </w:rPr>
              <w:t>CLEC</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8,692</w:t>
            </w:r>
          </w:p>
        </w:tc>
        <w:tc>
          <w:tcPr>
            <w:tcW w:w="2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0.8%</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10,576</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4"/>
              </w:rPr>
              <w:t>1.0%</w:t>
            </w:r>
          </w:p>
        </w:tc>
        <w:tc>
          <w:tcPr>
            <w:tcW w:w="120" w:type="dxa"/>
            <w:vAlign w:val="bottom"/>
          </w:tcPr>
          <w:p>
            <w:pPr>
              <w:spacing w:after="0"/>
              <w:rPr>
                <w:sz w:val="13"/>
                <w:szCs w:val="13"/>
                <w:color w:val="auto"/>
              </w:rPr>
            </w:pPr>
          </w:p>
        </w:tc>
      </w:tr>
      <w:tr>
        <w:trPr>
          <w:trHeight w:val="153"/>
        </w:trPr>
        <w:tc>
          <w:tcPr>
            <w:tcW w:w="5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Leasing</w:t>
            </w: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2,053</w:t>
            </w:r>
          </w:p>
        </w:tc>
        <w:tc>
          <w:tcPr>
            <w:tcW w:w="28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0.2%</w:t>
            </w:r>
          </w:p>
        </w:tc>
        <w:tc>
          <w:tcPr>
            <w:tcW w:w="26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719</w:t>
            </w:r>
          </w:p>
        </w:tc>
        <w:tc>
          <w:tcPr>
            <w:tcW w:w="26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4"/>
              </w:rPr>
              <w:t>0.1%</w:t>
            </w:r>
          </w:p>
        </w:tc>
        <w:tc>
          <w:tcPr>
            <w:tcW w:w="120" w:type="dxa"/>
            <w:vAlign w:val="bottom"/>
            <w:shd w:val="clear" w:color="auto" w:fill="CFF0FC"/>
          </w:tcPr>
          <w:p>
            <w:pPr>
              <w:spacing w:after="0"/>
              <w:rPr>
                <w:sz w:val="13"/>
                <w:szCs w:val="13"/>
                <w:color w:val="auto"/>
              </w:rPr>
            </w:pPr>
          </w:p>
        </w:tc>
      </w:tr>
      <w:tr>
        <w:trPr>
          <w:trHeight w:val="149"/>
        </w:trPr>
        <w:tc>
          <w:tcPr>
            <w:tcW w:w="5880" w:type="dxa"/>
            <w:vAlign w:val="bottom"/>
            <w:gridSpan w:val="2"/>
          </w:tcPr>
          <w:p>
            <w:pPr>
              <w:ind w:left="240"/>
              <w:spacing w:after="0"/>
              <w:rPr>
                <w:sz w:val="20"/>
                <w:szCs w:val="20"/>
                <w:color w:val="auto"/>
              </w:rPr>
            </w:pPr>
            <w:r>
              <w:rPr>
                <w:rFonts w:ascii="Arial" w:cs="Arial" w:eastAsia="Arial" w:hAnsi="Arial"/>
                <w:sz w:val="12"/>
                <w:szCs w:val="12"/>
                <w:color w:val="auto"/>
              </w:rPr>
              <w:t>Total operating expenses</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160,024</w:t>
            </w:r>
          </w:p>
        </w:tc>
        <w:tc>
          <w:tcPr>
            <w:tcW w:w="28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15.1%</w:t>
            </w: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137,065</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13.4%</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jc w:val="center"/>
        <w:ind w:right="440"/>
        <w:spacing w:after="0"/>
        <w:rPr>
          <w:sz w:val="20"/>
          <w:szCs w:val="20"/>
          <w:color w:val="auto"/>
        </w:rPr>
      </w:pPr>
      <w:r>
        <w:rPr>
          <w:rFonts w:ascii="Arial" w:cs="Arial" w:eastAsia="Arial" w:hAnsi="Arial"/>
          <w:sz w:val="10"/>
          <w:szCs w:val="10"/>
          <w:i w:val="1"/>
          <w:iCs w:val="1"/>
          <w:u w:val="single" w:color="auto"/>
          <w:color w:val="auto"/>
        </w:rPr>
        <w:t>Fiber Infrastructure</w:t>
      </w:r>
      <w:r>
        <w:rPr>
          <w:rFonts w:ascii="Arial" w:cs="Arial" w:eastAsia="Arial" w:hAnsi="Arial"/>
          <w:sz w:val="10"/>
          <w:szCs w:val="10"/>
          <w:i w:val="1"/>
          <w:iCs w:val="1"/>
          <w:color w:val="auto"/>
        </w:rPr>
        <w:t xml:space="preserve"> </w:t>
      </w:r>
      <w:r>
        <w:rPr>
          <w:rFonts w:ascii="Arial" w:cs="Arial" w:eastAsia="Arial" w:hAnsi="Arial"/>
          <w:sz w:val="10"/>
          <w:szCs w:val="10"/>
          <w:color w:val="auto"/>
        </w:rPr>
        <w:t>– For the year ended December 31, 2019, Fiber Infrastructure operating expenses totaled $139.5 million as compared to $117.8 million for the year ended December 31, 2018.  Operating expense consists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0"/>
        <w:spacing w:after="0" w:line="263" w:lineRule="auto"/>
        <w:rPr>
          <w:sz w:val="20"/>
          <w:szCs w:val="20"/>
          <w:color w:val="auto"/>
        </w:rPr>
      </w:pPr>
      <w:r>
        <w:rPr>
          <w:rFonts w:ascii="Arial" w:cs="Arial" w:eastAsia="Arial" w:hAnsi="Arial"/>
          <w:sz w:val="12"/>
          <w:szCs w:val="12"/>
          <w:color w:val="auto"/>
        </w:rPr>
        <w:t>network related costs, such as dark fiber and tower rents, and lit service and maintenance expense. In addition, costs associated with our construction activities are presented within operating expenses. The increase in operating expenses is primarily attributable to the timing of the ITS acquisition that occurred on October 19, 2018, which incurred operating expenses of $26.5 million and $5.6 million for the years ended December 31, 2019 and 2018, respectively.</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i w:val="1"/>
          <w:iCs w:val="1"/>
          <w:color w:val="auto"/>
        </w:rPr>
        <w:t xml:space="preserve"> </w:t>
      </w:r>
      <w:r>
        <w:rPr>
          <w:rFonts w:ascii="Arial" w:cs="Arial" w:eastAsia="Arial" w:hAnsi="Arial"/>
          <w:sz w:val="12"/>
          <w:szCs w:val="12"/>
          <w:color w:val="auto"/>
        </w:rPr>
        <w:t>– Our Towers segment operating expense primarily consists of ground rent, some or all of which may be passed to our tenants, as well as property taxes, regulatory fees and maintenance and repairs expenses.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2019, Towers operating expense was $9.8 million and included $8.8 million of expenses related to our U.S. towers operations and $1.0 million related to our Latin American tower operations. For the year ended December 31, 2018, Towers operating expense was $8.0 million and included $4.0 million of expenses related to our U.S. towers operations and $4.0 million related to our Latin American tower operations. The increase in the U.S. in primarily driven by our development activities, while the decrease in Latin America is due to the sale of our Latin American tower portfolio.</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Expense associated with the Consumer CLEC Business is primarily attributable to the Wholesale Agreement and the Master Services Agreement entered into between us and Windstream in connection with the Spin-Off, and also includes costs arising under the interconnection agreements with other telecommunication carriers. Expense associated with the Wholesale Agreement and Master Services Agreement for the year ended December 31, 2019 totaled $5.9 million (0.6% of revenue) and $0.6 million (0.1% of revenue), respectively, and expense associated with the Wholesale Agreement and the Master Services Agreement for the year ended December 31, 2018 totaled $7.8 million (0.8% of revenue) and $0.7 million (0.1% of revenue),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 Related and Other Costs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Transaction costs included incremental acquisition, pursuit, transaction and integration costs, including unsuccessful acquisition pursuit costs. In addition, these costs include costs incurred as a result of Windstream’s bankruptcy filing, costs associated with Windstream’s claims against us and costs associated with the implementation of our new enterprise resource planning system. For the year ended December 31, 2019, we incurred $43.7 million of transaction related and other costs, compared to $17.4 million of such costs during the year ended December 31, 2018. The increase is primarily related to $32.8 million of total costs associated with the non-capitalizable Bluebird asset acquisition expenses, sale of our Latin America Tower portfolio, costs related to the Windstream bankruptcy, costs associated with Windstream’s claims against us and costs associated with the implementation of our enterprise resource planning system. This increase was partially offset by a decrease in Uniti Fiber integration costs of $3.3 million.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Sale of Real Estate</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For the year ended December 31, 2019, we recognized realized gains of $23.8 million and $5.1 million related to the sale of Uniti Towers’ Latin American business and sale of our U.S. ground lease business,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net</w:t>
      </w:r>
    </w:p>
    <w:p>
      <w:pPr>
        <w:spacing w:after="0" w:line="150"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We recognized $31.5 million of other income for the year ended December 31, 2019, which included a $28.5 million unrealized gain for mark-to-market adjustments on our contingent consideration arrangements. Other income for the year ended December 31, 2018, totaled $4.5 million, primarily as a result of a net unrealized gain of $3.7 million for mark-to-market adjustments on our contingent consideration arrangements.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Expense (Benefit)</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We recorded a $4.7 million income tax expense for the year ended December 31, 2019. Included in income tax expense is approximately $15.6 million of income tax expense related to (i) expense related to the cancellation of debt income that was recognized for federal income tax purposes as a result of the Fourth Amendment ($4.6 million), (ii) expense related to capital gain from the sale of Uniti Towers’ Latin American business ($4.6 million), (iii) expense related to undistributed income from operations ($3.2 million), (iv) expense attributable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unrecognized tax benefit related to the sale of Uniti Towers’ Latin American business ($2.9 million) and (v) expense related to franchise and gross receipts taxes ($0.3 million). Income tax expense was partially offset by a $10.9 million income tax benefit related to pre-tax loss in our Fiber Infrastructure segment. We recorded a $5.4 million income tax benefit for the year ended December 31, 2018, $1.3 million of which relates to the impact of the reduction in the corporate tax rate under the Tax Cuts and Jobs Act on purchase price allocation adjustments recorded during the three months ended September 30, 2018 and the remainder of which is primarily driven by pre-tax loss in our Fiber Infrastructure segment.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2018 and 2017</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sets forth, for the periods indicated, our results of operations expressed as dollars and as a percentage of total revenues: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Year Ended</w:t>
            </w: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 of</w:t>
            </w:r>
          </w:p>
        </w:tc>
        <w:tc>
          <w:tcPr>
            <w:tcW w:w="200" w:type="dxa"/>
            <w:vAlign w:val="bottom"/>
          </w:tcPr>
          <w:p>
            <w:pPr>
              <w:spacing w:after="0"/>
              <w:rPr>
                <w:sz w:val="10"/>
                <w:szCs w:val="1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Year Ended</w:t>
            </w: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 of</w:t>
            </w:r>
          </w:p>
        </w:tc>
        <w:tc>
          <w:tcPr>
            <w:tcW w:w="0" w:type="dxa"/>
            <w:vAlign w:val="bottom"/>
          </w:tcPr>
          <w:p>
            <w:pPr>
              <w:spacing w:after="0"/>
              <w:rPr>
                <w:sz w:val="1"/>
                <w:szCs w:val="1"/>
                <w:color w:val="auto"/>
              </w:rPr>
            </w:pPr>
          </w:p>
        </w:tc>
      </w:tr>
      <w:tr>
        <w:trPr>
          <w:trHeight w:val="113"/>
        </w:trPr>
        <w:tc>
          <w:tcPr>
            <w:tcW w:w="440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w w:val="99"/>
              </w:rPr>
              <w:t>December 31, 2018</w:t>
            </w:r>
          </w:p>
        </w:tc>
        <w:tc>
          <w:tcPr>
            <w:tcW w:w="10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Revenues</w:t>
            </w:r>
          </w:p>
        </w:tc>
        <w:tc>
          <w:tcPr>
            <w:tcW w:w="200" w:type="dxa"/>
            <w:vAlign w:val="bottom"/>
          </w:tcPr>
          <w:p>
            <w:pPr>
              <w:spacing w:after="0"/>
              <w:rPr>
                <w:sz w:val="9"/>
                <w:szCs w:val="9"/>
                <w:color w:val="auto"/>
              </w:rPr>
            </w:pPr>
          </w:p>
        </w:tc>
        <w:tc>
          <w:tcPr>
            <w:tcW w:w="1560" w:type="dxa"/>
            <w:vAlign w:val="bottom"/>
            <w:gridSpan w:val="2"/>
          </w:tcPr>
          <w:p>
            <w:pPr>
              <w:jc w:val="right"/>
              <w:ind w:right="640"/>
              <w:spacing w:after="0" w:line="114" w:lineRule="exact"/>
              <w:rPr>
                <w:sz w:val="20"/>
                <w:szCs w:val="20"/>
                <w:color w:val="auto"/>
              </w:rPr>
            </w:pPr>
            <w:r>
              <w:rPr>
                <w:rFonts w:ascii="Arial" w:cs="Arial" w:eastAsia="Arial" w:hAnsi="Arial"/>
                <w:sz w:val="10"/>
                <w:szCs w:val="10"/>
                <w:b w:val="1"/>
                <w:bCs w:val="1"/>
                <w:color w:val="auto"/>
                <w:w w:val="99"/>
              </w:rPr>
              <w:t>December 31, 2017</w:t>
            </w: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4"/>
              </w:rPr>
              <w:t>Revenues</w:t>
            </w:r>
          </w:p>
        </w:tc>
        <w:tc>
          <w:tcPr>
            <w:tcW w:w="0" w:type="dxa"/>
            <w:vAlign w:val="bottom"/>
          </w:tcPr>
          <w:p>
            <w:pPr>
              <w:spacing w:after="0"/>
              <w:rPr>
                <w:sz w:val="1"/>
                <w:szCs w:val="1"/>
                <w:color w:val="auto"/>
              </w:rPr>
            </w:pPr>
          </w:p>
        </w:tc>
      </w:tr>
      <w:tr>
        <w:trPr>
          <w:trHeight w:val="142"/>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3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Leasing</w:t>
            </w:r>
          </w:p>
        </w:tc>
        <w:tc>
          <w:tcPr>
            <w:tcW w:w="1740" w:type="dxa"/>
            <w:vAlign w:val="bottom"/>
            <w:gridSpan w:val="3"/>
          </w:tcPr>
          <w:p>
            <w:pPr>
              <w:jc w:val="right"/>
              <w:ind w:right="92"/>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699,847</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68.8%</w:t>
            </w:r>
          </w:p>
        </w:tc>
        <w:tc>
          <w:tcPr>
            <w:tcW w:w="26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685,099</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74.8%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28.4%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Tower</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14,617</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10,055</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Consumer CLEC</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1.4%</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tcPr>
          <w:p>
            <w:pPr>
              <w:ind w:left="320"/>
              <w:spacing w:after="0"/>
              <w:rPr>
                <w:sz w:val="20"/>
                <w:szCs w:val="20"/>
                <w:color w:val="auto"/>
              </w:rPr>
            </w:pPr>
            <w:r>
              <w:rPr>
                <w:rFonts w:ascii="Arial" w:cs="Arial" w:eastAsia="Arial" w:hAnsi="Arial"/>
                <w:sz w:val="12"/>
                <w:szCs w:val="12"/>
                <w:color w:val="auto"/>
              </w:rPr>
              <w:t>Total revenues</w:t>
            </w: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1,017,634</w:t>
            </w: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916,032</w:t>
            </w: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Interest expense, net</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319,591</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31.4%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305,994</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33.4%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44.4%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47.4%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General and administrative expense</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85,198</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8.4%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72,045</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expense (exclusive of depreciation and amortization)</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137,065</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13.5%</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102,176</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Transaction related and other costs</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17,410</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38,005</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(income) expense</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(4,504)</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costs and expenses</w:t>
            </w:r>
          </w:p>
        </w:tc>
        <w:tc>
          <w:tcPr>
            <w:tcW w:w="13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1,006,510</w:t>
            </w:r>
          </w:p>
        </w:tc>
        <w:tc>
          <w:tcPr>
            <w:tcW w:w="28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93"/>
              </w:rPr>
              <w:t>98.9%</w:t>
            </w:r>
          </w:p>
        </w:tc>
        <w:tc>
          <w:tcPr>
            <w:tcW w:w="2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963,709</w:t>
            </w:r>
          </w:p>
        </w:tc>
        <w:tc>
          <w:tcPr>
            <w:tcW w:w="28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8"/>
              </w:rPr>
              <w:t>105.2%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b w:val="1"/>
                <w:bCs w:val="1"/>
                <w:color w:val="auto"/>
              </w:rPr>
              <w:t>Income (loss) before income taxes</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11,124</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(47,677)</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Income tax benefit</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(5,421)</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(0.5%)</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(38,849)</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b w:val="1"/>
                <w:bCs w:val="1"/>
                <w:color w:val="auto"/>
              </w:rPr>
              <w:t>Net income (loss)</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16,545</w:t>
            </w: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(8,828)</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358</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611</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20"/>
                <w:szCs w:val="20"/>
                <w:color w:val="auto"/>
              </w:rPr>
            </w:pPr>
            <w:r>
              <w:rPr>
                <w:rFonts w:ascii="Arial" w:cs="Arial" w:eastAsia="Arial" w:hAnsi="Arial"/>
                <w:sz w:val="12"/>
                <w:szCs w:val="12"/>
                <w:b w:val="1"/>
                <w:bCs w:val="1"/>
                <w:color w:val="auto"/>
              </w:rPr>
              <w:t>Net income (loss) attributable to shareholders</w:t>
            </w: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16,187</w:t>
            </w: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(9,439)</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Participating securities' share in earnings</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(2,594)</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(1,509)</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Dividends declared on convertible preferred stock</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(2,624)</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(0.3%)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(2,624)</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 of discount on convertible preferred stock</w:t>
            </w: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(2,980)</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(0.3%)</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(2,980)</w:t>
            </w: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00" w:type="dxa"/>
            <w:vAlign w:val="bottom"/>
            <w:vMerge w:val="continue"/>
          </w:tcPr>
          <w:p>
            <w:pPr>
              <w:spacing w:after="0"/>
              <w:rPr>
                <w:sz w:val="13"/>
                <w:szCs w:val="13"/>
                <w:color w:val="auto"/>
              </w:rPr>
            </w:pPr>
          </w:p>
        </w:tc>
        <w:tc>
          <w:tcPr>
            <w:tcW w:w="1540" w:type="dxa"/>
            <w:vAlign w:val="bottom"/>
            <w:gridSpan w:val="2"/>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7,989</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0.8%</w:t>
            </w:r>
          </w:p>
        </w:tc>
        <w:tc>
          <w:tcPr>
            <w:tcW w:w="26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(16,552)</w:t>
            </w:r>
          </w:p>
        </w:tc>
        <w:tc>
          <w:tcPr>
            <w:tcW w:w="740" w:type="dxa"/>
            <w:vAlign w:val="bottom"/>
          </w:tcPr>
          <w:p>
            <w:pPr>
              <w:jc w:val="center"/>
              <w:spacing w:after="0"/>
              <w:rPr>
                <w:sz w:val="20"/>
                <w:szCs w:val="20"/>
                <w:color w:val="auto"/>
              </w:rPr>
            </w:pPr>
            <w:r>
              <w:rPr>
                <w:rFonts w:ascii="Arial" w:cs="Arial" w:eastAsia="Arial" w:hAnsi="Arial"/>
                <w:sz w:val="12"/>
                <w:szCs w:val="12"/>
                <w:color w:val="auto"/>
                <w:w w:val="90"/>
              </w:rPr>
              <w:t>(1.8%)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400" w:type="dxa"/>
            <w:vAlign w:val="bottom"/>
          </w:tcPr>
          <w:p>
            <w:pPr>
              <w:spacing w:after="0"/>
              <w:rPr>
                <w:sz w:val="24"/>
                <w:szCs w:val="24"/>
                <w:color w:val="auto"/>
              </w:rPr>
            </w:pPr>
          </w:p>
        </w:tc>
        <w:tc>
          <w:tcPr>
            <w:tcW w:w="1380" w:type="dxa"/>
            <w:vAlign w:val="bottom"/>
          </w:tcPr>
          <w:p>
            <w:pPr>
              <w:jc w:val="right"/>
              <w:ind w:right="20"/>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40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for the years ended December 31, 2018 and 2017, revenues and Adjusted EBITDA of our reportable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Year Ended December 31, 2018</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220" w:type="dxa"/>
            <w:vAlign w:val="bottom"/>
            <w:tcBorders>
              <w:bottom w:val="single" w:sz="8" w:color="auto"/>
            </w:tcBorders>
            <w:gridSpan w:val="2"/>
          </w:tcPr>
          <w:p>
            <w:pPr>
              <w:spacing w:after="0" w:line="114" w:lineRule="exact"/>
              <w:rPr>
                <w:sz w:val="20"/>
                <w:szCs w:val="20"/>
                <w:color w:val="auto"/>
              </w:rPr>
            </w:pPr>
            <w:r>
              <w:rPr>
                <w:rFonts w:ascii="Arial" w:cs="Arial" w:eastAsia="Arial" w:hAnsi="Arial"/>
                <w:sz w:val="10"/>
                <w:szCs w:val="10"/>
                <w:color w:val="auto"/>
              </w:rPr>
              <w:t>(Thousands)</w:t>
            </w:r>
          </w:p>
        </w:tc>
        <w:tc>
          <w:tcPr>
            <w:tcW w:w="8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Leasing</w:t>
            </w:r>
          </w:p>
        </w:tc>
        <w:tc>
          <w:tcPr>
            <w:tcW w:w="2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40" w:type="dxa"/>
            <w:vAlign w:val="bottom"/>
            <w:tcBorders>
              <w:bottom w:val="single" w:sz="8" w:color="CFF0FC"/>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
              <w:spacing w:after="0" w:line="114" w:lineRule="exact"/>
              <w:rPr>
                <w:sz w:val="20"/>
                <w:szCs w:val="20"/>
                <w:color w:val="auto"/>
              </w:rPr>
            </w:pPr>
            <w:r>
              <w:rPr>
                <w:rFonts w:ascii="Arial" w:cs="Arial" w:eastAsia="Arial" w:hAnsi="Arial"/>
                <w:sz w:val="10"/>
                <w:szCs w:val="10"/>
                <w:b w:val="1"/>
                <w:bCs w:val="1"/>
                <w:color w:val="auto"/>
                <w:w w:val="79"/>
              </w:rPr>
              <w:t>Segments</w:t>
            </w:r>
          </w:p>
        </w:tc>
        <w:tc>
          <w:tcPr>
            <w:tcW w:w="1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2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699,847</w:t>
            </w:r>
          </w:p>
        </w:tc>
        <w:tc>
          <w:tcPr>
            <w:tcW w:w="2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289,239</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14,617</w:t>
            </w: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1,017,634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697,545</w:t>
            </w: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92"/>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123,389</w:t>
            </w: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22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3,353</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(21,759)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802,883</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spacing w:after="0"/>
              <w:rPr>
                <w:sz w:val="20"/>
                <w:szCs w:val="20"/>
                <w:color w:val="auto"/>
              </w:rPr>
            </w:pPr>
            <w:r>
              <w:rPr>
                <w:rFonts w:ascii="Arial" w:cs="Arial" w:eastAsia="Arial" w:hAnsi="Arial"/>
                <w:sz w:val="12"/>
                <w:szCs w:val="12"/>
                <w:color w:val="auto"/>
              </w:rPr>
              <w:t>Adjusted EBITDA margin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99.7%</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2"/>
                <w:szCs w:val="12"/>
                <w:color w:val="auto"/>
              </w:rPr>
              <w:t>42.7%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24.1%</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78.9%</w:t>
            </w: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ind w:left="80"/>
              <w:spacing w:after="0"/>
              <w:rPr>
                <w:sz w:val="20"/>
                <w:szCs w:val="20"/>
                <w:color w:val="auto"/>
              </w:rPr>
            </w:pPr>
            <w:r>
              <w:rPr>
                <w:rFonts w:ascii="Arial" w:cs="Arial" w:eastAsia="Arial" w:hAnsi="Arial"/>
                <w:sz w:val="12"/>
                <w:szCs w:val="12"/>
                <w:color w:val="auto"/>
              </w:rPr>
              <w:t>Interest expense, net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319,591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337,126</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105,651</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6,704</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ind w:left="80"/>
              <w:spacing w:after="0"/>
              <w:rPr>
                <w:sz w:val="20"/>
                <w:szCs w:val="20"/>
                <w:color w:val="auto"/>
              </w:rPr>
            </w:pPr>
            <w:r>
              <w:rPr>
                <w:rFonts w:ascii="Arial" w:cs="Arial" w:eastAsia="Arial" w:hAnsi="Arial"/>
                <w:sz w:val="12"/>
                <w:szCs w:val="12"/>
                <w:color w:val="auto"/>
              </w:rPr>
              <w:t>Other income, net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(4,504)</w:t>
            </w: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17,410</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8,064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(5,421)</w:t>
            </w:r>
          </w:p>
        </w:tc>
        <w:tc>
          <w:tcPr>
            <w:tcW w:w="0" w:type="dxa"/>
            <w:vAlign w:val="bottom"/>
          </w:tcPr>
          <w:p>
            <w:pPr>
              <w:spacing w:after="0"/>
              <w:rPr>
                <w:sz w:val="1"/>
                <w:szCs w:val="1"/>
                <w:color w:val="auto"/>
              </w:rPr>
            </w:pPr>
          </w:p>
        </w:tc>
      </w:tr>
      <w:tr>
        <w:trPr>
          <w:trHeight w:val="153"/>
        </w:trPr>
        <w:tc>
          <w:tcPr>
            <w:tcW w:w="4220" w:type="dxa"/>
            <w:vAlign w:val="bottom"/>
            <w:gridSpan w:val="2"/>
          </w:tcPr>
          <w:p>
            <w:pPr>
              <w:ind w:left="8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162"/>
        </w:trPr>
        <w:tc>
          <w:tcPr>
            <w:tcW w:w="4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Net income</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74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6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0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Year Ended December 31, 2017</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2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1"/>
              </w:rPr>
              <w:t>Fiber Infrastructure</w:t>
            </w:r>
          </w:p>
        </w:tc>
        <w:tc>
          <w:tcPr>
            <w:tcW w:w="22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04"/>
              <w:spacing w:after="0" w:line="114" w:lineRule="exact"/>
              <w:rPr>
                <w:sz w:val="20"/>
                <w:szCs w:val="20"/>
                <w:color w:val="auto"/>
              </w:rPr>
            </w:pPr>
            <w:r>
              <w:rPr>
                <w:rFonts w:ascii="Arial" w:cs="Arial" w:eastAsia="Arial" w:hAnsi="Arial"/>
                <w:sz w:val="10"/>
                <w:szCs w:val="10"/>
                <w:b w:val="1"/>
                <w:bCs w:val="1"/>
                <w:color w:val="auto"/>
              </w:rPr>
              <w:t>Towers</w:t>
            </w:r>
          </w:p>
        </w:tc>
        <w:tc>
          <w:tcPr>
            <w:tcW w:w="24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
              <w:spacing w:after="0" w:line="114" w:lineRule="exact"/>
              <w:rPr>
                <w:sz w:val="20"/>
                <w:szCs w:val="20"/>
                <w:color w:val="auto"/>
              </w:rPr>
            </w:pPr>
            <w:r>
              <w:rPr>
                <w:rFonts w:ascii="Arial" w:cs="Arial" w:eastAsia="Arial" w:hAnsi="Arial"/>
                <w:sz w:val="10"/>
                <w:szCs w:val="10"/>
                <w:b w:val="1"/>
                <w:bCs w:val="1"/>
                <w:color w:val="auto"/>
                <w:w w:val="79"/>
              </w:rPr>
              <w:t>Segments</w:t>
            </w:r>
          </w:p>
        </w:tc>
        <w:tc>
          <w:tcPr>
            <w:tcW w:w="1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28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685,099</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8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683,651</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83,987</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w w:val="71"/>
              </w:rPr>
              <w:t>$</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(831)</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4,556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(21,839)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spacing w:after="0"/>
              <w:rPr>
                <w:sz w:val="20"/>
                <w:szCs w:val="20"/>
                <w:color w:val="auto"/>
              </w:rPr>
            </w:pPr>
            <w:r>
              <w:rPr>
                <w:rFonts w:ascii="Arial" w:cs="Arial" w:eastAsia="Arial" w:hAnsi="Arial"/>
                <w:sz w:val="12"/>
                <w:szCs w:val="12"/>
                <w:color w:val="auto"/>
              </w:rPr>
              <w:t>Adjusted EBITDA margin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2"/>
                <w:szCs w:val="12"/>
                <w:color w:val="auto"/>
              </w:rPr>
              <w:t>99.8%</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41.4%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2"/>
                <w:szCs w:val="12"/>
                <w:color w:val="auto"/>
              </w:rPr>
              <w:t>(8.3%)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25.2%</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ind w:left="80"/>
              <w:spacing w:after="0"/>
              <w:rPr>
                <w:sz w:val="20"/>
                <w:szCs w:val="20"/>
                <w:color w:val="auto"/>
              </w:rPr>
            </w:pPr>
            <w:r>
              <w:rPr>
                <w:rFonts w:ascii="Arial" w:cs="Arial" w:eastAsia="Arial" w:hAnsi="Arial"/>
                <w:sz w:val="12"/>
                <w:szCs w:val="12"/>
                <w:color w:val="auto"/>
              </w:rPr>
              <w:t>Interest expense, net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305,994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347,999</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78,307</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4,907</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2,607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ind w:left="80"/>
              <w:spacing w:after="0"/>
              <w:rPr>
                <w:sz w:val="20"/>
                <w:szCs w:val="20"/>
                <w:color w:val="auto"/>
              </w:rPr>
            </w:pPr>
            <w:r>
              <w:rPr>
                <w:rFonts w:ascii="Arial" w:cs="Arial" w:eastAsia="Arial" w:hAnsi="Arial"/>
                <w:sz w:val="12"/>
                <w:szCs w:val="12"/>
                <w:color w:val="auto"/>
              </w:rPr>
              <w:t>Other expense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11,284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7,713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2018, we recognized $693.9 million of revenue under the Master Lease, which included $23.1 million of non-cash TCI revenue and $15.1 million of non-cash straight-line rental revenue.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year ended December 31, 2017, we recognized $685.1 million of revenue under the Master Lease, which included $14.3 million of non-cash TCI revenue and $17.3 million of non-cash straight-line rental revenue. The increase in TCI revenue is attributable to continued investment by Windstream in TCIs. Windstream invested $153.6 million in TCIs during the year ended December 31, 2018, a decrease from $228.0 million it invested in TCIs during the year ended December 31, 2017.</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In the years ended December 31, 2018 and 2017, we recognized $289.2 and $202.8 of revenue, in our Fiber Infrastructure segment. The increase is primarily attributable to the timing of the acquisitions of</w:t>
      </w:r>
      <w:r>
        <w:rPr>
          <w:rFonts w:ascii="Arial" w:cs="Arial" w:eastAsia="Arial" w:hAnsi="Arial"/>
          <w:sz w:val="12"/>
          <w:szCs w:val="12"/>
          <w:i w:val="1"/>
          <w:iCs w:val="1"/>
          <w:color w:val="auto"/>
        </w:rPr>
        <w:t xml:space="preserve"> </w:t>
      </w:r>
      <w:r>
        <w:rPr>
          <w:rFonts w:ascii="Arial" w:cs="Arial" w:eastAsia="Arial" w:hAnsi="Arial"/>
          <w:sz w:val="12"/>
          <w:szCs w:val="12"/>
          <w:color w:val="auto"/>
        </w:rPr>
        <w:t>Southern Light, LLC (“Southern Light”) and Hunt Telecommunications LLC (“Hunt”), which were both acquired on July 3, 2017. Southern Light and Hunt contributed revenues of $132.8 million and $61.9 million, to our consolidated results for the year-ended December 31, 2018 and for the period from the date of acquisition through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December 31, 2017, respectively. In addition, we acquired ITS on October 19, 2018, which contributed $9.0 million of revenues from the date of acquisition to December 31, 2018. Revenue components for the Fiber Infrastructure segment for the years ended December 31, 2018 and 2017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5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5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Segment</w:t>
            </w: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Segment</w:t>
            </w:r>
          </w:p>
        </w:tc>
      </w:tr>
      <w:tr>
        <w:trPr>
          <w:trHeight w:val="113"/>
        </w:trPr>
        <w:tc>
          <w:tcPr>
            <w:tcW w:w="594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320" w:type="dxa"/>
            <w:vAlign w:val="bottom"/>
          </w:tcPr>
          <w:p>
            <w:pPr>
              <w:spacing w:after="0"/>
              <w:rPr>
                <w:sz w:val="9"/>
                <w:szCs w:val="9"/>
                <w:color w:val="auto"/>
              </w:rPr>
            </w:pPr>
          </w:p>
        </w:tc>
        <w:tc>
          <w:tcPr>
            <w:tcW w:w="142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Amount</w:t>
            </w:r>
          </w:p>
        </w:tc>
        <w:tc>
          <w:tcPr>
            <w:tcW w:w="10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Revenues</w:t>
            </w:r>
          </w:p>
        </w:tc>
        <w:tc>
          <w:tcPr>
            <w:tcW w:w="1000" w:type="dxa"/>
            <w:vAlign w:val="bottom"/>
          </w:tcPr>
          <w:p>
            <w:pPr>
              <w:jc w:val="right"/>
              <w:ind w:right="52"/>
              <w:spacing w:after="0" w:line="114" w:lineRule="exact"/>
              <w:rPr>
                <w:sz w:val="20"/>
                <w:szCs w:val="20"/>
                <w:color w:val="auto"/>
              </w:rPr>
            </w:pPr>
            <w:r>
              <w:rPr>
                <w:rFonts w:ascii="Arial" w:cs="Arial" w:eastAsia="Arial" w:hAnsi="Arial"/>
                <w:sz w:val="10"/>
                <w:szCs w:val="10"/>
                <w:b w:val="1"/>
                <w:bCs w:val="1"/>
                <w:color w:val="auto"/>
              </w:rPr>
              <w:t>Amount</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4"/>
              </w:rPr>
              <w:t>Revenues</w:t>
            </w:r>
          </w:p>
        </w:tc>
      </w:tr>
      <w:tr>
        <w:trPr>
          <w:trHeight w:val="142"/>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Fiber Infrastructure revenues:</w:t>
            </w: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940" w:type="dxa"/>
            <w:vAlign w:val="bottom"/>
            <w:gridSpan w:val="2"/>
          </w:tcPr>
          <w:p>
            <w:pPr>
              <w:ind w:left="160"/>
              <w:spacing w:after="0"/>
              <w:rPr>
                <w:sz w:val="20"/>
                <w:szCs w:val="20"/>
                <w:color w:val="auto"/>
              </w:rPr>
            </w:pPr>
            <w:r>
              <w:rPr>
                <w:rFonts w:ascii="Arial" w:cs="Arial" w:eastAsia="Arial" w:hAnsi="Arial"/>
                <w:sz w:val="12"/>
                <w:szCs w:val="12"/>
                <w:color w:val="auto"/>
              </w:rPr>
              <w:t>Lit backhaul services</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132,361</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45.8%</w:t>
            </w:r>
          </w:p>
        </w:tc>
        <w:tc>
          <w:tcPr>
            <w:tcW w:w="260" w:type="dxa"/>
            <w:vAlign w:val="bottom"/>
          </w:tcPr>
          <w:p>
            <w:pPr>
              <w:spacing w:after="0"/>
              <w:rPr>
                <w:sz w:val="13"/>
                <w:szCs w:val="13"/>
                <w:color w:val="auto"/>
              </w:rPr>
            </w:pP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117,574</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58.0%</w:t>
            </w:r>
          </w:p>
        </w:tc>
        <w:tc>
          <w:tcPr>
            <w:tcW w:w="120" w:type="dxa"/>
            <w:vAlign w:val="bottom"/>
          </w:tcPr>
          <w:p>
            <w:pPr>
              <w:spacing w:after="0"/>
              <w:rPr>
                <w:sz w:val="13"/>
                <w:szCs w:val="13"/>
                <w:color w:val="auto"/>
              </w:rPr>
            </w:pPr>
          </w:p>
        </w:tc>
      </w:tr>
      <w:tr>
        <w:trPr>
          <w:trHeight w:val="153"/>
        </w:trPr>
        <w:tc>
          <w:tcPr>
            <w:tcW w:w="59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Enterprise and wholesale</w:t>
            </w: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63,519</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22.0%</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36,542</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3"/>
              </w:rPr>
              <w:t>18.0%</w:t>
            </w:r>
          </w:p>
        </w:tc>
        <w:tc>
          <w:tcPr>
            <w:tcW w:w="120" w:type="dxa"/>
            <w:vAlign w:val="bottom"/>
            <w:shd w:val="clear" w:color="auto" w:fill="CFF0FC"/>
          </w:tcPr>
          <w:p>
            <w:pPr>
              <w:spacing w:after="0"/>
              <w:rPr>
                <w:sz w:val="13"/>
                <w:szCs w:val="13"/>
                <w:color w:val="auto"/>
              </w:rPr>
            </w:pPr>
          </w:p>
        </w:tc>
      </w:tr>
      <w:tr>
        <w:trPr>
          <w:trHeight w:val="153"/>
        </w:trPr>
        <w:tc>
          <w:tcPr>
            <w:tcW w:w="5940" w:type="dxa"/>
            <w:vAlign w:val="bottom"/>
            <w:gridSpan w:val="2"/>
          </w:tcPr>
          <w:p>
            <w:pPr>
              <w:ind w:left="160"/>
              <w:spacing w:after="0"/>
              <w:rPr>
                <w:sz w:val="20"/>
                <w:szCs w:val="20"/>
                <w:color w:val="auto"/>
              </w:rPr>
            </w:pPr>
            <w:r>
              <w:rPr>
                <w:rFonts w:ascii="Arial" w:cs="Arial" w:eastAsia="Arial" w:hAnsi="Arial"/>
                <w:sz w:val="12"/>
                <w:szCs w:val="12"/>
                <w:color w:val="auto"/>
              </w:rPr>
              <w:t>E-Rate and government</w:t>
            </w: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74,752</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25.8%</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43,021</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21.2%</w:t>
            </w:r>
          </w:p>
        </w:tc>
        <w:tc>
          <w:tcPr>
            <w:tcW w:w="120" w:type="dxa"/>
            <w:vAlign w:val="bottom"/>
          </w:tcPr>
          <w:p>
            <w:pPr>
              <w:spacing w:after="0"/>
              <w:rPr>
                <w:sz w:val="13"/>
                <w:szCs w:val="13"/>
                <w:color w:val="auto"/>
              </w:rPr>
            </w:pPr>
          </w:p>
        </w:tc>
      </w:tr>
      <w:tr>
        <w:trPr>
          <w:trHeight w:val="153"/>
        </w:trPr>
        <w:tc>
          <w:tcPr>
            <w:tcW w:w="59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Dark fiber and small cells</w:t>
            </w: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14,115</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4.9%</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5,200</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2.6%</w:t>
            </w:r>
          </w:p>
        </w:tc>
        <w:tc>
          <w:tcPr>
            <w:tcW w:w="120" w:type="dxa"/>
            <w:vAlign w:val="bottom"/>
            <w:shd w:val="clear" w:color="auto" w:fill="CFF0FC"/>
          </w:tcPr>
          <w:p>
            <w:pPr>
              <w:spacing w:after="0"/>
              <w:rPr>
                <w:sz w:val="13"/>
                <w:szCs w:val="13"/>
                <w:color w:val="auto"/>
              </w:rPr>
            </w:pPr>
          </w:p>
        </w:tc>
      </w:tr>
      <w:tr>
        <w:trPr>
          <w:trHeight w:val="153"/>
        </w:trPr>
        <w:tc>
          <w:tcPr>
            <w:tcW w:w="59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Other services</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4,492</w:t>
            </w: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1.5%</w:t>
            </w: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w:t>
            </w: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0.2%</w:t>
            </w:r>
          </w:p>
        </w:tc>
        <w:tc>
          <w:tcPr>
            <w:tcW w:w="120" w:type="dxa"/>
            <w:vAlign w:val="bottom"/>
            <w:tcBorders>
              <w:bottom w:val="single" w:sz="8" w:color="CFF0FC"/>
            </w:tcBorders>
          </w:tcPr>
          <w:p>
            <w:pPr>
              <w:spacing w:after="0"/>
              <w:rPr>
                <w:sz w:val="13"/>
                <w:szCs w:val="13"/>
                <w:color w:val="auto"/>
              </w:rPr>
            </w:pPr>
          </w:p>
        </w:tc>
      </w:tr>
      <w:tr>
        <w:trPr>
          <w:trHeight w:val="149"/>
        </w:trPr>
        <w:tc>
          <w:tcPr>
            <w:tcW w:w="59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Total Fiber Infrastructure revenues</w:t>
            </w:r>
          </w:p>
        </w:tc>
        <w:tc>
          <w:tcPr>
            <w:tcW w:w="320" w:type="dxa"/>
            <w:vAlign w:val="bottom"/>
            <w:tcBorders>
              <w:bottom w:val="single" w:sz="8" w:color="auto"/>
            </w:tcBorders>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100.0%</w:t>
            </w:r>
          </w:p>
        </w:tc>
        <w:tc>
          <w:tcPr>
            <w:tcW w:w="2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2018, we had approximately 18,200 customer connections, up from 16,750 customer connections at December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40" w:type="dxa"/>
            <w:vAlign w:val="bottom"/>
            <w:gridSpan w:val="3"/>
          </w:tcPr>
          <w:p>
            <w:pPr>
              <w:spacing w:after="0"/>
              <w:rPr>
                <w:sz w:val="20"/>
                <w:szCs w:val="20"/>
                <w:color w:val="auto"/>
              </w:rPr>
            </w:pPr>
            <w:r>
              <w:rPr>
                <w:rFonts w:ascii="Arial" w:cs="Arial" w:eastAsia="Arial" w:hAnsi="Arial"/>
                <w:sz w:val="12"/>
                <w:szCs w:val="12"/>
                <w:i w:val="1"/>
                <w:iCs w:val="1"/>
                <w:color w:val="auto"/>
              </w:rPr>
              <w:t xml:space="preserve">Towers </w:t>
            </w:r>
            <w:r>
              <w:rPr>
                <w:rFonts w:ascii="Arial" w:cs="Arial" w:eastAsia="Arial" w:hAnsi="Arial"/>
                <w:sz w:val="12"/>
                <w:szCs w:val="12"/>
                <w:color w:val="auto"/>
              </w:rPr>
              <w:t>– Towers revenues for the years ended December 31, 2018 and 2017 consisted of the following:</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3"/>
        </w:trPr>
        <w:tc>
          <w:tcPr>
            <w:tcW w:w="340" w:type="dxa"/>
            <w:vAlign w:val="bottom"/>
            <w:tcBorders>
              <w:top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34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340" w:type="dxa"/>
            <w:vAlign w:val="bottom"/>
          </w:tcPr>
          <w:p>
            <w:pPr>
              <w:spacing w:after="0"/>
              <w:rPr>
                <w:sz w:val="7"/>
                <w:szCs w:val="7"/>
                <w:color w:val="auto"/>
              </w:rPr>
            </w:pPr>
          </w:p>
        </w:tc>
        <w:tc>
          <w:tcPr>
            <w:tcW w:w="5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3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Segment</w:t>
            </w: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Segment</w:t>
            </w:r>
          </w:p>
        </w:tc>
      </w:tr>
      <w:tr>
        <w:trPr>
          <w:trHeight w:val="113"/>
        </w:trPr>
        <w:tc>
          <w:tcPr>
            <w:tcW w:w="5940" w:type="dxa"/>
            <w:vAlign w:val="bottom"/>
            <w:gridSpan w:val="3"/>
          </w:tcPr>
          <w:p>
            <w:pPr>
              <w:spacing w:after="0" w:line="114" w:lineRule="exact"/>
              <w:rPr>
                <w:sz w:val="20"/>
                <w:szCs w:val="20"/>
                <w:color w:val="auto"/>
              </w:rPr>
            </w:pPr>
            <w:r>
              <w:rPr>
                <w:rFonts w:ascii="Arial" w:cs="Arial" w:eastAsia="Arial" w:hAnsi="Arial"/>
                <w:sz w:val="10"/>
                <w:szCs w:val="10"/>
                <w:color w:val="auto"/>
              </w:rPr>
              <w:t>(Thousands)</w:t>
            </w:r>
          </w:p>
        </w:tc>
        <w:tc>
          <w:tcPr>
            <w:tcW w:w="320" w:type="dxa"/>
            <w:vAlign w:val="bottom"/>
          </w:tcPr>
          <w:p>
            <w:pPr>
              <w:spacing w:after="0"/>
              <w:rPr>
                <w:sz w:val="9"/>
                <w:szCs w:val="9"/>
                <w:color w:val="auto"/>
              </w:rPr>
            </w:pPr>
          </w:p>
        </w:tc>
        <w:tc>
          <w:tcPr>
            <w:tcW w:w="142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Amount</w:t>
            </w:r>
          </w:p>
        </w:tc>
        <w:tc>
          <w:tcPr>
            <w:tcW w:w="10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Revenues</w:t>
            </w:r>
          </w:p>
        </w:tc>
        <w:tc>
          <w:tcPr>
            <w:tcW w:w="1020" w:type="dxa"/>
            <w:vAlign w:val="bottom"/>
          </w:tcPr>
          <w:p>
            <w:pPr>
              <w:jc w:val="right"/>
              <w:ind w:right="72"/>
              <w:spacing w:after="0" w:line="114" w:lineRule="exact"/>
              <w:rPr>
                <w:sz w:val="20"/>
                <w:szCs w:val="20"/>
                <w:color w:val="auto"/>
              </w:rPr>
            </w:pPr>
            <w:r>
              <w:rPr>
                <w:rFonts w:ascii="Arial" w:cs="Arial" w:eastAsia="Arial" w:hAnsi="Arial"/>
                <w:sz w:val="10"/>
                <w:szCs w:val="10"/>
                <w:b w:val="1"/>
                <w:bCs w:val="1"/>
                <w:color w:val="auto"/>
              </w:rPr>
              <w:t>Amount</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4"/>
              </w:rPr>
              <w:t>Revenues</w:t>
            </w:r>
          </w:p>
        </w:tc>
      </w:tr>
      <w:tr>
        <w:trPr>
          <w:trHeight w:val="142"/>
        </w:trPr>
        <w:tc>
          <w:tcPr>
            <w:tcW w:w="57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Towers revenues:</w:t>
            </w: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940" w:type="dxa"/>
            <w:vAlign w:val="bottom"/>
            <w:gridSpan w:val="3"/>
          </w:tcPr>
          <w:p>
            <w:pPr>
              <w:ind w:left="160"/>
              <w:spacing w:after="0"/>
              <w:rPr>
                <w:sz w:val="20"/>
                <w:szCs w:val="20"/>
                <w:color w:val="auto"/>
              </w:rPr>
            </w:pPr>
            <w:r>
              <w:rPr>
                <w:rFonts w:ascii="Arial" w:cs="Arial" w:eastAsia="Arial" w:hAnsi="Arial"/>
                <w:sz w:val="12"/>
                <w:szCs w:val="12"/>
                <w:color w:val="auto"/>
              </w:rPr>
              <w:t>United States</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5,207</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35.6%</w:t>
            </w:r>
          </w:p>
        </w:tc>
        <w:tc>
          <w:tcPr>
            <w:tcW w:w="260" w:type="dxa"/>
            <w:vAlign w:val="bottom"/>
          </w:tcPr>
          <w:p>
            <w:pPr>
              <w:spacing w:after="0"/>
              <w:rPr>
                <w:sz w:val="13"/>
                <w:szCs w:val="13"/>
                <w:color w:val="auto"/>
              </w:rPr>
            </w:pPr>
          </w:p>
        </w:tc>
        <w:tc>
          <w:tcPr>
            <w:tcW w:w="1020" w:type="dxa"/>
            <w:vAlign w:val="bottom"/>
          </w:tcPr>
          <w:p>
            <w:pPr>
              <w:jc w:val="right"/>
              <w:ind w:right="9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2,599</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25.8%</w:t>
            </w:r>
          </w:p>
        </w:tc>
        <w:tc>
          <w:tcPr>
            <w:tcW w:w="120" w:type="dxa"/>
            <w:vAlign w:val="bottom"/>
          </w:tcPr>
          <w:p>
            <w:pPr>
              <w:spacing w:after="0"/>
              <w:rPr>
                <w:sz w:val="13"/>
                <w:szCs w:val="13"/>
                <w:color w:val="auto"/>
              </w:rPr>
            </w:pPr>
          </w:p>
        </w:tc>
      </w:tr>
      <w:tr>
        <w:trPr>
          <w:trHeight w:val="153"/>
        </w:trPr>
        <w:tc>
          <w:tcPr>
            <w:tcW w:w="594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Latin America</w:t>
            </w:r>
          </w:p>
        </w:tc>
        <w:tc>
          <w:tcPr>
            <w:tcW w:w="32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9,410</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3"/>
              </w:rPr>
              <w:t>64.4%</w:t>
            </w:r>
          </w:p>
        </w:tc>
        <w:tc>
          <w:tcPr>
            <w:tcW w:w="26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7,456</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3"/>
              </w:rPr>
              <w:t>74.2%</w:t>
            </w:r>
          </w:p>
        </w:tc>
        <w:tc>
          <w:tcPr>
            <w:tcW w:w="120" w:type="dxa"/>
            <w:vAlign w:val="bottom"/>
            <w:shd w:val="clear" w:color="auto" w:fill="CFF0FC"/>
          </w:tcPr>
          <w:p>
            <w:pPr>
              <w:spacing w:after="0"/>
              <w:rPr>
                <w:sz w:val="13"/>
                <w:szCs w:val="13"/>
                <w:color w:val="auto"/>
              </w:rPr>
            </w:pPr>
          </w:p>
        </w:tc>
      </w:tr>
      <w:tr>
        <w:trPr>
          <w:trHeight w:val="149"/>
        </w:trPr>
        <w:tc>
          <w:tcPr>
            <w:tcW w:w="5940" w:type="dxa"/>
            <w:vAlign w:val="bottom"/>
            <w:gridSpan w:val="3"/>
          </w:tcPr>
          <w:p>
            <w:pPr>
              <w:ind w:left="240"/>
              <w:spacing w:after="0"/>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14,617</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100.0%</w:t>
            </w:r>
          </w:p>
        </w:tc>
        <w:tc>
          <w:tcPr>
            <w:tcW w:w="260" w:type="dxa"/>
            <w:vAlign w:val="bottom"/>
          </w:tcPr>
          <w:p>
            <w:pPr>
              <w:spacing w:after="0"/>
              <w:rPr>
                <w:sz w:val="12"/>
                <w:szCs w:val="12"/>
                <w:color w:val="auto"/>
              </w:rPr>
            </w:pPr>
          </w:p>
        </w:tc>
        <w:tc>
          <w:tcPr>
            <w:tcW w:w="1020" w:type="dxa"/>
            <w:vAlign w:val="bottom"/>
            <w:tcBorders>
              <w:bottom w:val="single" w:sz="8" w:color="auto"/>
            </w:tcBorders>
          </w:tcPr>
          <w:p>
            <w:pPr>
              <w:jc w:val="right"/>
              <w:ind w:right="9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10,055</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100.0%</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The increased revenue for the year ended December 31, 2018, compared to the year ended December 31, 2017, is primarily driven by our development activities in the United States and acquisition of additional NMS development towers in Latin America pursuant to our purchase agreement with Network Management Holdings LTD (“NMS”). During 2018 we completed the construction of 203 towers in the U.S. and added 58 towers in Latin America, of which 39 were NMS development towers. As of December 31, 2018, we acquired 89 of the 105 towers that were under development at the time of the NMS acquisition, and the remaining 16 development towers were cancelled and will not be completed and purchased.</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At December 31, 2018, the Uniti Towers’ portfolio consisted of 430 wireless communications towers located in 26 states across the eastern and central regions in the United States, and 498 wireless communications towers in Latin America.</w:t>
      </w:r>
    </w:p>
    <w:p>
      <w:pPr>
        <w:spacing w:after="0" w:line="115"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For the year ended December 31, 2018, we recognized $13.9 million of revenue from the Consumer CLEC Business, compared to $18.1 million for the year ended December 31, 2017. The decrease is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a loss of customers during the period. We served approximately 22,500 customers as of December 31, 2018, a 21.1% decrease from 28,500 at December 31, 2017. The decrease in customers is due to the effects of competition and customer attrition.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Interest expense for the year ended December 31, 2018, totaled $319.6 million, which includes non-cash interest expense of $24.6 million resulting from the amortization of our debt discounts and debt issuance costs, partially offset by $5.6 million of capitalized interest. Interest expense for the year ended December 31, 2017,</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totaled $306.0 million, which includes non-cash interest expense of $23.1 million resulting from the amortization of our debt discounts and debt issuance costs. The increase is related to $5.9 million of interest expense on the 2024 Notes issued in May of 2017, an increase in interest expense incurred on the Revolving Credit Facility of $10.8 million due to increased borrowings and LIBOR rates compared to the prior year. This was partially offset by a decrease in interest expense related to capitalized interest of $5.6 million, which was not incurred in the year ended December 31, 2017.</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incur depreciation and amortization expense related to our property, plant and equipment, corporate assets and intangible assets. Charges for depreciation and amortization for the year ended December 31, 2018 totaled $451.8 million, which included property, plant and equipment depreciation of $425.2 million and intangible asset amortization of $26.6 million. Charges for depreciation and amortization for the year ended December 31, 2017 totaled $434.2 million, which included property, plant and equipment depreciation of $415.9 million and intangible asset amortization of $18.3 million. The increase is primarily driven by the timing of the acquisitions of Southern Light and Hunt that closed on July 3, 2017.</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150" w:lineRule="exact"/>
        <w:rPr>
          <w:sz w:val="20"/>
          <w:szCs w:val="20"/>
          <w:color w:val="auto"/>
        </w:rPr>
      </w:pPr>
    </w:p>
    <w:p>
      <w:pPr>
        <w:ind w:right="160"/>
        <w:spacing w:after="0" w:line="340" w:lineRule="auto"/>
        <w:rPr>
          <w:sz w:val="20"/>
          <w:szCs w:val="20"/>
          <w:color w:val="auto"/>
        </w:rPr>
      </w:pPr>
      <w:r>
        <w:rPr>
          <w:rFonts w:ascii="Arial" w:cs="Arial" w:eastAsia="Arial" w:hAnsi="Arial"/>
          <w:sz w:val="10"/>
          <w:szCs w:val="10"/>
          <w:color w:val="auto"/>
        </w:rPr>
        <w:t>General and administrative expenses include compensation costs (including stock-based compensation awards), professional and legal services, corporate office costs and other costs associated with the administrative activities of our segments. For the year ended December 31, 2018, general and administrative costs totaled $85.2 million, which includes $8.1 million of stock-based compensation expense. For the year ended December 31, 2017, general and administrative costs totaled $72.0 million, which includes $7.7 million of stock-based compensation expense. The increase is primarily driven by the timing of the acquisitions of Southern Light and Hunt that closed on July 3, 2017.</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w:t>
      </w:r>
    </w:p>
    <w:p>
      <w:pPr>
        <w:spacing w:after="0" w:line="150"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Operating expense for the year ended December 31, 2018, totaled $137.1 million compared to $102.2 million for the year ended December 31, 2017. Operating expense for our reportable segments for the years ended December 31, 2018 and 2017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5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r>
      <w:tr>
        <w:trPr>
          <w:trHeight w:val="99"/>
        </w:trPr>
        <w:tc>
          <w:tcPr>
            <w:tcW w:w="5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Consolidated</w:t>
            </w:r>
          </w:p>
        </w:tc>
      </w:tr>
      <w:tr>
        <w:trPr>
          <w:trHeight w:val="113"/>
        </w:trPr>
        <w:tc>
          <w:tcPr>
            <w:tcW w:w="594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320" w:type="dxa"/>
            <w:vAlign w:val="bottom"/>
          </w:tcPr>
          <w:p>
            <w:pPr>
              <w:spacing w:after="0"/>
              <w:rPr>
                <w:sz w:val="9"/>
                <w:szCs w:val="9"/>
                <w:color w:val="auto"/>
              </w:rPr>
            </w:pPr>
          </w:p>
        </w:tc>
        <w:tc>
          <w:tcPr>
            <w:tcW w:w="142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Amount</w:t>
            </w:r>
          </w:p>
        </w:tc>
        <w:tc>
          <w:tcPr>
            <w:tcW w:w="100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Revenues</w:t>
            </w:r>
          </w:p>
        </w:tc>
        <w:tc>
          <w:tcPr>
            <w:tcW w:w="1000" w:type="dxa"/>
            <w:vAlign w:val="bottom"/>
          </w:tcPr>
          <w:p>
            <w:pPr>
              <w:jc w:val="right"/>
              <w:ind w:right="52"/>
              <w:spacing w:after="0" w:line="114" w:lineRule="exact"/>
              <w:rPr>
                <w:sz w:val="20"/>
                <w:szCs w:val="20"/>
                <w:color w:val="auto"/>
              </w:rPr>
            </w:pPr>
            <w:r>
              <w:rPr>
                <w:rFonts w:ascii="Arial" w:cs="Arial" w:eastAsia="Arial" w:hAnsi="Arial"/>
                <w:sz w:val="10"/>
                <w:szCs w:val="10"/>
                <w:b w:val="1"/>
                <w:bCs w:val="1"/>
                <w:color w:val="auto"/>
              </w:rPr>
              <w:t>Amount</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4"/>
              </w:rPr>
              <w:t>Revenues</w:t>
            </w:r>
          </w:p>
        </w:tc>
      </w:tr>
      <w:tr>
        <w:trPr>
          <w:trHeight w:val="142"/>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Operating expense by segment:</w:t>
            </w: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940" w:type="dxa"/>
            <w:vAlign w:val="bottom"/>
            <w:gridSpan w:val="2"/>
          </w:tcPr>
          <w:p>
            <w:pPr>
              <w:ind w:left="160"/>
              <w:spacing w:after="0"/>
              <w:rPr>
                <w:sz w:val="20"/>
                <w:szCs w:val="20"/>
                <w:color w:val="auto"/>
              </w:rPr>
            </w:pPr>
            <w:r>
              <w:rPr>
                <w:rFonts w:ascii="Arial" w:cs="Arial" w:eastAsia="Arial" w:hAnsi="Arial"/>
                <w:sz w:val="12"/>
                <w:szCs w:val="12"/>
                <w:color w:val="auto"/>
              </w:rPr>
              <w:t>Fiber Infrastructure</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117,781</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11.5%</w:t>
            </w:r>
          </w:p>
        </w:tc>
        <w:tc>
          <w:tcPr>
            <w:tcW w:w="260" w:type="dxa"/>
            <w:vAlign w:val="bottom"/>
          </w:tcPr>
          <w:p>
            <w:pPr>
              <w:spacing w:after="0"/>
              <w:rPr>
                <w:sz w:val="13"/>
                <w:szCs w:val="13"/>
                <w:color w:val="auto"/>
              </w:rPr>
            </w:pP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83,515</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9.1%</w:t>
            </w:r>
          </w:p>
        </w:tc>
        <w:tc>
          <w:tcPr>
            <w:tcW w:w="120" w:type="dxa"/>
            <w:vAlign w:val="bottom"/>
          </w:tcPr>
          <w:p>
            <w:pPr>
              <w:spacing w:after="0"/>
              <w:rPr>
                <w:sz w:val="13"/>
                <w:szCs w:val="13"/>
                <w:color w:val="auto"/>
              </w:rPr>
            </w:pPr>
          </w:p>
        </w:tc>
      </w:tr>
      <w:tr>
        <w:trPr>
          <w:trHeight w:val="153"/>
        </w:trPr>
        <w:tc>
          <w:tcPr>
            <w:tcW w:w="59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Towers</w:t>
            </w: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7,989</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0.8%</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5,131</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0.6%</w:t>
            </w:r>
          </w:p>
        </w:tc>
        <w:tc>
          <w:tcPr>
            <w:tcW w:w="120" w:type="dxa"/>
            <w:vAlign w:val="bottom"/>
            <w:shd w:val="clear" w:color="auto" w:fill="CFF0FC"/>
          </w:tcPr>
          <w:p>
            <w:pPr>
              <w:spacing w:after="0"/>
              <w:rPr>
                <w:sz w:val="13"/>
                <w:szCs w:val="13"/>
                <w:color w:val="auto"/>
              </w:rPr>
            </w:pPr>
          </w:p>
        </w:tc>
      </w:tr>
      <w:tr>
        <w:trPr>
          <w:trHeight w:val="153"/>
        </w:trPr>
        <w:tc>
          <w:tcPr>
            <w:tcW w:w="5940" w:type="dxa"/>
            <w:vAlign w:val="bottom"/>
            <w:gridSpan w:val="2"/>
          </w:tcPr>
          <w:p>
            <w:pPr>
              <w:ind w:left="160"/>
              <w:spacing w:after="0"/>
              <w:rPr>
                <w:sz w:val="20"/>
                <w:szCs w:val="20"/>
                <w:color w:val="auto"/>
              </w:rPr>
            </w:pPr>
            <w:r>
              <w:rPr>
                <w:rFonts w:ascii="Arial" w:cs="Arial" w:eastAsia="Arial" w:hAnsi="Arial"/>
                <w:sz w:val="12"/>
                <w:szCs w:val="12"/>
                <w:color w:val="auto"/>
              </w:rPr>
              <w:t>CLEC</w:t>
            </w: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10,576</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1.0%</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13,530</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7"/>
              </w:rPr>
              <w:t>1.5%</w:t>
            </w:r>
          </w:p>
        </w:tc>
        <w:tc>
          <w:tcPr>
            <w:tcW w:w="120" w:type="dxa"/>
            <w:vAlign w:val="bottom"/>
          </w:tcPr>
          <w:p>
            <w:pPr>
              <w:spacing w:after="0"/>
              <w:rPr>
                <w:sz w:val="13"/>
                <w:szCs w:val="13"/>
                <w:color w:val="auto"/>
              </w:rPr>
            </w:pPr>
          </w:p>
        </w:tc>
      </w:tr>
      <w:tr>
        <w:trPr>
          <w:trHeight w:val="153"/>
        </w:trPr>
        <w:tc>
          <w:tcPr>
            <w:tcW w:w="59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Leasing</w:t>
            </w:r>
          </w:p>
        </w:tc>
        <w:tc>
          <w:tcPr>
            <w:tcW w:w="32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719</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0.1%</w:t>
            </w:r>
          </w:p>
        </w:tc>
        <w:tc>
          <w:tcPr>
            <w:tcW w:w="26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FF0FC"/>
          </w:tcPr>
          <w:p>
            <w:pPr>
              <w:spacing w:after="0"/>
              <w:rPr>
                <w:sz w:val="13"/>
                <w:szCs w:val="13"/>
                <w:color w:val="auto"/>
              </w:rPr>
            </w:pPr>
          </w:p>
        </w:tc>
      </w:tr>
      <w:tr>
        <w:trPr>
          <w:trHeight w:val="149"/>
        </w:trPr>
        <w:tc>
          <w:tcPr>
            <w:tcW w:w="5940" w:type="dxa"/>
            <w:vAlign w:val="bottom"/>
            <w:gridSpan w:val="2"/>
          </w:tcPr>
          <w:p>
            <w:pPr>
              <w:ind w:left="240"/>
              <w:spacing w:after="0"/>
              <w:rPr>
                <w:sz w:val="20"/>
                <w:szCs w:val="20"/>
                <w:color w:val="auto"/>
              </w:rPr>
            </w:pPr>
            <w:r>
              <w:rPr>
                <w:rFonts w:ascii="Arial" w:cs="Arial" w:eastAsia="Arial" w:hAnsi="Arial"/>
                <w:sz w:val="12"/>
                <w:szCs w:val="12"/>
                <w:color w:val="auto"/>
              </w:rPr>
              <w:t>Total operating expenses</w:t>
            </w: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137,065</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13.4%</w:t>
            </w: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ind w:right="89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102,176</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11.2%</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jc w:val="both"/>
        <w:ind w:right="300"/>
        <w:spacing w:after="0" w:line="263" w:lineRule="auto"/>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 The increase to Fiber Infrastructure operating expense is primarily driven by the timing of the acquisitions of Southern Light and Hunt. For the year ended December 31, 2018, Fiber Infrastructure operating</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totaled $117.8 million as compared to $83.5 million for the year ended December 31, 2017. The remaining increase was primarily driven by an increase in construction-related expenses and network costs, specifically lit service and maintenance expenses.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i w:val="1"/>
          <w:iCs w:val="1"/>
          <w:u w:val="single" w:color="auto"/>
          <w:color w:val="auto"/>
        </w:rPr>
        <w:t>Towers</w:t>
      </w:r>
      <w:r>
        <w:rPr>
          <w:rFonts w:ascii="Arial" w:cs="Arial" w:eastAsia="Arial" w:hAnsi="Arial"/>
          <w:sz w:val="11"/>
          <w:szCs w:val="11"/>
          <w:i w:val="1"/>
          <w:iCs w:val="1"/>
          <w:color w:val="auto"/>
        </w:rPr>
        <w:t xml:space="preserve"> </w:t>
      </w:r>
      <w:r>
        <w:rPr>
          <w:rFonts w:ascii="Arial" w:cs="Arial" w:eastAsia="Arial" w:hAnsi="Arial"/>
          <w:sz w:val="11"/>
          <w:szCs w:val="11"/>
          <w:color w:val="auto"/>
        </w:rPr>
        <w:t>– Our Towers segment operating expense consists primarily of ground rent, some or all of which may be passed to our tenants, as well as regulatory fees and maintenance and repairs. For the year ended December 31, 2018,</w:t>
      </w:r>
      <w:r>
        <w:rPr>
          <w:rFonts w:ascii="Arial" w:cs="Arial" w:eastAsia="Arial" w:hAnsi="Arial"/>
          <w:sz w:val="11"/>
          <w:szCs w:val="11"/>
          <w:i w:val="1"/>
          <w:iCs w:val="1"/>
          <w:color w:val="auto"/>
        </w:rPr>
        <w:t xml:space="preserve"> </w:t>
      </w:r>
      <w:r>
        <w:rPr>
          <w:rFonts w:ascii="Arial" w:cs="Arial" w:eastAsia="Arial" w:hAnsi="Arial"/>
          <w:sz w:val="11"/>
          <w:szCs w:val="11"/>
          <w:color w:val="auto"/>
        </w:rPr>
        <w:t>Towers operating expense included $5.1 million of ground rent expense, compared to $3.2 million of ground rent expense for the year ended December 31, 2017. The change is attributable to an increase in completed towers at December 31, 2018 from December 31, 2017, driven by our development activity in the United States and acquisition of additional NMS development towers in Latin America.</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i w:val="1"/>
          <w:iCs w:val="1"/>
          <w:color w:val="auto"/>
        </w:rPr>
        <w:t xml:space="preserve"> </w:t>
      </w:r>
      <w:r>
        <w:rPr>
          <w:rFonts w:ascii="Arial" w:cs="Arial" w:eastAsia="Arial" w:hAnsi="Arial"/>
          <w:sz w:val="12"/>
          <w:szCs w:val="12"/>
          <w:color w:val="auto"/>
        </w:rPr>
        <w:t>– Expense associated with the Consumer CLEC Business is primarily attributable to the Wholesale Agreement and the Master Services Agreement entered into between us and Windstream in connection with the Spin-Off, and also includes costs arising under the interconnection agreements with other telecommunication carriers. Expense associated with the Wholesale Agreement and Master Services Agreement for the year ended December 31, 2018 totaled $7.8 million and $0.7 million, respectively, and expense associated with the Wholesale Agreement and the Master Services Agreement for the year ended December 31, 2017 totaled $10.2 million and $1.3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150" w:lineRule="exact"/>
        <w:rPr>
          <w:sz w:val="20"/>
          <w:szCs w:val="20"/>
          <w:color w:val="auto"/>
        </w:rPr>
      </w:pPr>
    </w:p>
    <w:p>
      <w:pPr>
        <w:ind w:right="100"/>
        <w:spacing w:after="0" w:line="357" w:lineRule="auto"/>
        <w:rPr>
          <w:sz w:val="20"/>
          <w:szCs w:val="20"/>
          <w:color w:val="auto"/>
        </w:rPr>
      </w:pPr>
      <w:r>
        <w:rPr>
          <w:rFonts w:ascii="Arial" w:cs="Arial" w:eastAsia="Arial" w:hAnsi="Arial"/>
          <w:sz w:val="11"/>
          <w:szCs w:val="11"/>
          <w:color w:val="auto"/>
        </w:rPr>
        <w:t>Other income for the year ended December 31, 2018, totaled $4.5 million, primarily as a result of a net unrealized gain of $3.7 million for mark-to-market adjustments on our contingent consideration arrangements. Other expense for the year ended December 31, 2017, totaled $11.3 million, primarily as a result of a net unrealized loss of $10.7 million for mark-to-market adjustments on our contingent consideration arrangements.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Benefit</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recorded $5.4 million in income tax benefit for the year ended December 31, 2018. This benefit was primarily driven by pre-tax losses in our Fiber Infrastructure Segment which resulted in an income tax benefit of approximately $6.1 million, including $1.3 million of income tax benefit related to the impact of the 2017 tax reform legislation on certain purchase accounting adjustments related to 2017 acquisitions that were recorded in 2018. We recorded a combined income tax expense of approximately $0.7 million related to our Leasing Segment and Consumer CLEC Segment. This was primarily driven by pre-tax income in our Consumer CLEC Segment and state tax expense recorded in our Leasing Segment.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4"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05" w:lineRule="exact"/>
        <w:rPr>
          <w:sz w:val="20"/>
          <w:szCs w:val="20"/>
          <w:color w:val="auto"/>
        </w:rPr>
      </w:pPr>
    </w:p>
    <w:p>
      <w:pPr>
        <w:ind w:right="100"/>
        <w:spacing w:after="0" w:line="281" w:lineRule="auto"/>
        <w:rPr>
          <w:sz w:val="20"/>
          <w:szCs w:val="20"/>
          <w:color w:val="auto"/>
        </w:rPr>
      </w:pPr>
      <w:r>
        <w:rPr>
          <w:rFonts w:ascii="Arial" w:cs="Arial" w:eastAsia="Arial" w:hAnsi="Arial"/>
          <w:sz w:val="11"/>
          <w:szCs w:val="11"/>
          <w:color w:val="auto"/>
        </w:rPr>
        <w:t>We define “EBITDA” as net income, as defined by GAAP, before interest expense, provision for income taxes and depreciation and amortization. We define “Adjusted EBITDA” as EBITDA before (i) stock-based compensation expense, (ii) the impact, which may be recurring in nature, of transaction and integration related costs, costs associated with Windstream’s bankruptcy, costs associated with litigation claims made against us, and costs associated with the implementation of our new enterprise resource planning system (collectively, “Transaction Related and Other Costs”), (iii) the write-off of unamortized deferred financing costs, (iv) costs incurred as a result of the early repayment of debt, (v) gains or losses on dispositions, (vi) changes in the fair value of contingent consideration and financial instruments, and (vii) other similar or infrequent items (although we may not have had such charges in the periods presented).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We compute FFO in accordance with NAREIT’s definition.</w:t>
      </w:r>
    </w:p>
    <w:p>
      <w:pPr>
        <w:spacing w:after="0" w:line="128" w:lineRule="exact"/>
        <w:rPr>
          <w:sz w:val="20"/>
          <w:szCs w:val="20"/>
          <w:color w:val="auto"/>
        </w:rPr>
      </w:pPr>
    </w:p>
    <w:p>
      <w:pPr>
        <w:ind w:right="20"/>
        <w:spacing w:after="0" w:line="278" w:lineRule="auto"/>
        <w:rPr>
          <w:sz w:val="20"/>
          <w:szCs w:val="20"/>
          <w:color w:val="auto"/>
        </w:rPr>
      </w:pPr>
      <w:r>
        <w:rPr>
          <w:rFonts w:ascii="Arial" w:cs="Arial" w:eastAsia="Arial" w:hAnsi="Arial"/>
          <w:sz w:val="11"/>
          <w:szCs w:val="11"/>
          <w:color w:val="auto"/>
        </w:rPr>
        <w:t>The Company defines AFFO as FFO excluding (i) Transaction Related and Other Costs; (ii) Windstream bankruptcy and litigation related expenses; (iii)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and (iv) the impact, which may be recurring in nature, of the write-off of unamortized deferred financing fees, additional costs incurred as a result of early repayment of debt, taxes associated with tax basis cancellation of debt, gains or losses on dispositions, changes in the fair value of contingent consideration and financial instruments and similar or infrequent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19"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reconciliation of our net income to EBITDA and Adjusted EBITDA and of our net income attributable to common shareholders to FFO and AFFO for the years ended December 31, 2019, 2018 and 2017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00" w:type="dxa"/>
            <w:vAlign w:val="bottom"/>
            <w:vMerge w:val="restart"/>
          </w:tcPr>
          <w:p>
            <w:pPr>
              <w:spacing w:after="0"/>
              <w:rPr>
                <w:sz w:val="20"/>
                <w:szCs w:val="20"/>
                <w:color w:val="auto"/>
              </w:rPr>
            </w:pPr>
            <w:r>
              <w:rPr>
                <w:rFonts w:ascii="Arial" w:cs="Arial" w:eastAsia="Arial" w:hAnsi="Arial"/>
                <w:sz w:val="10"/>
                <w:szCs w:val="10"/>
                <w:color w:val="auto"/>
              </w:rPr>
              <w:t>(Thousands)</w:t>
            </w:r>
          </w:p>
        </w:tc>
        <w:tc>
          <w:tcPr>
            <w:tcW w:w="4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0"/>
                <w:szCs w:val="10"/>
                <w:b w:val="1"/>
                <w:bCs w:val="1"/>
                <w:color w:val="auto"/>
                <w:w w:val="87"/>
              </w:rPr>
              <w:t>Year Ended December 31,</w:t>
            </w:r>
          </w:p>
        </w:tc>
        <w:tc>
          <w:tcPr>
            <w:tcW w:w="4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500" w:type="dxa"/>
            <w:vAlign w:val="bottom"/>
            <w:tcBorders>
              <w:bottom w:val="single" w:sz="8" w:color="CFF0FC"/>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701"/>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jc w:val="center"/>
              <w:ind w:right="141"/>
              <w:spacing w:after="0" w:line="97" w:lineRule="exact"/>
              <w:rPr>
                <w:sz w:val="20"/>
                <w:szCs w:val="20"/>
                <w:color w:val="auto"/>
              </w:rPr>
            </w:pPr>
            <w:r>
              <w:rPr>
                <w:rFonts w:ascii="Arial" w:cs="Arial" w:eastAsia="Arial" w:hAnsi="Arial"/>
                <w:sz w:val="10"/>
                <w:szCs w:val="10"/>
                <w:b w:val="1"/>
                <w:bCs w:val="1"/>
                <w:color w:val="auto"/>
                <w:w w:val="89"/>
              </w:rPr>
              <w:t>2018</w:t>
            </w:r>
          </w:p>
        </w:tc>
        <w:tc>
          <w:tcPr>
            <w:tcW w:w="26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70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income (loss)</w:t>
            </w: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405,754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451,750</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434,205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Interest expense, net</w:t>
            </w: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390,112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319,591</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Income tax expense (benefit)</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4,663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2"/>
                <w:szCs w:val="12"/>
                <w:color w:val="auto"/>
              </w:rPr>
              <w:t>(5,421)</w:t>
            </w:r>
          </w:p>
        </w:tc>
        <w:tc>
          <w:tcPr>
            <w:tcW w:w="42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142"/>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EBITDA</w:t>
            </w:r>
          </w:p>
        </w:tc>
        <w:tc>
          <w:tcPr>
            <w:tcW w:w="420" w:type="dxa"/>
            <w:vAlign w:val="bottom"/>
            <w:tcBorders>
              <w:top w:val="single" w:sz="8" w:color="auto"/>
            </w:tcBorders>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811,437</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782,465</w:t>
            </w:r>
          </w:p>
        </w:tc>
        <w:tc>
          <w:tcPr>
            <w:tcW w:w="26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692,522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Stock based compensation</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10,808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8,064</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7,713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43,708</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17,410</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80"/>
              <w:spacing w:after="0"/>
              <w:rPr>
                <w:sz w:val="20"/>
                <w:szCs w:val="20"/>
                <w:color w:val="auto"/>
              </w:rPr>
            </w:pPr>
            <w:r>
              <w:rPr>
                <w:rFonts w:ascii="Arial" w:cs="Arial" w:eastAsia="Arial" w:hAnsi="Arial"/>
                <w:sz w:val="12"/>
                <w:szCs w:val="12"/>
                <w:color w:val="auto"/>
              </w:rPr>
              <w:t>Gain on sale of real estate</w:t>
            </w:r>
          </w:p>
        </w:tc>
        <w:tc>
          <w:tcPr>
            <w:tcW w:w="42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(28,995)</w:t>
            </w: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Other (income) expense</w:t>
            </w:r>
          </w:p>
        </w:tc>
        <w:tc>
          <w:tcPr>
            <w:tcW w:w="4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(24,219)</w:t>
            </w:r>
          </w:p>
        </w:tc>
        <w:tc>
          <w:tcPr>
            <w:tcW w:w="2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(5,056)</w:t>
            </w: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812,739</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802,883</w:t>
            </w:r>
          </w:p>
        </w:tc>
        <w:tc>
          <w:tcPr>
            <w:tcW w:w="2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749,524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5500" w:type="dxa"/>
            <w:vAlign w:val="bottom"/>
            <w:vMerge w:val="restart"/>
          </w:tcPr>
          <w:p>
            <w:pPr>
              <w:spacing w:after="0"/>
              <w:rPr>
                <w:sz w:val="20"/>
                <w:szCs w:val="20"/>
                <w:color w:val="auto"/>
              </w:rPr>
            </w:pPr>
            <w:r>
              <w:rPr>
                <w:rFonts w:ascii="Arial" w:cs="Arial" w:eastAsia="Arial" w:hAnsi="Arial"/>
                <w:sz w:val="10"/>
                <w:szCs w:val="10"/>
                <w:color w:val="auto"/>
              </w:rPr>
              <w:t>(Thousands)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0"/>
                <w:szCs w:val="10"/>
                <w:b w:val="1"/>
                <w:bCs w:val="1"/>
                <w:color w:val="auto"/>
                <w:w w:val="87"/>
              </w:rPr>
              <w:t>Year Ended December 31,</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500" w:type="dxa"/>
            <w:vAlign w:val="bottom"/>
            <w:tcBorders>
              <w:bottom w:val="single" w:sz="8" w:color="CFF0FC"/>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701"/>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jc w:val="center"/>
              <w:ind w:right="141"/>
              <w:spacing w:after="0" w:line="97" w:lineRule="exact"/>
              <w:rPr>
                <w:sz w:val="20"/>
                <w:szCs w:val="20"/>
                <w:color w:val="auto"/>
              </w:rPr>
            </w:pPr>
            <w:r>
              <w:rPr>
                <w:rFonts w:ascii="Arial" w:cs="Arial" w:eastAsia="Arial" w:hAnsi="Arial"/>
                <w:sz w:val="10"/>
                <w:szCs w:val="10"/>
                <w:b w:val="1"/>
                <w:bCs w:val="1"/>
                <w:color w:val="auto"/>
                <w:w w:val="89"/>
              </w:rPr>
              <w:t>2018</w:t>
            </w:r>
          </w:p>
        </w:tc>
        <w:tc>
          <w:tcPr>
            <w:tcW w:w="26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70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8,384</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7,989</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(16,552)</w:t>
            </w: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Real estate depreciation and amortization</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323,527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374,388</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373,449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Gain on sale of real estate</w:t>
            </w:r>
          </w:p>
        </w:tc>
        <w:tc>
          <w:tcPr>
            <w:tcW w:w="4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(24,420)</w:t>
            </w: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Participating securities' share in earnings</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549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2,594</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1,509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Participating securities' share in FFO</w:t>
            </w:r>
          </w:p>
        </w:tc>
        <w:tc>
          <w:tcPr>
            <w:tcW w:w="4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(1,246)</w:t>
            </w:r>
          </w:p>
        </w:tc>
        <w:tc>
          <w:tcPr>
            <w:tcW w:w="2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(2,594)</w:t>
            </w:r>
          </w:p>
        </w:tc>
        <w:tc>
          <w:tcPr>
            <w:tcW w:w="4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420" w:type="dxa"/>
            <w:vAlign w:val="bottom"/>
          </w:tcPr>
          <w:p>
            <w:pPr>
              <w:spacing w:after="0"/>
              <w:rPr>
                <w:sz w:val="13"/>
                <w:szCs w:val="1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(5,857)</w:t>
            </w:r>
          </w:p>
        </w:tc>
        <w:tc>
          <w:tcPr>
            <w:tcW w:w="200" w:type="dxa"/>
            <w:vAlign w:val="bottom"/>
          </w:tcPr>
          <w:p>
            <w:pPr>
              <w:spacing w:after="0"/>
              <w:rPr>
                <w:sz w:val="13"/>
                <w:szCs w:val="1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2"/>
                <w:szCs w:val="12"/>
                <w:color w:val="auto"/>
              </w:rPr>
              <w:t>(8,636)</w:t>
            </w:r>
          </w:p>
        </w:tc>
        <w:tc>
          <w:tcPr>
            <w:tcW w:w="42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(4,420)</w:t>
            </w:r>
          </w:p>
        </w:tc>
        <w:tc>
          <w:tcPr>
            <w:tcW w:w="0" w:type="dxa"/>
            <w:vAlign w:val="bottom"/>
          </w:tcPr>
          <w:p>
            <w:pPr>
              <w:spacing w:after="0"/>
              <w:rPr>
                <w:sz w:val="1"/>
                <w:szCs w:val="1"/>
                <w:color w:val="auto"/>
              </w:rPr>
            </w:pPr>
          </w:p>
        </w:tc>
      </w:tr>
      <w:tr>
        <w:trPr>
          <w:trHeight w:val="142"/>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FFO attributable to common shareholders</w:t>
            </w:r>
          </w:p>
        </w:tc>
        <w:tc>
          <w:tcPr>
            <w:tcW w:w="420" w:type="dxa"/>
            <w:vAlign w:val="bottom"/>
            <w:tcBorders>
              <w:top w:val="single" w:sz="8" w:color="auto"/>
            </w:tcBorders>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300,937</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373,741</w:t>
            </w:r>
          </w:p>
        </w:tc>
        <w:tc>
          <w:tcPr>
            <w:tcW w:w="26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352,477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Transaction related and other costs</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43,708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17,410</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38,005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Change in fair value of contingent consideration</w:t>
            </w:r>
          </w:p>
        </w:tc>
        <w:tc>
          <w:tcPr>
            <w:tcW w:w="4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(28,463)</w:t>
            </w:r>
          </w:p>
        </w:tc>
        <w:tc>
          <w:tcPr>
            <w:tcW w:w="2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(3,721)</w:t>
            </w: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Amortization of deferred financing costs and debt discount</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42,779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24,614</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23,102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Stock-based compensation</w:t>
            </w: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10,808</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8,064</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Non-real estate depreciation and amortization</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82,227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77,362</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60,756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Straight-line revenue</w:t>
            </w:r>
          </w:p>
        </w:tc>
        <w:tc>
          <w:tcPr>
            <w:tcW w:w="4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(208)</w:t>
            </w:r>
          </w:p>
        </w:tc>
        <w:tc>
          <w:tcPr>
            <w:tcW w:w="2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(15,048)</w:t>
            </w:r>
          </w:p>
        </w:tc>
        <w:tc>
          <w:tcPr>
            <w:tcW w:w="4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(15,136)</w:t>
            </w: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Maintenance capital expenditures</w:t>
            </w:r>
          </w:p>
        </w:tc>
        <w:tc>
          <w:tcPr>
            <w:tcW w:w="420" w:type="dxa"/>
            <w:vAlign w:val="bottom"/>
          </w:tcPr>
          <w:p>
            <w:pPr>
              <w:spacing w:after="0"/>
              <w:rPr>
                <w:sz w:val="13"/>
                <w:szCs w:val="1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(7,992)</w:t>
            </w:r>
          </w:p>
        </w:tc>
        <w:tc>
          <w:tcPr>
            <w:tcW w:w="200" w:type="dxa"/>
            <w:vAlign w:val="bottom"/>
          </w:tcPr>
          <w:p>
            <w:pPr>
              <w:spacing w:after="0"/>
              <w:rPr>
                <w:sz w:val="13"/>
                <w:szCs w:val="1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2"/>
                <w:szCs w:val="12"/>
                <w:color w:val="auto"/>
              </w:rPr>
              <w:t>(5,686)</w:t>
            </w:r>
          </w:p>
        </w:tc>
        <w:tc>
          <w:tcPr>
            <w:tcW w:w="42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(4,434)</w:t>
            </w: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Amortization of discount on convertible preferred stock</w:t>
            </w: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993</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2,980</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Cash taxes on tax basis cancellation of debt</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4,590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 to deferred tax valuation allowance and tax rate change</w:t>
            </w:r>
          </w:p>
        </w:tc>
        <w:tc>
          <w:tcPr>
            <w:tcW w:w="4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(36,240)</w:t>
            </w:r>
          </w:p>
        </w:tc>
        <w:tc>
          <w:tcPr>
            <w:tcW w:w="0" w:type="dxa"/>
            <w:vAlign w:val="bottom"/>
          </w:tcPr>
          <w:p>
            <w:pPr>
              <w:spacing w:after="0"/>
              <w:rPr>
                <w:sz w:val="1"/>
                <w:szCs w:val="1"/>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Other, net</w:t>
            </w:r>
          </w:p>
        </w:tc>
        <w:tc>
          <w:tcPr>
            <w:tcW w:w="420" w:type="dxa"/>
            <w:vAlign w:val="bottom"/>
          </w:tcPr>
          <w:p>
            <w:pPr>
              <w:spacing w:after="0"/>
              <w:rPr>
                <w:sz w:val="13"/>
                <w:szCs w:val="1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(34,799)</w:t>
            </w:r>
          </w:p>
        </w:tc>
        <w:tc>
          <w:tcPr>
            <w:tcW w:w="200" w:type="dxa"/>
            <w:vAlign w:val="bottom"/>
          </w:tcPr>
          <w:p>
            <w:pPr>
              <w:spacing w:after="0"/>
              <w:rPr>
                <w:sz w:val="13"/>
                <w:szCs w:val="1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2"/>
                <w:szCs w:val="12"/>
                <w:color w:val="auto"/>
              </w:rPr>
              <w:t>(34,426)</w:t>
            </w:r>
          </w:p>
        </w:tc>
        <w:tc>
          <w:tcPr>
            <w:tcW w:w="42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(14,871)</w:t>
            </w:r>
          </w:p>
        </w:tc>
        <w:tc>
          <w:tcPr>
            <w:tcW w:w="0" w:type="dxa"/>
            <w:vAlign w:val="bottom"/>
          </w:tcPr>
          <w:p>
            <w:pPr>
              <w:spacing w:after="0"/>
              <w:rPr>
                <w:sz w:val="1"/>
                <w:szCs w:val="1"/>
                <w:color w:val="auto"/>
              </w:rPr>
            </w:pPr>
          </w:p>
        </w:tc>
      </w:tr>
      <w:tr>
        <w:trPr>
          <w:trHeight w:val="153"/>
        </w:trPr>
        <w:tc>
          <w:tcPr>
            <w:tcW w:w="55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Adjustments for noncontrolling interests</w:t>
            </w:r>
          </w:p>
        </w:tc>
        <w:tc>
          <w:tcPr>
            <w:tcW w:w="4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(2,122)</w:t>
            </w:r>
          </w:p>
        </w:tc>
        <w:tc>
          <w:tcPr>
            <w:tcW w:w="2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(1,535)</w:t>
            </w:r>
          </w:p>
        </w:tc>
        <w:tc>
          <w:tcPr>
            <w:tcW w:w="42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20"/>
                <w:szCs w:val="20"/>
                <w:color w:val="auto"/>
              </w:rPr>
            </w:pPr>
            <w:r>
              <w:rPr>
                <w:rFonts w:ascii="Arial" w:cs="Arial" w:eastAsia="Arial" w:hAnsi="Arial"/>
                <w:sz w:val="12"/>
                <w:szCs w:val="12"/>
                <w:b w:val="1"/>
                <w:bCs w:val="1"/>
                <w:color w:val="auto"/>
              </w:rPr>
              <w:t>AFFO attributable to common shareholders</w:t>
            </w:r>
          </w:p>
        </w:tc>
        <w:tc>
          <w:tcPr>
            <w:tcW w:w="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412,458</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443,755</w:t>
            </w:r>
          </w:p>
        </w:tc>
        <w:tc>
          <w:tcPr>
            <w:tcW w:w="2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424,824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160"/>
        <w:spacing w:after="0" w:line="379" w:lineRule="auto"/>
        <w:rPr>
          <w:sz w:val="20"/>
          <w:szCs w:val="20"/>
          <w:color w:val="auto"/>
        </w:rPr>
      </w:pPr>
      <w:r>
        <w:rPr>
          <w:rFonts w:ascii="Arial" w:cs="Arial" w:eastAsia="Arial" w:hAnsi="Arial"/>
          <w:sz w:val="10"/>
          <w:szCs w:val="10"/>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8"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Subject to the restrictions imposed by the waiver and amendment to our Credit Agreement and the indenture governing our 7.875% senior secured notes due 2025 (as discussed below under “—Liquidity and Capital Resources—Credit Agreement”), our ability to make cash distributions to our shareholders in amounts exceeding 90% of our REIT taxable income, determined without regard to the dividends paid deduction and excluding any capital gains, generally will be restricted.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well as certain portions of Uniti Towers, as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The Company is subject to restrictions on distributions to its shareholders based on our credit agreement as amended. The restrictions permit the Company to make the minimum required distribution to maintain its status as a REIT, which is limited to 90% of our REIT taxable income. The restrictions will remain in place until a plan of reorganization for Windstream has become effective and other conditions related to the Company’s net leverage ratio are satisfied. Management believes that the requirements for a reversion will occur before the end of calendar year 2020. Further, upon reversion, the Company expects to make one or more distributions to its shareholders to ensure that it has distributed at least 100% of its 2020 REIT taxable income. Therefore, the Company believes that the REIT will not incur federal or state income tax related to its 2020 tax year (other than certain local income taxes) and thus no deferred income taxes related to differences between the financial statement carrying amounts of existing assets and liabilities and their respective tax bases at the REIT should be recorded as of December 31, 2019.</w:t>
      </w:r>
    </w:p>
    <w:p>
      <w:pPr>
        <w:spacing w:after="0" w:line="113" w:lineRule="exact"/>
        <w:rPr>
          <w:sz w:val="20"/>
          <w:szCs w:val="20"/>
          <w:color w:val="auto"/>
        </w:rPr>
      </w:pPr>
    </w:p>
    <w:p>
      <w:pPr>
        <w:jc w:val="center"/>
        <w:ind w:right="500"/>
        <w:spacing w:after="0"/>
        <w:rPr>
          <w:sz w:val="20"/>
          <w:szCs w:val="20"/>
          <w:color w:val="auto"/>
        </w:rPr>
      </w:pPr>
      <w:r>
        <w:rPr>
          <w:rFonts w:ascii="Arial" w:cs="Arial" w:eastAsia="Arial" w:hAnsi="Arial"/>
          <w:sz w:val="10"/>
          <w:szCs w:val="10"/>
          <w:color w:val="auto"/>
        </w:rPr>
        <w:t>We recognize the benefit of tax positions that are "more likely than not" to be sustained upon examination based on their technical merit. The benefit of a tax position is measured at the largest amount that has a greater than 50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percent likelihood of being realized upon ultimate settlement.  If applicable, we will report tax-related penalties and interest expense as a component of income tax expense.</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Company will be subject to a federal corporate level tax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are recognized when products are delivered to and accepted by customers.</w:t>
      </w:r>
    </w:p>
    <w:p>
      <w:pPr>
        <w:spacing w:after="0" w:line="122" w:lineRule="exact"/>
        <w:rPr>
          <w:sz w:val="20"/>
          <w:szCs w:val="20"/>
          <w:color w:val="auto"/>
        </w:rPr>
      </w:pPr>
    </w:p>
    <w:p>
      <w:pPr>
        <w:ind w:right="120"/>
        <w:spacing w:after="0" w:line="146" w:lineRule="exact"/>
        <w:rPr>
          <w:sz w:val="20"/>
          <w:szCs w:val="20"/>
          <w:color w:val="auto"/>
        </w:rPr>
      </w:pPr>
      <w:r>
        <w:rPr>
          <w:rFonts w:ascii="Arial" w:cs="Arial" w:eastAsia="Arial" w:hAnsi="Arial"/>
          <w:sz w:val="11"/>
          <w:szCs w:val="11"/>
          <w:color w:val="auto"/>
        </w:rPr>
        <w:t>Service revenues are primarily derived from providing broadband transport and backhaul communications services and are recognized when (i) persuasive evidence of an arrangement exists, (ii) the services have been provided to the customer, (iii) the sales price is fixed or determinable, and (iv) the collection of the sales price is reasonably assured. Services provided to the Company’s customers are pursuant to contractual fee</w:t>
      </w:r>
      <w:r>
        <w:rPr>
          <w:rFonts w:ascii="MS PGothic" w:cs="MS PGothic" w:eastAsia="MS PGothic" w:hAnsi="MS PGothic"/>
          <w:sz w:val="11"/>
          <w:szCs w:val="11"/>
          <w:color w:val="auto"/>
        </w:rPr>
        <w:t>‑</w:t>
      </w:r>
      <w:r>
        <w:rPr>
          <w:rFonts w:ascii="Arial" w:cs="Arial" w:eastAsia="Arial" w:hAnsi="Arial"/>
          <w:sz w:val="11"/>
          <w:szCs w:val="11"/>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Useful Lives of Assets</w:t>
      </w:r>
    </w:p>
    <w:p>
      <w:pPr>
        <w:spacing w:after="0" w:line="15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calculation of depreciation and amortization expense is based on the estimated economic useful lives of the underlying property, plant and equipment and customer lists, tenant contracts and network intangible assets. Some of our Distribution Systems assets use a group composite depreciation method. Under this method, when a plant is retired, the original cost, net of salvage value, is charged against accumulated depreciation and no immediate gain or loss is recognized on the disposition of the plant.</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 one year would decrease depreciation expense by approximately $27.6 million per year, while a reduction in the average useful life of one year would increase depreciation expense by approximately $22.9 million per year.</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At December 31, 2019, our unamortized finite lived intangible assets totaled $531.9 million, and are amortized using the straight-line method over their estimated useful lives with the exception of the customer list intangible assets related to our Consumer CLEC Business, which were brought over at carry-over basis at the time of the Spin-Off, and are amortized using the sum-of-the-years’-digits method over their estimated useful lives. A reduction in the average useful lives of our finite lived intangible asset of one year would have increased the amount of amortization expense recorded in 2019 by approximately $2.4 million.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Property, Plant and Equipment</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 During the years ended December 31, 2019, 2018 and 2017, no impairment losses were recognized.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 and Asset Acquisitions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For acquisitions meeting the definition of a business combination, any excess of the purchase price paid by the Company over the amounts recognized for assets acquired and liabilities assumed is recorded as goodwill.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also requires acquirers to, among other things, estimate the acquisition date fair value of any contingent consideration and recognize any subsequent changes in the fair value of contingent consideration in</w:t>
      </w:r>
      <w:r>
        <w:rPr>
          <w:rFonts w:ascii="Arial" w:cs="Arial" w:eastAsia="Arial" w:hAnsi="Arial"/>
          <w:sz w:val="12"/>
          <w:szCs w:val="12"/>
          <w:i w:val="1"/>
          <w:iCs w:val="1"/>
          <w:color w:val="auto"/>
        </w:rPr>
        <w:t xml:space="preserve"> </w:t>
      </w:r>
      <w:r>
        <w:rPr>
          <w:rFonts w:ascii="Arial" w:cs="Arial" w:eastAsia="Arial" w:hAnsi="Arial"/>
          <w:sz w:val="12"/>
          <w:szCs w:val="12"/>
          <w:color w:val="auto"/>
        </w:rPr>
        <w:t>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 xml:space="preserve">As of December 31, 2019 and 2018, all of our goodwill is included in our Fiber Infrastructure segment. Goodwill is recognized for the excess of purchase price over the fair value of net assets of businesses acquired. Goodwill is reviewed for impairment at least annually. In accordance with ASC 350-20, </w:t>
      </w:r>
      <w:r>
        <w:rPr>
          <w:rFonts w:ascii="Arial" w:cs="Arial" w:eastAsia="Arial" w:hAnsi="Arial"/>
          <w:sz w:val="12"/>
          <w:szCs w:val="12"/>
          <w:i w:val="1"/>
          <w:iCs w:val="1"/>
          <w:color w:val="auto"/>
        </w:rPr>
        <w:t>Intangibles-Goodwill and Other</w:t>
      </w:r>
      <w:r>
        <w:rPr>
          <w:rFonts w:ascii="Arial" w:cs="Arial" w:eastAsia="Arial" w:hAnsi="Arial"/>
          <w:sz w:val="12"/>
          <w:szCs w:val="12"/>
          <w:color w:val="auto"/>
        </w:rPr>
        <w:t>,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We performed our goodwill impairment analysis during the fourth quarter, and we concluded the implied fair value of our Fiber Infrastructure reporting unit was in excess of its carrying value by less than 2%. During the years ended December 31, 2019, 2018 and 2017, no impairment losses were recognized.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We estimate the fair value of our reporting units (which are our segments) using a combination of an income approach based on the present value of estimated future cash flows and a market approach based on market data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comparable businesses and acquisition multiples paid in recent transactions. We evaluate the appropriateness of each valuation methodology in determining the weighting applied to each methodology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Income not to exceed the carrying value of goodwill.</w:t>
      </w:r>
    </w:p>
    <w:p>
      <w:pPr>
        <w:spacing w:after="0" w:line="122" w:lineRule="exact"/>
        <w:rPr>
          <w:sz w:val="20"/>
          <w:szCs w:val="20"/>
          <w:color w:val="auto"/>
        </w:rPr>
      </w:pPr>
    </w:p>
    <w:p>
      <w:pPr>
        <w:spacing w:after="0" w:line="309" w:lineRule="auto"/>
        <w:rPr>
          <w:sz w:val="20"/>
          <w:szCs w:val="20"/>
          <w:color w:val="auto"/>
        </w:rPr>
      </w:pPr>
      <w:r>
        <w:rPr>
          <w:rFonts w:ascii="Arial" w:cs="Arial" w:eastAsia="Arial" w:hAnsi="Arial"/>
          <w:sz w:val="10"/>
          <w:szCs w:val="10"/>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As our concluded fair value of our Fiber Infrastructure reporting unit slightly exceeds carrying value,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decrease by 4.0%, average projected EBITDA margin percentage decrease by 1.2% and/or average projected capital expenditures as a percentage of revenue increase by 3.9%, we may experience future impairment to goodwill (while other assumptions remain constant). Should we experience a deterioration in market factors such as stock prices or increased interest rates, a cost of capital increase in excess of 1.3% may result in future impairment. The market approach uses market data of comparable business and acquisition multiples paid in recent transactions to estimate fair value. Declines in acquisitions multiples of approximately 1.8% could affect the likelihood and amount of potential impairment.</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right="180"/>
        <w:spacing w:after="0" w:line="340" w:lineRule="auto"/>
        <w:rPr>
          <w:sz w:val="20"/>
          <w:szCs w:val="20"/>
          <w:color w:val="auto"/>
        </w:rPr>
      </w:pPr>
      <w:r>
        <w:rPr>
          <w:rFonts w:ascii="Arial" w:cs="Arial" w:eastAsia="Arial" w:hAnsi="Arial"/>
          <w:sz w:val="10"/>
          <w:szCs w:val="10"/>
          <w:color w:val="auto"/>
        </w:rPr>
        <w:t>Our principal liquidity needs are to fund operating expenses, meet debt service requirements, fund investment activities (including capital expenditures), and make dividend distributions. Our primary sources of liquidity and capital resources are cash on hand, cash provided by operating activities (primarily arising under the Master Lease with Windstream),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As of December 31, 2019, we had cash and cash equivalents of $142.8 million. Availability under our Revolving Credit Facility is subject to various conditions, including a maximum secured leverage ratio of 5.0:1. Following the effectiveness of the Sixth Amendment to our Credit Agreement, the Revolving Credit Facility is now fully drawn. However, we have subsequently repaid a portion of the amount outstanding and as of the date of this Annual Report we have approximately $40 million of available capacity. In addition, if we incur debt under our Revolving Credit Facility or otherwise such that our total leverage ratio exceeds 6.5:1, our debt instruments would impose significant restrictions on our ability to pay dividends.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Cash provided by operating activities totaled $617.0 million, $472.8 million and $405.3 million for the years ended December 31, 2019, 2018 and 2017, respectively. Cash provided by operating activities is primarily attributable to our leasing activities.</w:t>
      </w:r>
    </w:p>
    <w:p>
      <w:pPr>
        <w:spacing w:after="0" w:line="11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Cash used in investing activities was $544.8 million for the year ended December 31, 2019, which was driven by capital expenditures ($350.5 million) and the acquisition of Bluebird fiber network assets ($320.8 million), partially offset by proceeds related to the sale of Uniti Towers’ Latin American and ground lease businesses and sale of Uniti Fiber’s Midwest operations ($136.8 million). Cash used in investing activities was $480.5 million for the year ended December 31, 2018, which was driven by capital expenditures ($423.6 million), primarily related to our Uniti</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Fiber and Uniti Leasing businesses, and the acquisition of ITS ($53.7 million). Cash used in investing activities was $1.0 billion for the year ended December 31, 2017, which was driven by the acquisitions of Southern Light ($636.1 million), Hunt ($126.0 million), NMS assets ($69.7 million), ground lease investments ($21.8 million), partially offset by a Tower Cloud working capital adjustment ($0.2 million) and capital expenditures ($166.0 million), primarily related to our Uniti Fiber and Uniti Towers businesses.</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Cash provided by financing activities was $32.6 million for the year ended December 31, 2019, which primarily represents the proceeds from issuance of notes ($345.0 million), proceeds from sale of the Warrants ($50.8 million) and net proceeds under our ATM Program ($21.6 million). This was mostly offset by dividend payments ($138.7 million), payment for bond hedge option ($70.0 million), net repayments under the Revolving Credit Facility ($65.0 million), payments for financing costs ($49.5 million), contingent consideration payments ($32.3 million), principal payments related to the senior secured term loan ($21.1 million) and distributions paid to noncontrolling interests ($3.0 million). Cash used in financing activities was $13.8 million for the year ended December 31, 2018, which was driven by dividend payments ($426.1 million), principal payments on our senior secured term loan ($21.1 million), contingent consideration payments ($18.6 million), distributions to noncontrolling interest ($9.9 million), partially offset by net borrowings under the Revolving Credit Facility ($360.0 million) and net proceeds under our ATM Program ($109.4 million). Cash provided by financing activities was $502.0 million for the year ended December 31, 2017, which primarily represents the net proceeds from the sale of common stock through a public offering ($498.9 million) and proceeds from the 2024 Notes issued in May 2017 ($201.0 million), which were used to fund the acquisitions of Southern Light and Hunt, and net borrowings under the Revolving Credit Facility ($280.0 million), partially offset by dividend payments ($400.2 million), deferred financing costs related to the term loan repricing and 2024 Notes issued in May 2017 ($28.5 million), contingent consideration payments ($20.0 million), and principal payments related to the senior secured term loan ($21.1 million).</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Windstream Master Lease</w:t>
      </w:r>
    </w:p>
    <w:p>
      <w:pPr>
        <w:spacing w:after="0" w:line="150" w:lineRule="exact"/>
        <w:rPr>
          <w:sz w:val="20"/>
          <w:szCs w:val="20"/>
          <w:color w:val="auto"/>
        </w:rPr>
      </w:pPr>
    </w:p>
    <w:p>
      <w:pPr>
        <w:ind w:right="20"/>
        <w:spacing w:after="0" w:line="320" w:lineRule="auto"/>
        <w:rPr>
          <w:sz w:val="20"/>
          <w:szCs w:val="20"/>
          <w:color w:val="auto"/>
        </w:rPr>
      </w:pPr>
      <w:r>
        <w:rPr>
          <w:rFonts w:ascii="Arial" w:cs="Arial" w:eastAsia="Arial" w:hAnsi="Arial"/>
          <w:sz w:val="10"/>
          <w:szCs w:val="10"/>
          <w:color w:val="auto"/>
        </w:rPr>
        <w:t>A substantial portion of our leasing revenue and cash flow from operations is derived from the Master Lease with Windstream. The Master Lease has an initial term of 15 years which, at the option of Windstream, may be extended for up to four renewal terms of five years each beyond the initial term. In addition, Windstream has the right to extend the initial term from 15 years to 20 years and, if exercised, the number of renewal terms will be reduced to three so that the maximum term (taking into account all renewals) is 35 years. Commencing with the fourth year, the rent is subject to annual escalation of 0.5%, and cash rents recorded during the year ended December 31, 2018 was $655.7 million. The rent for the first year of each renewal term will be an amount agreed to by us and Windstream, or if we are unable to agree, the renewal rent will be determined by an independent appraisal process. Commencing with the second year of each renewal term, the renewal rent will increase at an escalation rate of 0.5%. In addition, if we fund any capital improvements requested by Windstream, the rent will be increased to account for such funding.</w:t>
      </w:r>
    </w:p>
    <w:p>
      <w:pPr>
        <w:spacing w:after="0" w:line="97" w:lineRule="exact"/>
        <w:rPr>
          <w:sz w:val="20"/>
          <w:szCs w:val="20"/>
          <w:color w:val="auto"/>
        </w:rPr>
      </w:pPr>
    </w:p>
    <w:p>
      <w:pPr>
        <w:ind w:right="20"/>
        <w:spacing w:after="0" w:line="326" w:lineRule="auto"/>
        <w:rPr>
          <w:sz w:val="20"/>
          <w:szCs w:val="20"/>
          <w:color w:val="auto"/>
        </w:rPr>
      </w:pPr>
      <w:r>
        <w:rPr>
          <w:rFonts w:ascii="Arial" w:cs="Arial" w:eastAsia="Arial" w:hAnsi="Arial"/>
          <w:sz w:val="10"/>
          <w:szCs w:val="10"/>
          <w:color w:val="auto"/>
        </w:rPr>
        <w:t>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 See Part I, Item 1A “Risk Factors” for additional information concerning the impact Windstream’s bankruptcy may have on our operations and financial conditions. See Part I, Item 1A “Risk Factors” for additional information concerning the impact Windstream’s bankruptcy may have on our operations and financial conditions.</w:t>
      </w:r>
    </w:p>
    <w:p>
      <w:pPr>
        <w:spacing w:after="0" w:line="95" w:lineRule="exact"/>
        <w:rPr>
          <w:sz w:val="20"/>
          <w:szCs w:val="20"/>
          <w:color w:val="auto"/>
        </w:rPr>
      </w:pPr>
    </w:p>
    <w:p>
      <w:pPr>
        <w:ind w:right="180"/>
        <w:spacing w:after="0" w:line="289" w:lineRule="auto"/>
        <w:rPr>
          <w:sz w:val="20"/>
          <w:szCs w:val="20"/>
          <w:color w:val="auto"/>
        </w:rPr>
      </w:pPr>
      <w:r>
        <w:rPr>
          <w:rFonts w:ascii="Arial" w:cs="Arial" w:eastAsia="Arial" w:hAnsi="Arial"/>
          <w:sz w:val="11"/>
          <w:szCs w:val="11"/>
          <w:color w:val="auto"/>
        </w:rPr>
        <w:t>On July 25, 2019, in connection with Windstream’s bankruptcy, Windstream Holdings and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 As further described below, an adverse determination in the adversary proceeding with Windstream could materially adversely affect our results of operations, liquidity and financial condition and our status as a REIT.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8" w:name="page59"/>
    <w:bookmarkEnd w:id="5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8" w:right="20"/>
        <w:spacing w:after="0" w:line="254" w:lineRule="auto"/>
        <w:rPr>
          <w:sz w:val="20"/>
          <w:szCs w:val="20"/>
          <w:color w:val="auto"/>
        </w:rPr>
      </w:pPr>
      <w:r>
        <w:rPr>
          <w:rFonts w:ascii="Arial" w:cs="Arial" w:eastAsia="Arial" w:hAnsi="Arial"/>
          <w:sz w:val="12"/>
          <w:szCs w:val="12"/>
          <w:i w:val="1"/>
          <w:iCs w:val="1"/>
          <w:color w:val="auto"/>
        </w:rPr>
        <w:t>Rejection</w:t>
      </w:r>
      <w:r>
        <w:rPr>
          <w:rFonts w:ascii="Arial" w:cs="Arial" w:eastAsia="Arial" w:hAnsi="Arial"/>
          <w:sz w:val="12"/>
          <w:szCs w:val="12"/>
          <w:color w:val="auto"/>
        </w:rPr>
        <w:t>. In bankruptcy, Windstream has the option to assume or reject the Master Lease. Because the Master Lease is a single indivisible Master Lease with a single rent payment, it must be assumed or rejected in whole and cannot be sub-divided by facility or market.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we believe Windstream would require approval from the applicable PUC and the FCC to cease providing service in those markets. As a result, although we can provide no assurances, we believe the probability of Windstream rejecting the Master Lease in bankruptcy to be remote. A rejection of the Master Lease, or even a temporary disruption in payments to us, would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our debt service obligations and could otherwise affect our ability to maintain REIT status.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0"/>
          <w:szCs w:val="10"/>
          <w:color w:val="auto"/>
        </w:rPr>
        <w:t>A rejection of the Master Lease by Windstream could result in an “event of default” under our Credit Agreement if we are unable to enter into a replacement lease that satisfies certain criteria set forth in the Credit Agreement within ninety</w:t>
      </w:r>
    </w:p>
    <w:p>
      <w:pPr>
        <w:spacing w:after="0" w:line="38" w:lineRule="exact"/>
        <w:rPr>
          <w:sz w:val="20"/>
          <w:szCs w:val="20"/>
          <w:color w:val="auto"/>
        </w:rPr>
      </w:pPr>
    </w:p>
    <w:p>
      <w:pPr>
        <w:ind w:left="8" w:right="280" w:hanging="8"/>
        <w:spacing w:after="0" w:line="255" w:lineRule="auto"/>
        <w:tabs>
          <w:tab w:leader="none" w:pos="232" w:val="left"/>
        </w:tabs>
        <w:numPr>
          <w:ilvl w:val="0"/>
          <w:numId w:val="8"/>
        </w:numPr>
        <w:rPr>
          <w:rFonts w:ascii="Arial" w:cs="Arial" w:eastAsia="Arial" w:hAnsi="Arial"/>
          <w:sz w:val="12"/>
          <w:szCs w:val="12"/>
          <w:color w:val="auto"/>
        </w:rPr>
      </w:pPr>
      <w:r>
        <w:rPr>
          <w:rFonts w:ascii="Arial" w:cs="Arial" w:eastAsia="Arial" w:hAnsi="Arial"/>
          <w:sz w:val="12"/>
          <w:szCs w:val="12"/>
          <w:color w:val="auto"/>
        </w:rPr>
        <w:t>calendar days and we do not maintain pro forma compliance with a consolidated secured leverage ratio, as defined in the Credit Agreement, of 5.00 to 1.00. An acceleration of debt under our senior secured credit facilities due to an uncured “event of default” under our Credit Agreement would also result in an “event of default” under the terms of our outstanding notes. Such an “event of default” would give the holders of the applicable debt obligation the right to accelerate our repayment obligations relating to such debt.</w:t>
      </w:r>
    </w:p>
    <w:p>
      <w:pPr>
        <w:spacing w:after="0" w:line="127" w:lineRule="exact"/>
        <w:rPr>
          <w:sz w:val="20"/>
          <w:szCs w:val="20"/>
          <w:color w:val="auto"/>
        </w:rPr>
      </w:pPr>
    </w:p>
    <w:p>
      <w:pPr>
        <w:jc w:val="both"/>
        <w:ind w:left="8" w:right="440"/>
        <w:spacing w:after="0" w:line="263" w:lineRule="auto"/>
        <w:rPr>
          <w:sz w:val="20"/>
          <w:szCs w:val="20"/>
          <w:color w:val="auto"/>
        </w:rPr>
      </w:pPr>
      <w:r>
        <w:rPr>
          <w:rFonts w:ascii="Arial" w:cs="Arial" w:eastAsia="Arial" w:hAnsi="Arial"/>
          <w:sz w:val="12"/>
          <w:szCs w:val="12"/>
          <w:color w:val="auto"/>
        </w:rPr>
        <w:t>Our Credit Agreement prohibits us from amending the Master Lease in a manner that, among other provisions, pro forma for any such amendment, would result in our consolidated secured leverage ratio exceeding 5.00 to 1.00, and management has no intention to enter into a lease amendment that would violate our debt covenants. However, it is difficult to predict what could occur in Windstream’s bankruptcy restructuring, including as a result of the adversary proceeding brought by Windstream related to the Master Lease if the Settlement is not implemented.</w:t>
      </w:r>
    </w:p>
    <w:p>
      <w:pPr>
        <w:spacing w:after="0" w:line="122" w:lineRule="exact"/>
        <w:rPr>
          <w:sz w:val="20"/>
          <w:szCs w:val="20"/>
          <w:color w:val="auto"/>
        </w:rPr>
      </w:pPr>
    </w:p>
    <w:p>
      <w:pPr>
        <w:ind w:left="8"/>
        <w:spacing w:after="0" w:line="320" w:lineRule="auto"/>
        <w:rPr>
          <w:sz w:val="20"/>
          <w:szCs w:val="20"/>
          <w:color w:val="auto"/>
        </w:rPr>
      </w:pPr>
      <w:r>
        <w:rPr>
          <w:rFonts w:ascii="Arial" w:cs="Arial" w:eastAsia="Arial" w:hAnsi="Arial"/>
          <w:sz w:val="10"/>
          <w:szCs w:val="10"/>
          <w:i w:val="1"/>
          <w:iCs w:val="1"/>
          <w:color w:val="auto"/>
        </w:rPr>
        <w:t>Recharacterization / Pending Master Lease Litigation</w:t>
      </w:r>
      <w:r>
        <w:rPr>
          <w:rFonts w:ascii="Arial" w:cs="Arial" w:eastAsia="Arial" w:hAnsi="Arial"/>
          <w:sz w:val="10"/>
          <w:szCs w:val="10"/>
          <w:color w:val="auto"/>
        </w:rPr>
        <w:t>. On July 25, 2019, in connection with Windstream’s bankruptcy, Windstream Holdings and Windstream Services filed a complaint with the U.S. Bankruptcy Court for the Southern</w:t>
      </w:r>
      <w:r>
        <w:rPr>
          <w:rFonts w:ascii="Arial" w:cs="Arial" w:eastAsia="Arial" w:hAnsi="Arial"/>
          <w:sz w:val="10"/>
          <w:szCs w:val="10"/>
          <w:i w:val="1"/>
          <w:iCs w:val="1"/>
          <w:color w:val="auto"/>
        </w:rPr>
        <w:t xml:space="preserve"> </w:t>
      </w:r>
      <w:r>
        <w:rPr>
          <w:rFonts w:ascii="Arial" w:cs="Arial" w:eastAsia="Arial" w:hAnsi="Arial"/>
          <w:sz w:val="10"/>
          <w:szCs w:val="10"/>
          <w:color w:val="auto"/>
        </w:rPr>
        <w:t>District of New York against Uniti and certain of its affiliates, alleging¸ among other things, that (1) the Master Lease should be recharacterized as a financing arrangement, (2) rent payments and tenant capital improvements made by Windstream under the Master Lease since at least the third quarter of 2017 constitute constructive fraudulent transfers, (3) the Master Lease is a lease of personal property and (4) Uniti has breached its non-competition obligations to Windstream under the Master Lease, each of which allegations is discussed in more detail below. As described above, the trial for the recharacterization claim has been stayed. Any adverse determination or judicial decision on one or more of the claims against us could materially adversely affect our consolidated results of operations, liquidity, and financial condition or, in certain circumstances, cause us to file for voluntary Chapter 11 protection. See “Legal Proceedings.”</w:t>
      </w:r>
    </w:p>
    <w:p>
      <w:pPr>
        <w:spacing w:after="0" w:line="97"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i w:val="1"/>
          <w:iCs w:val="1"/>
          <w:color w:val="auto"/>
        </w:rPr>
        <w:t>Mediation</w:t>
      </w:r>
      <w:r>
        <w:rPr>
          <w:rFonts w:ascii="Arial" w:cs="Arial" w:eastAsia="Arial" w:hAnsi="Arial"/>
          <w:sz w:val="12"/>
          <w:szCs w:val="12"/>
          <w:color w:val="auto"/>
        </w:rPr>
        <w:t>. Uniti, Windstream and Windstream’s creditors have been engaged in mediation in the Windstream bankruptcy to resolve claims brought by Windstream against Uniti. We have recently announced an agreement in principle to</w:t>
      </w:r>
      <w:r>
        <w:rPr>
          <w:rFonts w:ascii="Arial" w:cs="Arial" w:eastAsia="Arial" w:hAnsi="Arial"/>
          <w:sz w:val="12"/>
          <w:szCs w:val="12"/>
          <w:i w:val="1"/>
          <w:iCs w:val="1"/>
          <w:color w:val="auto"/>
        </w:rPr>
        <w:t xml:space="preserve"> </w:t>
      </w:r>
      <w:r>
        <w:rPr>
          <w:rFonts w:ascii="Arial" w:cs="Arial" w:eastAsia="Arial" w:hAnsi="Arial"/>
          <w:sz w:val="12"/>
          <w:szCs w:val="12"/>
          <w:color w:val="auto"/>
        </w:rPr>
        <w:t>resolve any and all claims and causes of action that have been or may be asserted against Uniti by Windstream, including all litigation brought by Windstream and certain of its creditors in the context of Windstream’s bankruptcy. All litigation between Windstream and Uniti will be stayed while the parties negotiate and prepare the definitive documentation to implement the Settlement. See “Item 1. Business.—Recent Developments.” If the settlement is effectuated, we will need to raise significant additional capital to fund our obligations under such settlement.</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At-the-Market Common Stock Offering Program</w:t>
      </w:r>
    </w:p>
    <w:p>
      <w:pPr>
        <w:spacing w:after="0" w:line="150" w:lineRule="exact"/>
        <w:rPr>
          <w:sz w:val="20"/>
          <w:szCs w:val="20"/>
          <w:color w:val="auto"/>
        </w:rPr>
      </w:pPr>
    </w:p>
    <w:p>
      <w:pPr>
        <w:ind w:left="8" w:right="120"/>
        <w:spacing w:after="0" w:line="263" w:lineRule="auto"/>
        <w:rPr>
          <w:sz w:val="20"/>
          <w:szCs w:val="20"/>
          <w:color w:val="auto"/>
        </w:rPr>
      </w:pPr>
      <w:r>
        <w:rPr>
          <w:rFonts w:ascii="Arial" w:cs="Arial" w:eastAsia="Arial" w:hAnsi="Arial"/>
          <w:sz w:val="12"/>
          <w:szCs w:val="12"/>
          <w:color w:val="auto"/>
        </w:rPr>
        <w:t>We have established an at the market common stock offering program (the “ATM Program”) to sell shares of common stock having an aggregate offering price of up to $250 million. The ATM Program is currently suspended following the June 15, 2019 expiration of our shelf registration statement. As of December 31, 2019, the Company has issued and sold an aggregate of 6.7 million shares of common stock at a weighted average price of $19.92 per share under the ATM Program, receiving net proceeds of $131.2 million, after commissions of $1.7 million and</w:t>
      </w:r>
    </w:p>
    <w:p>
      <w:pPr>
        <w:spacing w:after="0" w:line="12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other offering costs. As of December 31, 2019, we have approximately $117.1 million available for issuance under the ATM Program. When in operation, this program was intended to provide additional financial flexibility and an alternative mechanism to access the capital markets at an efficient cost as and when we need financing, including for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UPREIT Operating Partnership Units</w:t>
      </w:r>
    </w:p>
    <w:p>
      <w:pPr>
        <w:spacing w:after="0" w:line="150"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color w:val="auto"/>
        </w:rPr>
        <w:t>During 2017, the Company completed its reorganization (the “up-REIT Reorganization”) to operate through a customary “up-REIT” structure. Under this structure, the Operating Partnership now holds substantially all of the Company’s assets and is the direct or indirect parent company of, among others, CSL Capital, LLC, Uniti Group Finance Inc. and Uniti Fiber Holdings Inc.</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Our UPREIT structure, enables us to acquire properties by issuing to sellers, as a form of consideration, limited partnership interests in our operating partnership, (commonly called “OP Units”). The limited partner equity interests in the Operating Partnership are exchangeable on a one-for-one basis for shares of our common stock or, at our election, cash of equivalent value.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acquisitions of Hunt and Southern Light in 2017.</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Senior Notes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At December 31, 2019, the Operating Partnership and certain of its wholly-owned subsidiaries had outstanding $550.0 million aggregate principal amount of 6.00% Senior Secured Notes due April 15, 2023 (the “2023 Secured Notes”), $1.11 billion aggregate principal amount of 8.25% Senior Notes due October 15, 2023 (the “2023 Notes”) and $600 million aggregate principal amount of 7.125% Senior Unsecured Notes due December 15, 2024 (the “2024 Notes,” and together with the 2023 Notes, the “Unsecured Notes”).</w:t>
      </w:r>
    </w:p>
    <w:p>
      <w:pPr>
        <w:spacing w:after="0" w:line="122"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On February 10, 2020, the Operating Partnership and certain of its wholly-owned subsidiaries issued $2.25 billion aggregate principal amount of 7.875% Senior Secured Notes due February 15, 2025 (the “2025 Secured Notes” and, together with and the 2023 Secured Notes, the “Secured Notes;” the Secured Notes and the Unsecured Notes are collectively referred to as the “Notes”). The proceeds were used to repay outstanding term loans under our senior secured credit facilities as discussed in “Credit Agreement” below.</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connection with the up-REIT Reorganization, the Operating Partnership replaced the Company and assumed its obligations as an obligor under the 2023 Secured Notes, 2023 Notes and the 2024 Notes and Facilities. The Company subsequently became a guarantor of these series of notes and under the Credit Agreement. The Company also guarantees the Exchangeable Notes and the 2025 Secured Notes. Separate financial statements of the Operating Partnership have not been included since the Operating Partnership is not a registrant.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Exchangeable Notes</w:t>
      </w:r>
    </w:p>
    <w:p>
      <w:pPr>
        <w:spacing w:after="0" w:line="150" w:lineRule="exact"/>
        <w:rPr>
          <w:sz w:val="20"/>
          <w:szCs w:val="20"/>
          <w:color w:val="auto"/>
        </w:rPr>
      </w:pPr>
    </w:p>
    <w:p>
      <w:pPr>
        <w:ind w:right="40"/>
        <w:spacing w:after="0" w:line="379" w:lineRule="auto"/>
        <w:rPr>
          <w:sz w:val="20"/>
          <w:szCs w:val="20"/>
          <w:color w:val="auto"/>
        </w:rPr>
      </w:pPr>
      <w:r>
        <w:rPr>
          <w:rFonts w:ascii="Arial" w:cs="Arial" w:eastAsia="Arial" w:hAnsi="Arial"/>
          <w:sz w:val="10"/>
          <w:szCs w:val="10"/>
          <w:color w:val="auto"/>
        </w:rPr>
        <w:t>On June 28, 2019, Uniti Fiber issued $345 million aggregate principal amount of 4.00% Exchangeable Senior Notes due June 15, 2024.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Uniti Group LP, Uniti Group Finance 2019 Inc. and CSL Capital, LLC (the “Borrowers”) are party to the Credit Agreement, which as of December 31, 2019, provided for the Term Loan Facility (in an initial principal amount of $2.14 billion) and the Revolving Credit Facility (in an aggregate principal amount of up to $750 million). On February 10, 2020, in connection with the issuance of the 2025 Secured Notes and the effectiveness of the Sixth Amendment, the Borrowers repaid all $2.05 billion of outstanding term loans and repaid approximately $156.7 million of revolving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loans (and terminated related commitments in an amount equal to $157.6 million).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Revolving Credit Facility presently bears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1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2019, the Borrowers were in compliance with all of the covenants under the Credit Agreement. However, we would be in breach of the requirement to deliver audited financial statements without a going concern opinion if we are unable to provide 2019 audited financial statements without a going concern opinion to lenders under our Credit Agreement by March 30, 2020.</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the Fourth Amendment generally limits our ability under the Credit Agreement to (i) prepay unsecured indebtedness and (ii) pay cash dividends in excess of 90% of our REIT taxable income, determined without regard to the dividends paid deduction and excluding any net capital gains.</w:t>
      </w:r>
    </w:p>
    <w:p>
      <w:pPr>
        <w:spacing w:after="0" w:line="124"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In addition to the restrictions imposed by the Fourth Amendment discussed above,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 Swaps</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are party to interest rate swap agreements to mitigate the interest rate risk inherent in our variable rate Term Loan Facility. These interest rate swaps are designated as cash flow hedges and have a notional value of $2.04 billion and mature on October 24, 2022. The weighted average fixed rate paid is 2.105%, and the variable rate received resets monthly to the one-month LIBOR subject to a minimum rate of 1.0%.</w:t>
      </w:r>
    </w:p>
    <w:p>
      <w:pPr>
        <w:spacing w:after="0" w:line="115" w:lineRule="exact"/>
        <w:rPr>
          <w:sz w:val="20"/>
          <w:szCs w:val="20"/>
          <w:color w:val="auto"/>
        </w:rPr>
      </w:pPr>
    </w:p>
    <w:p>
      <w:pPr>
        <w:ind w:right="60"/>
        <w:spacing w:after="0" w:line="379" w:lineRule="auto"/>
        <w:rPr>
          <w:sz w:val="20"/>
          <w:szCs w:val="20"/>
          <w:color w:val="auto"/>
        </w:rPr>
      </w:pPr>
      <w:r>
        <w:rPr>
          <w:rFonts w:ascii="Arial" w:cs="Arial" w:eastAsia="Arial" w:hAnsi="Arial"/>
          <w:sz w:val="10"/>
          <w:szCs w:val="10"/>
          <w:color w:val="auto"/>
        </w:rPr>
        <w:t>As result of the repayment of the Company’s term loan facility in February of 2020 (discussed above), the Company entered into receive-fixed interest rate swaps (the “Replacement Swaps”) to offset its existing pay-fixed interest rate swaps (the “Existing Swaps”) that were designated as cash flow hedges of interest payments initially associated with the term loan facility. On February 10, 2020, the Company discontinued hedge accounting on its Existing Swaps as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the hedge accounting requirements were no longer met. Amounts in accumulated other comprehensive (loss) income associated with the Existing Swaps as of the date of dedesignation, will be reclassified to interest expense as the hedged interest payments impact earnings. The net effect of these offsetting interest rate swaps will result in a monthly cash outflow of approximately $1.1 million through October 2022.</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Outlook</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We anticipate continuing to invest in our network infrastructure across our Uniti Leasing, Uniti Fiber and Uniti Towers portfolios. We anticipate declaring dividends for the 2020 tax year to comply with our REIT distribution requirements. We anticipate that we will partially finance these needs, as well as operating expenses (including our debt service obligations), from our cash on hand and cash flows provided by operating activities. We have no material remaining revolving credit facility capacity and therefore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again promptly when we determine market conditions are appropriate. Our debt covenants currently do not permit us to incur material additional debt. We will need to raise additional capital if our settlement, which includes growth capital investments, with Windstream is effectuated.</w:t>
      </w:r>
    </w:p>
    <w:p>
      <w:pPr>
        <w:spacing w:after="0" w:line="113" w:lineRule="exact"/>
        <w:rPr>
          <w:sz w:val="20"/>
          <w:szCs w:val="20"/>
          <w:color w:val="auto"/>
        </w:rPr>
      </w:pPr>
    </w:p>
    <w:p>
      <w:pPr>
        <w:spacing w:after="0" w:line="326" w:lineRule="auto"/>
        <w:rPr>
          <w:sz w:val="20"/>
          <w:szCs w:val="20"/>
          <w:color w:val="auto"/>
        </w:rPr>
      </w:pPr>
      <w:r>
        <w:rPr>
          <w:rFonts w:ascii="Arial" w:cs="Arial" w:eastAsia="Arial" w:hAnsi="Arial"/>
          <w:sz w:val="10"/>
          <w:szCs w:val="10"/>
          <w:color w:val="auto"/>
        </w:rPr>
        <w:t>The amount, nature and timing of any capital markets transactions will depend on: our operating performance and other circumstances, including uncertainty surrounding Windstream;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22"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In light of recent developments and uncertainty surrounding Windstream and the effect of substantial doubt about our ability to continue a going concern, each as set forth under Part I, Item 1A “Risk Factors,” in this Annual Report on Form 10-K, until such time as our settlement is approved and Windstream emerges from bankruptcy, we may take additional measures to conserve cash if we anticipate that it may be difficult for us to access the capital markets at attractive rates until such uncertainty is clarified. Accordingly, we may elect to suspend, delay or reduce success-based capital expenditures and dividend payments to conserve cash. If our assumptions are incorrect, we could need additional sources of liquidity to fund our cash needs and cannot assure that we will obtain them. Because our Master Lease is essential to Windstream’s operations, we expect that any disruption in payments by Windstream would be limited, and we believe that if we take such actions and such disruption is only limited, we would have enough liquidity to fund our cash needs within one year after the date the financial statements are issued. If our assumptions are incorrect or any disruption is longer, we could need additional sources of liquidity to fund our cash needs and cannot assure that we will obtain them.</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62" w:name="page63"/>
    <w:bookmarkEnd w:id="6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Contractual Obligations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2019, we had contractual obligations and commitments as follows: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0"/>
                <w:szCs w:val="10"/>
                <w:b w:val="1"/>
                <w:bCs w:val="1"/>
                <w:color w:val="auto"/>
                <w:w w:val="90"/>
              </w:rPr>
              <w:t>Payments Due by Period</w:t>
            </w:r>
          </w:p>
        </w:tc>
        <w:tc>
          <w:tcPr>
            <w:tcW w:w="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r>
        <w:trPr>
          <w:trHeight w:val="83"/>
        </w:trPr>
        <w:tc>
          <w:tcPr>
            <w:tcW w:w="4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jc w:val="right"/>
              <w:ind w:right="114"/>
              <w:spacing w:after="0" w:line="83" w:lineRule="exact"/>
              <w:rPr>
                <w:sz w:val="20"/>
                <w:szCs w:val="20"/>
                <w:color w:val="auto"/>
              </w:rPr>
            </w:pPr>
            <w:r>
              <w:rPr>
                <w:rFonts w:ascii="Arial" w:cs="Arial" w:eastAsia="Arial" w:hAnsi="Arial"/>
                <w:sz w:val="8"/>
                <w:szCs w:val="8"/>
                <w:b w:val="1"/>
                <w:bCs w:val="1"/>
                <w:color w:val="auto"/>
              </w:rPr>
              <w:t>1-3</w:t>
            </w:r>
          </w:p>
        </w:tc>
        <w:tc>
          <w:tcPr>
            <w:tcW w:w="380" w:type="dxa"/>
            <w:vAlign w:val="bottom"/>
          </w:tcPr>
          <w:p>
            <w:pPr>
              <w:spacing w:after="0"/>
              <w:rPr>
                <w:sz w:val="7"/>
                <w:szCs w:val="7"/>
                <w:color w:val="auto"/>
              </w:rPr>
            </w:pPr>
          </w:p>
        </w:tc>
        <w:tc>
          <w:tcPr>
            <w:tcW w:w="1240" w:type="dxa"/>
            <w:vAlign w:val="bottom"/>
            <w:gridSpan w:val="2"/>
          </w:tcPr>
          <w:p>
            <w:pPr>
              <w:jc w:val="right"/>
              <w:ind w:right="92"/>
              <w:spacing w:after="0" w:line="83" w:lineRule="exact"/>
              <w:rPr>
                <w:sz w:val="20"/>
                <w:szCs w:val="20"/>
                <w:color w:val="auto"/>
              </w:rPr>
            </w:pPr>
            <w:r>
              <w:rPr>
                <w:rFonts w:ascii="Arial" w:cs="Arial" w:eastAsia="Arial" w:hAnsi="Arial"/>
                <w:sz w:val="8"/>
                <w:szCs w:val="8"/>
                <w:b w:val="1"/>
                <w:bCs w:val="1"/>
                <w:color w:val="auto"/>
              </w:rPr>
              <w:t>3-5</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tcPr>
          <w:p>
            <w:pPr>
              <w:ind w:left="160"/>
              <w:spacing w:after="0" w:line="83" w:lineRule="exact"/>
              <w:rPr>
                <w:sz w:val="20"/>
                <w:szCs w:val="20"/>
                <w:color w:val="auto"/>
              </w:rPr>
            </w:pPr>
            <w:r>
              <w:rPr>
                <w:rFonts w:ascii="Arial" w:cs="Arial" w:eastAsia="Arial" w:hAnsi="Arial"/>
                <w:sz w:val="8"/>
                <w:szCs w:val="8"/>
                <w:b w:val="1"/>
                <w:bCs w:val="1"/>
                <w:color w:val="auto"/>
              </w:rPr>
              <w:t>More than</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113"/>
        </w:trPr>
        <w:tc>
          <w:tcPr>
            <w:tcW w:w="43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(millions)</w:t>
            </w: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221"/>
              <w:spacing w:after="0" w:line="114" w:lineRule="exact"/>
              <w:rPr>
                <w:sz w:val="20"/>
                <w:szCs w:val="20"/>
                <w:color w:val="auto"/>
              </w:rPr>
            </w:pPr>
            <w:r>
              <w:rPr>
                <w:rFonts w:ascii="Arial" w:cs="Arial" w:eastAsia="Arial" w:hAnsi="Arial"/>
                <w:sz w:val="10"/>
                <w:szCs w:val="10"/>
                <w:b w:val="1"/>
                <w:bCs w:val="1"/>
                <w:color w:val="auto"/>
                <w:w w:val="95"/>
              </w:rPr>
              <w:t>Less than 1 Year</w:t>
            </w:r>
          </w:p>
        </w:tc>
        <w:tc>
          <w:tcPr>
            <w:tcW w:w="46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jc w:val="right"/>
              <w:ind w:right="54"/>
              <w:spacing w:after="0" w:line="114" w:lineRule="exact"/>
              <w:rPr>
                <w:sz w:val="20"/>
                <w:szCs w:val="20"/>
                <w:color w:val="auto"/>
              </w:rPr>
            </w:pPr>
            <w:r>
              <w:rPr>
                <w:rFonts w:ascii="Arial" w:cs="Arial" w:eastAsia="Arial" w:hAnsi="Arial"/>
                <w:sz w:val="10"/>
                <w:szCs w:val="10"/>
                <w:b w:val="1"/>
                <w:bCs w:val="1"/>
                <w:color w:val="auto"/>
              </w:rPr>
              <w:t>Years</w:t>
            </w: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CFF0FC"/>
            </w:tcBorders>
          </w:tcPr>
          <w:p>
            <w:pPr>
              <w:spacing w:after="0"/>
              <w:rPr>
                <w:sz w:val="9"/>
                <w:szCs w:val="9"/>
                <w:color w:val="auto"/>
              </w:rPr>
            </w:pPr>
          </w:p>
        </w:tc>
        <w:tc>
          <w:tcPr>
            <w:tcW w:w="800" w:type="dxa"/>
            <w:vAlign w:val="bottom"/>
            <w:tcBorders>
              <w:bottom w:val="single" w:sz="8" w:color="auto"/>
            </w:tcBorders>
          </w:tcPr>
          <w:p>
            <w:pPr>
              <w:jc w:val="right"/>
              <w:ind w:right="52"/>
              <w:spacing w:after="0" w:line="114" w:lineRule="exact"/>
              <w:rPr>
                <w:sz w:val="20"/>
                <w:szCs w:val="20"/>
                <w:color w:val="auto"/>
              </w:rPr>
            </w:pPr>
            <w:r>
              <w:rPr>
                <w:rFonts w:ascii="Arial" w:cs="Arial" w:eastAsia="Arial" w:hAnsi="Arial"/>
                <w:sz w:val="10"/>
                <w:szCs w:val="10"/>
                <w:b w:val="1"/>
                <w:bCs w:val="1"/>
                <w:color w:val="auto"/>
              </w:rPr>
              <w:t>Years</w:t>
            </w: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03"/>
              <w:spacing w:after="0" w:line="114" w:lineRule="exact"/>
              <w:rPr>
                <w:sz w:val="20"/>
                <w:szCs w:val="20"/>
                <w:color w:val="auto"/>
              </w:rPr>
            </w:pPr>
            <w:r>
              <w:rPr>
                <w:rFonts w:ascii="Arial" w:cs="Arial" w:eastAsia="Arial" w:hAnsi="Arial"/>
                <w:sz w:val="10"/>
                <w:szCs w:val="10"/>
                <w:b w:val="1"/>
                <w:bCs w:val="1"/>
                <w:color w:val="auto"/>
              </w:rPr>
              <w:t>5 Years</w:t>
            </w: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81"/>
              <w:spacing w:after="0" w:line="114" w:lineRule="exact"/>
              <w:rPr>
                <w:sz w:val="20"/>
                <w:szCs w:val="20"/>
                <w:color w:val="auto"/>
              </w:rPr>
            </w:pPr>
            <w:r>
              <w:rPr>
                <w:rFonts w:ascii="Arial" w:cs="Arial" w:eastAsia="Arial" w:hAnsi="Arial"/>
                <w:sz w:val="10"/>
                <w:szCs w:val="10"/>
                <w:b w:val="1"/>
                <w:bCs w:val="1"/>
                <w:color w:val="auto"/>
              </w:rPr>
              <w:t>Total</w:t>
            </w:r>
          </w:p>
        </w:tc>
      </w:tr>
      <w:tr>
        <w:trPr>
          <w:trHeight w:val="142"/>
        </w:trPr>
        <w:tc>
          <w:tcPr>
            <w:tcW w:w="4320" w:type="dxa"/>
            <w:vAlign w:val="bottom"/>
            <w:shd w:val="clear" w:color="auto" w:fill="CFF0FC"/>
          </w:tcPr>
          <w:p>
            <w:pPr>
              <w:spacing w:after="0"/>
              <w:rPr>
                <w:sz w:val="20"/>
                <w:szCs w:val="20"/>
                <w:color w:val="auto"/>
              </w:rPr>
            </w:pPr>
            <w:r>
              <w:rPr>
                <w:rFonts w:ascii="Arial" w:cs="Arial" w:eastAsia="Arial" w:hAnsi="Arial"/>
                <w:sz w:val="12"/>
                <w:szCs w:val="12"/>
                <w:color w:val="auto"/>
              </w:rPr>
              <w:t>Long-term debt</w:t>
            </w:r>
            <w:r>
              <w:rPr>
                <w:rFonts w:ascii="Arial" w:cs="Arial" w:eastAsia="Arial" w:hAnsi="Arial"/>
                <w:sz w:val="10"/>
                <w:szCs w:val="10"/>
                <w:color w:val="auto"/>
              </w:rPr>
              <w:t>(a)</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1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2,599</w:t>
            </w:r>
          </w:p>
        </w:tc>
        <w:tc>
          <w:tcPr>
            <w:tcW w:w="124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2,605</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5,225</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Interest payments on long-term debt obligations</w:t>
            </w:r>
            <w:r>
              <w:rPr>
                <w:rFonts w:ascii="Arial" w:cs="Arial" w:eastAsia="Arial" w:hAnsi="Arial"/>
                <w:sz w:val="10"/>
                <w:szCs w:val="10"/>
                <w:color w:val="auto"/>
              </w:rPr>
              <w:t>(b)</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303</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581</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215</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1,099</w:t>
            </w:r>
          </w:p>
        </w:tc>
      </w:tr>
      <w:tr>
        <w:trPr>
          <w:trHeight w:val="153"/>
        </w:trPr>
        <w:tc>
          <w:tcPr>
            <w:tcW w:w="432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leases</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w:t>
            </w: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w:t>
            </w:r>
          </w:p>
        </w:tc>
        <w:tc>
          <w:tcPr>
            <w:tcW w:w="4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231</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Finance leases</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85</w:t>
            </w:r>
          </w:p>
        </w:tc>
      </w:tr>
      <w:tr>
        <w:trPr>
          <w:trHeight w:val="153"/>
        </w:trPr>
        <w:tc>
          <w:tcPr>
            <w:tcW w:w="4320" w:type="dxa"/>
            <w:vAlign w:val="bottom"/>
            <w:shd w:val="clear" w:color="auto" w:fill="CFF0FC"/>
          </w:tcPr>
          <w:p>
            <w:pPr>
              <w:spacing w:after="0"/>
              <w:rPr>
                <w:sz w:val="20"/>
                <w:szCs w:val="20"/>
                <w:color w:val="auto"/>
              </w:rPr>
            </w:pPr>
            <w:r>
              <w:rPr>
                <w:rFonts w:ascii="Arial" w:cs="Arial" w:eastAsia="Arial" w:hAnsi="Arial"/>
                <w:sz w:val="12"/>
                <w:szCs w:val="12"/>
                <w:color w:val="auto"/>
              </w:rPr>
              <w:t>Network deployment</w:t>
            </w:r>
            <w:r>
              <w:rPr>
                <w:rFonts w:ascii="Arial" w:cs="Arial" w:eastAsia="Arial" w:hAnsi="Arial"/>
                <w:sz w:val="10"/>
                <w:szCs w:val="10"/>
                <w:color w:val="auto"/>
              </w:rPr>
              <w:t>(c)</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w:t>
            </w: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44</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Committed landlord growth funding</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11</w:t>
            </w:r>
          </w:p>
        </w:tc>
      </w:tr>
      <w:tr>
        <w:trPr>
          <w:trHeight w:val="153"/>
        </w:trPr>
        <w:tc>
          <w:tcPr>
            <w:tcW w:w="4320" w:type="dxa"/>
            <w:vAlign w:val="bottom"/>
            <w:shd w:val="clear" w:color="auto" w:fill="CFF0FC"/>
          </w:tcPr>
          <w:p>
            <w:pPr>
              <w:spacing w:after="0"/>
              <w:rPr>
                <w:sz w:val="20"/>
                <w:szCs w:val="20"/>
                <w:color w:val="auto"/>
              </w:rPr>
            </w:pPr>
            <w:r>
              <w:rPr>
                <w:rFonts w:ascii="Arial" w:cs="Arial" w:eastAsia="Arial" w:hAnsi="Arial"/>
                <w:sz w:val="12"/>
                <w:szCs w:val="12"/>
                <w:color w:val="auto"/>
              </w:rPr>
              <w:t>Other Long-Term Liabilities</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spacing w:after="0"/>
              <w:rPr>
                <w:sz w:val="13"/>
                <w:szCs w:val="13"/>
                <w:color w:val="auto"/>
              </w:rPr>
            </w:pPr>
          </w:p>
        </w:tc>
      </w:tr>
      <w:tr>
        <w:trPr>
          <w:trHeight w:val="153"/>
        </w:trPr>
        <w:tc>
          <w:tcPr>
            <w:tcW w:w="43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Contingent consideration</w:t>
            </w:r>
            <w:r>
              <w:rPr>
                <w:rFonts w:ascii="Arial" w:cs="Arial" w:eastAsia="Arial" w:hAnsi="Arial"/>
                <w:sz w:val="10"/>
                <w:szCs w:val="10"/>
                <w:color w:val="auto"/>
              </w:rPr>
              <w:t>(d)</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4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w:t>
            </w:r>
          </w:p>
        </w:tc>
      </w:tr>
      <w:tr>
        <w:trPr>
          <w:trHeight w:val="142"/>
        </w:trPr>
        <w:tc>
          <w:tcPr>
            <w:tcW w:w="43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projected obligations and commitments</w:t>
            </w:r>
            <w:r>
              <w:rPr>
                <w:rFonts w:ascii="Arial" w:cs="Arial" w:eastAsia="Arial" w:hAnsi="Arial"/>
                <w:sz w:val="10"/>
                <w:szCs w:val="10"/>
                <w:b w:val="1"/>
                <w:bCs w:val="1"/>
                <w:color w:val="auto"/>
              </w:rPr>
              <w:t>(e)</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424</w:t>
            </w: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71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3,243</w:t>
            </w:r>
          </w:p>
        </w:tc>
        <w:tc>
          <w:tcPr>
            <w:tcW w:w="124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2,869</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6,707</w:t>
            </w:r>
          </w:p>
        </w:tc>
      </w:tr>
      <w:tr>
        <w:trPr>
          <w:trHeight w:val="27"/>
        </w:trPr>
        <w:tc>
          <w:tcPr>
            <w:tcW w:w="43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right w:val="single" w:sz="8" w:color="CFF0FC"/>
            </w:tcBorders>
            <w:shd w:val="clear" w:color="auto" w:fill="000000"/>
          </w:tcPr>
          <w:p>
            <w:pPr>
              <w:spacing w:after="0"/>
              <w:rPr>
                <w:sz w:val="2"/>
                <w:szCs w:val="2"/>
                <w:color w:val="auto"/>
              </w:rPr>
            </w:pPr>
          </w:p>
        </w:tc>
      </w:tr>
    </w:tbl>
    <w:p>
      <w:pPr>
        <w:spacing w:after="0" w:line="63" w:lineRule="exact"/>
        <w:rPr>
          <w:sz w:val="20"/>
          <w:szCs w:val="20"/>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Excludes $207.1 million of unamortized discounts on long-term debt and deferred financing costs.</w:t>
      </w:r>
    </w:p>
    <w:p>
      <w:pPr>
        <w:spacing w:after="0" w:line="14"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1"/>
          <w:szCs w:val="11"/>
          <w:color w:val="auto"/>
        </w:rPr>
      </w:pPr>
      <w:r>
        <w:rPr>
          <w:rFonts w:ascii="Arial" w:cs="Arial" w:eastAsia="Arial" w:hAnsi="Arial"/>
          <w:sz w:val="11"/>
          <w:szCs w:val="11"/>
          <w:color w:val="auto"/>
        </w:rPr>
        <w:t>Interest rates on our Term Loan Facility are based on our swap rates.  Excludes the impact to the fourth amendment to our Credit Agreement discussed above in “Liquidity and Capital Resources—Credit Agreement”.</w:t>
      </w:r>
    </w:p>
    <w:p>
      <w:pPr>
        <w:spacing w:after="0" w:line="17" w:lineRule="exact"/>
        <w:rPr>
          <w:rFonts w:ascii="Arial" w:cs="Arial" w:eastAsia="Arial" w:hAnsi="Arial"/>
          <w:sz w:val="11"/>
          <w:szCs w:val="11"/>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Network deployment purchase commitments are for success-based projects for which we have a signed customer contract before we commit resources to expand our network.</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Cash settled contingent consideration related to the August 31, 2016 acquisition of Tower Cloud, Inc.</w:t>
      </w:r>
    </w:p>
    <w:p>
      <w:pPr>
        <w:spacing w:after="0" w:line="6" w:lineRule="exact"/>
        <w:rPr>
          <w:rFonts w:ascii="Arial" w:cs="Arial" w:eastAsia="Arial" w:hAnsi="Arial"/>
          <w:sz w:val="12"/>
          <w:szCs w:val="12"/>
          <w:color w:val="auto"/>
        </w:rPr>
      </w:pPr>
    </w:p>
    <w:p>
      <w:pPr>
        <w:ind w:left="588" w:hanging="588"/>
        <w:spacing w:after="0"/>
        <w:tabs>
          <w:tab w:leader="none" w:pos="588" w:val="left"/>
        </w:tabs>
        <w:numPr>
          <w:ilvl w:val="0"/>
          <w:numId w:val="9"/>
        </w:numPr>
        <w:rPr>
          <w:rFonts w:ascii="Arial" w:cs="Arial" w:eastAsia="Arial" w:hAnsi="Arial"/>
          <w:sz w:val="12"/>
          <w:szCs w:val="12"/>
          <w:color w:val="auto"/>
        </w:rPr>
      </w:pPr>
      <w:r>
        <w:rPr>
          <w:rFonts w:ascii="Arial" w:cs="Arial" w:eastAsia="Arial" w:hAnsi="Arial"/>
          <w:sz w:val="12"/>
          <w:szCs w:val="12"/>
          <w:color w:val="auto"/>
        </w:rPr>
        <w:t>Excludes $23.7 million of derivative liability related to interest rate swaps maturing on October 24, 2022.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If the Settlement is approved, we could incur significant additional contractual obligations.  See “Item 1. Business.—Recent Developments.”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ind w:left="8" w:right="60"/>
        <w:spacing w:after="0" w:line="285" w:lineRule="auto"/>
        <w:rPr>
          <w:sz w:val="20"/>
          <w:szCs w:val="20"/>
          <w:color w:val="auto"/>
        </w:rPr>
      </w:pPr>
      <w:r>
        <w:rPr>
          <w:rFonts w:ascii="Arial" w:cs="Arial" w:eastAsia="Arial" w:hAnsi="Arial"/>
          <w:sz w:val="11"/>
          <w:szCs w:val="11"/>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below sets out details regarding our cash dividends on our common stock:</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Period</w:t>
            </w:r>
          </w:p>
        </w:tc>
        <w:tc>
          <w:tcPr>
            <w:tcW w:w="200" w:type="dxa"/>
            <w:vAlign w:val="bottom"/>
            <w:tcBorders>
              <w:bottom w:val="single" w:sz="8" w:color="CFF0FC"/>
            </w:tcBorders>
          </w:tcPr>
          <w:p>
            <w:pPr>
              <w:spacing w:after="0"/>
              <w:rPr>
                <w:sz w:val="10"/>
                <w:szCs w:val="1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Payment Date</w:t>
            </w:r>
          </w:p>
        </w:tc>
        <w:tc>
          <w:tcPr>
            <w:tcW w:w="18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Cash Dividend Per Share</w:t>
            </w:r>
          </w:p>
        </w:tc>
        <w:tc>
          <w:tcPr>
            <w:tcW w:w="300" w:type="dxa"/>
            <w:vAlign w:val="bottom"/>
            <w:tcBorders>
              <w:bottom w:val="single" w:sz="8" w:color="CFF0FC"/>
            </w:tcBorders>
          </w:tcPr>
          <w:p>
            <w:pPr>
              <w:spacing w:after="0"/>
              <w:rPr>
                <w:sz w:val="10"/>
                <w:szCs w:val="1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Record Date</w:t>
            </w:r>
          </w:p>
        </w:tc>
      </w:tr>
      <w:tr>
        <w:trPr>
          <w:trHeight w:val="142"/>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2018 - December 31, 2018</w:t>
            </w:r>
          </w:p>
        </w:tc>
        <w:tc>
          <w:tcPr>
            <w:tcW w:w="222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8"/>
              </w:rPr>
              <w:t>January 15, 2019</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0.60</w:t>
            </w:r>
          </w:p>
        </w:tc>
        <w:tc>
          <w:tcPr>
            <w:tcW w:w="300" w:type="dxa"/>
            <w:vAlign w:val="bottom"/>
            <w:shd w:val="clear" w:color="auto" w:fill="CFF0FC"/>
          </w:tcPr>
          <w:p>
            <w:pPr>
              <w:spacing w:after="0"/>
              <w:rPr>
                <w:sz w:val="12"/>
                <w:szCs w:val="12"/>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December 31, 2018</w:t>
            </w: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January 1, 2019 - March 31, 2019</w:t>
            </w:r>
          </w:p>
        </w:tc>
        <w:tc>
          <w:tcPr>
            <w:tcW w:w="2220" w:type="dxa"/>
            <w:vAlign w:val="bottom"/>
            <w:gridSpan w:val="2"/>
          </w:tcPr>
          <w:p>
            <w:pPr>
              <w:jc w:val="center"/>
              <w:ind w:right="200"/>
              <w:spacing w:after="0"/>
              <w:rPr>
                <w:sz w:val="20"/>
                <w:szCs w:val="20"/>
                <w:color w:val="auto"/>
              </w:rPr>
            </w:pPr>
            <w:r>
              <w:rPr>
                <w:rFonts w:ascii="Arial" w:cs="Arial" w:eastAsia="Arial" w:hAnsi="Arial"/>
                <w:sz w:val="12"/>
                <w:szCs w:val="12"/>
                <w:color w:val="auto"/>
                <w:w w:val="94"/>
              </w:rPr>
              <w:t>April 15, 2019</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0.05</w:t>
            </w:r>
          </w:p>
        </w:tc>
        <w:tc>
          <w:tcPr>
            <w:tcW w:w="3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4"/>
              </w:rPr>
              <w:t>April 1, 2019</w:t>
            </w: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April 1, 2019 - June 30, 2019</w:t>
            </w:r>
          </w:p>
        </w:tc>
        <w:tc>
          <w:tcPr>
            <w:tcW w:w="222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92"/>
              </w:rPr>
              <w:t>July 15, 2019</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300" w:type="dxa"/>
            <w:vAlign w:val="bottom"/>
            <w:shd w:val="clear" w:color="auto" w:fill="CFF0FC"/>
          </w:tcPr>
          <w:p>
            <w:pPr>
              <w:spacing w:after="0"/>
              <w:rPr>
                <w:sz w:val="13"/>
                <w:szCs w:val="13"/>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June 28, 2019</w:t>
            </w:r>
          </w:p>
        </w:tc>
      </w:tr>
      <w:tr>
        <w:trPr>
          <w:trHeight w:val="153"/>
        </w:trPr>
        <w:tc>
          <w:tcPr>
            <w:tcW w:w="4800" w:type="dxa"/>
            <w:vAlign w:val="bottom"/>
            <w:gridSpan w:val="2"/>
          </w:tcPr>
          <w:p>
            <w:pPr>
              <w:spacing w:after="0"/>
              <w:rPr>
                <w:sz w:val="20"/>
                <w:szCs w:val="20"/>
                <w:color w:val="auto"/>
              </w:rPr>
            </w:pPr>
            <w:r>
              <w:rPr>
                <w:rFonts w:ascii="Arial" w:cs="Arial" w:eastAsia="Arial" w:hAnsi="Arial"/>
                <w:sz w:val="12"/>
                <w:szCs w:val="12"/>
                <w:color w:val="auto"/>
              </w:rPr>
              <w:t>July 1, 2019 - September 30, 2019</w:t>
            </w:r>
          </w:p>
        </w:tc>
        <w:tc>
          <w:tcPr>
            <w:tcW w:w="222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October 15, 2019</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0.05</w:t>
            </w:r>
          </w:p>
        </w:tc>
        <w:tc>
          <w:tcPr>
            <w:tcW w:w="3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8"/>
              </w:rPr>
              <w:t>September 30, 2019</w:t>
            </w:r>
          </w:p>
        </w:tc>
      </w:tr>
      <w:tr>
        <w:trPr>
          <w:trHeight w:val="15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October 1, 2019 - December 31, 2019</w:t>
            </w:r>
          </w:p>
        </w:tc>
        <w:tc>
          <w:tcPr>
            <w:tcW w:w="222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8"/>
              </w:rPr>
              <w:t>January 15, 2020</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0.22</w:t>
            </w:r>
          </w:p>
        </w:tc>
        <w:tc>
          <w:tcPr>
            <w:tcW w:w="300" w:type="dxa"/>
            <w:vAlign w:val="bottom"/>
            <w:shd w:val="clear" w:color="auto" w:fill="CFF0FC"/>
          </w:tcPr>
          <w:p>
            <w:pPr>
              <w:spacing w:after="0"/>
              <w:rPr>
                <w:sz w:val="13"/>
                <w:szCs w:val="13"/>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December 31, 2019</w:t>
            </w:r>
          </w:p>
        </w:tc>
      </w:tr>
      <w:tr>
        <w:trPr>
          <w:trHeight w:val="288"/>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082"/>
              <w:spacing w:after="0"/>
              <w:rPr>
                <w:sz w:val="20"/>
                <w:szCs w:val="20"/>
                <w:color w:val="auto"/>
              </w:rPr>
            </w:pPr>
            <w:r>
              <w:rPr>
                <w:rFonts w:ascii="Arial" w:cs="Arial" w:eastAsia="Arial" w:hAnsi="Arial"/>
                <w:sz w:val="12"/>
                <w:szCs w:val="12"/>
                <w:color w:val="auto"/>
              </w:rPr>
              <w:t>63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2"/>
        </w:trPr>
        <w:tc>
          <w:tcPr>
            <w:tcW w:w="4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recent developments with Windstream, we may take further measures to conserve cash, which may include a suspension, delay or reduction in our dividend. In addition, during the pendency of Windstream’s bankruptcy, the Fourth Amendment to our Credit Agreement (as set forth in Item 1A Risk Factors) and our 7.875% senior secured notes due 2025 generally limit our ability to pay cash dividends in excess of 90% of our REIT taxable income, determined without regard to the dividends paid deduction and excluding any net capital gains.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Expenditures</w:t>
      </w:r>
    </w:p>
    <w:p>
      <w:pPr>
        <w:spacing w:after="0" w:line="154" w:lineRule="exact"/>
        <w:rPr>
          <w:sz w:val="20"/>
          <w:szCs w:val="20"/>
          <w:color w:val="auto"/>
        </w:rPr>
      </w:pPr>
    </w:p>
    <w:p>
      <w:pPr>
        <w:jc w:val="both"/>
        <w:ind w:right="40"/>
        <w:spacing w:after="0" w:line="340" w:lineRule="auto"/>
        <w:rPr>
          <w:sz w:val="20"/>
          <w:szCs w:val="20"/>
          <w:color w:val="auto"/>
        </w:rPr>
      </w:pPr>
      <w:r>
        <w:rPr>
          <w:rFonts w:ascii="Arial" w:cs="Arial" w:eastAsia="Arial" w:hAnsi="Arial"/>
          <w:sz w:val="10"/>
          <w:szCs w:val="10"/>
          <w:color w:val="auto"/>
        </w:rPr>
        <w:t>Capital expenditures for the Distribution Systems leased under the Master Lease are generally the responsibility of Windstream. The Master Lease stipulates that Windstream can request that we fund $50 million of capital expenditures per year for five years (but in no event to extend beyond the end of the sixth year of the Master Lease, which ends May 2021); however, Windstream cannot require Uniti to make such capital expenditures. If we elect to fund requested capital expenditures, the annual lease payments will be increased at a floating rate based on our cost of capital. No capital expenditure funding requests were made by Windstream for the year ended December 31, 2019.</w:t>
      </w:r>
    </w:p>
    <w:p>
      <w:pPr>
        <w:spacing w:after="0" w:line="87"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If the settlement with Windstream is approved and implemented, we will fund an aggregate of $1.75 billion of Growth Capital Investment in property subject to the Master Lease over the next 10 years. Pursuant to the Settlement, if Windstream is not in compliance with the terms and conditions of the New Leases, Uniti will not be required to fund Growth Capital Improvements. In the event Uniti defaults or otherwise fails to timely satisfy its obligations under the New Leases and Windstream is in compliance with the terms of the New Leases, then Windstream has the right to deduct from the subsequent rent payment or payments, amounts otherwise owed to Windstream.</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Uniti Fiber and Uniti Towers portfolios, and expect that cash on hand, borrowings under our Revolving Credit Facility, and cash flows provided by operating activities will be sufficient to support these investments. As of December 31, 2019, the Company has committed to fund approximately $11.2 million of growth capital expenditures related to the Bluebird Lease over the next twelve months.</w:t>
      </w:r>
    </w:p>
    <w:p>
      <w:pPr>
        <w:spacing w:after="0" w:line="12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light of recent developments with Windstream, we may take further measures to conserve cash, which may include a suspension, delay or reduction in success-based capital expenditures. We are closely monitoring developments of the Windstream bankruptcy and continually assess our capital expenditure plans in light of such developments.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 Balance-Sheet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of the date of this Annual Report on Form 10-K, we do not have any off-balance sheet arrangements.</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15" w:lineRule="exact"/>
        <w:rPr>
          <w:sz w:val="20"/>
          <w:szCs w:val="20"/>
          <w:color w:val="auto"/>
        </w:rPr>
      </w:pPr>
    </w:p>
    <w:p>
      <w:pPr>
        <w:ind w:right="400"/>
        <w:spacing w:after="0" w:line="260" w:lineRule="auto"/>
        <w:rPr>
          <w:sz w:val="20"/>
          <w:szCs w:val="20"/>
          <w:color w:val="auto"/>
        </w:rPr>
      </w:pPr>
      <w:r>
        <w:rPr>
          <w:rFonts w:ascii="Arial" w:cs="Arial" w:eastAsia="Arial" w:hAnsi="Arial"/>
          <w:sz w:val="12"/>
          <w:szCs w:val="12"/>
          <w:color w:val="auto"/>
        </w:rPr>
        <w:t>In fiscal 2019, our primary market risk exposure was interest rate risk with respect to our variable rate indebtedness under our Term Loan Facility. In addition, we have a variable rate Revolving Credit Facility, which had an aggregate principal amount of $575 million as of December 31, 2019. To manage this exposure under our Term Loan Facility, we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have entered into interest rate swap agreements in order to mitigate the interest rate risk inherent in our variable rate Term Loan Facility. As result of the repayment of the Company’s term loan facility in February of 2020 (discussed above), the Company entered into receive-fixed interest rate swaps (the “Replacement Swaps”) to offset its existing pay-fixed interest rate swaps (the “Existing Swaps”) that were designated as cash flow hedges of interest payments initially associated with the term loan facility. On February 10, 2020, the Company discontinued hedge accounting on its Existing Swaps as the hedge accounting requirements were no longer met. Amounts in accumulated other comprehensive (loss) income associated with the Existing Swaps as of the date of dedesignation, will be reclassified to interest expense as the hedged interest payments impact earnings. The net effect of these offsetting interest rate swaps will result in a monthly cash outflow of approximately $1.1 million through October 2022. As of December 31, 2019, the interest rate risk for our Term Loan Facility has been mitigated through this interest rate swap agreement, and, with the exception of our Revolving Credit Facility, the interest rate for our remaining debt has a fixed rate. A hypothetical 10% change in interest rates effective at December 31, 2019, would have had a $3.4 million impact on Uniti’s results of operations for the year ended December 31, 2019.</w:t>
      </w:r>
    </w:p>
    <w:p>
      <w:pPr>
        <w:spacing w:after="0" w:line="12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115" w:lineRule="exact"/>
        <w:rPr>
          <w:sz w:val="20"/>
          <w:szCs w:val="20"/>
          <w:color w:val="auto"/>
        </w:rPr>
      </w:pPr>
    </w:p>
    <w:p>
      <w:pPr>
        <w:ind w:right="380"/>
        <w:spacing w:after="0" w:line="323" w:lineRule="auto"/>
        <w:rPr>
          <w:sz w:val="20"/>
          <w:szCs w:val="20"/>
          <w:color w:val="auto"/>
        </w:rPr>
      </w:pPr>
      <w:r>
        <w:rPr>
          <w:rFonts w:ascii="Arial" w:cs="Arial" w:eastAsia="Arial" w:hAnsi="Arial"/>
          <w:sz w:val="11"/>
          <w:szCs w:val="11"/>
          <w:color w:val="auto"/>
        </w:rPr>
        <w:t>In connection with the Sixth Amendment to our Credit Agreement obtained on February 10, 2020, the applicable margins for (i) base rate loans under the Revolving Credit Facility increased to a range of 3.75% to 4.25% and (ii) eurodollar rate loans under the Revolving Credit Facility to a range of 4.75% to 5.25%, calculated in a customary manner and determined based on our consolidated secured leverage ratio.</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Currency Exchange Rate Fluctuation</w:t>
      </w:r>
    </w:p>
    <w:p>
      <w:pPr>
        <w:spacing w:after="0" w:line="150"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Subsequent to the sale of our Latin American tower portfolio on April 2, 2019, we no longer have operations denominated in foreign currencies. Less than 1% of our revenues were denominated in foreign currencies for the year ended December 31, 2019. Cost of sales and operating costs related to these sales are largely denominated in the same respective currencies, thereby partially limiting our transaction risk exposure. A hypothetical uniform 10% strengthening in the value of the U.S. dollar relative to the currencies in which our transactions were denominated would have resulted in an immaterial change in net income for the year ended December 31, 2019.</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520" w:type="dxa"/>
            <w:vAlign w:val="bottom"/>
            <w:gridSpan w:val="2"/>
          </w:tcPr>
          <w:p>
            <w:pPr>
              <w:jc w:val="center"/>
              <w:ind w:right="3720"/>
              <w:spacing w:after="0"/>
              <w:rPr>
                <w:sz w:val="20"/>
                <w:szCs w:val="20"/>
                <w:color w:val="auto"/>
              </w:rPr>
            </w:pPr>
            <w:r>
              <w:rPr>
                <w:rFonts w:ascii="Arial" w:cs="Arial" w:eastAsia="Arial" w:hAnsi="Arial"/>
                <w:sz w:val="12"/>
                <w:szCs w:val="12"/>
                <w:b w:val="1"/>
                <w:bCs w:val="1"/>
                <w:color w:val="auto"/>
                <w:w w:val="95"/>
              </w:rPr>
              <w:t>Uniti Group Inc.</w:t>
            </w:r>
          </w:p>
        </w:tc>
      </w:tr>
      <w:tr>
        <w:trPr>
          <w:trHeight w:val="144"/>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520" w:type="dxa"/>
            <w:vAlign w:val="bottom"/>
            <w:gridSpan w:val="2"/>
          </w:tcPr>
          <w:p>
            <w:pPr>
              <w:jc w:val="center"/>
              <w:ind w:right="3720"/>
              <w:spacing w:after="0"/>
              <w:rPr>
                <w:sz w:val="20"/>
                <w:szCs w:val="20"/>
                <w:color w:val="auto"/>
              </w:rPr>
            </w:pPr>
            <w:r>
              <w:rPr>
                <w:rFonts w:ascii="Arial" w:cs="Arial" w:eastAsia="Arial" w:hAnsi="Arial"/>
                <w:sz w:val="12"/>
                <w:szCs w:val="12"/>
                <w:b w:val="1"/>
                <w:bCs w:val="1"/>
                <w:color w:val="auto"/>
                <w:w w:val="89"/>
              </w:rPr>
              <w:t>Consolidated Financial Statements</w:t>
            </w:r>
          </w:p>
        </w:tc>
      </w:tr>
      <w:tr>
        <w:trPr>
          <w:trHeight w:val="157"/>
        </w:trPr>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520" w:type="dxa"/>
            <w:vAlign w:val="bottom"/>
            <w:gridSpan w:val="2"/>
          </w:tcPr>
          <w:p>
            <w:pPr>
              <w:jc w:val="center"/>
              <w:ind w:right="3740"/>
              <w:spacing w:after="0"/>
              <w:rPr>
                <w:sz w:val="20"/>
                <w:szCs w:val="20"/>
                <w:color w:val="auto"/>
              </w:rPr>
            </w:pPr>
            <w:r>
              <w:rPr>
                <w:rFonts w:ascii="Arial" w:cs="Arial" w:eastAsia="Arial" w:hAnsi="Arial"/>
                <w:sz w:val="12"/>
                <w:szCs w:val="12"/>
                <w:b w:val="1"/>
                <w:bCs w:val="1"/>
                <w:color w:val="auto"/>
                <w:w w:val="89"/>
              </w:rPr>
              <w:t>Index to Financial Statements</w:t>
            </w:r>
          </w:p>
        </w:tc>
      </w:tr>
      <w:tr>
        <w:trPr>
          <w:trHeight w:val="297"/>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Page</w:t>
            </w:r>
          </w:p>
        </w:tc>
      </w:tr>
      <w:tr>
        <w:trPr>
          <w:trHeight w:val="115"/>
        </w:trPr>
        <w:tc>
          <w:tcPr>
            <w:tcW w:w="3780" w:type="dxa"/>
            <w:vAlign w:val="bottom"/>
            <w:gridSpan w:val="8"/>
          </w:tcPr>
          <w:p>
            <w:pPr>
              <w:spacing w:after="0" w:line="115" w:lineRule="exact"/>
              <w:rPr>
                <w:rFonts w:ascii="Arial" w:cs="Arial" w:eastAsia="Arial" w:hAnsi="Arial"/>
                <w:sz w:val="12"/>
                <w:szCs w:val="12"/>
                <w:color w:val="0000EE"/>
              </w:rPr>
            </w:pPr>
            <w:hyperlink w:anchor="page67">
              <w:r>
                <w:rPr>
                  <w:rFonts w:ascii="Arial" w:cs="Arial" w:eastAsia="Arial" w:hAnsi="Arial"/>
                  <w:sz w:val="12"/>
                  <w:szCs w:val="12"/>
                  <w:color w:val="0000EE"/>
                </w:rPr>
                <w:t>Report of Independent Registered Public Accounting Firm</w:t>
              </w:r>
            </w:hyperlink>
          </w:p>
        </w:tc>
        <w:tc>
          <w:tcPr>
            <w:tcW w:w="75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67</w:t>
            </w:r>
          </w:p>
        </w:tc>
      </w:tr>
      <w:tr>
        <w:trPr>
          <w:trHeight w:val="313"/>
        </w:trPr>
        <w:tc>
          <w:tcPr>
            <w:tcW w:w="2800" w:type="dxa"/>
            <w:vAlign w:val="bottom"/>
            <w:tcBorders>
              <w:top w:val="single" w:sz="8" w:color="0000EE"/>
            </w:tcBorders>
            <w:gridSpan w:val="6"/>
          </w:tcPr>
          <w:p>
            <w:pPr>
              <w:spacing w:after="0"/>
              <w:rPr>
                <w:sz w:val="20"/>
                <w:szCs w:val="20"/>
                <w:color w:val="auto"/>
              </w:rPr>
            </w:pPr>
            <w:r>
              <w:rPr>
                <w:rFonts w:ascii="Arial" w:cs="Arial" w:eastAsia="Arial" w:hAnsi="Arial"/>
                <w:sz w:val="12"/>
                <w:szCs w:val="12"/>
                <w:b w:val="1"/>
                <w:bCs w:val="1"/>
                <w:color w:val="auto"/>
              </w:rPr>
              <w:t>Uniti Group Inc.</w:t>
            </w:r>
          </w:p>
        </w:tc>
        <w:tc>
          <w:tcPr>
            <w:tcW w:w="980" w:type="dxa"/>
            <w:vAlign w:val="bottom"/>
            <w:gridSpan w:val="2"/>
          </w:tcPr>
          <w:p>
            <w:pPr>
              <w:spacing w:after="0"/>
              <w:rPr>
                <w:sz w:val="24"/>
                <w:szCs w:val="24"/>
                <w:color w:val="auto"/>
              </w:rPr>
            </w:pPr>
          </w:p>
        </w:tc>
        <w:tc>
          <w:tcPr>
            <w:tcW w:w="6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6"/>
        </w:trPr>
        <w:tc>
          <w:tcPr>
            <w:tcW w:w="3780" w:type="dxa"/>
            <w:vAlign w:val="bottom"/>
            <w:gridSpan w:val="8"/>
          </w:tcPr>
          <w:p>
            <w:pPr>
              <w:spacing w:after="0" w:line="126" w:lineRule="exact"/>
              <w:rPr>
                <w:rFonts w:ascii="Arial" w:cs="Arial" w:eastAsia="Arial" w:hAnsi="Arial"/>
                <w:sz w:val="12"/>
                <w:szCs w:val="12"/>
                <w:color w:val="0000EE"/>
              </w:rPr>
            </w:pPr>
            <w:hyperlink w:anchor="page71">
              <w:r>
                <w:rPr>
                  <w:rFonts w:ascii="Arial" w:cs="Arial" w:eastAsia="Arial" w:hAnsi="Arial"/>
                  <w:sz w:val="12"/>
                  <w:szCs w:val="12"/>
                  <w:color w:val="0000EE"/>
                </w:rPr>
                <w:t>Consolidated Balance Sheets</w:t>
              </w:r>
            </w:hyperlink>
          </w:p>
        </w:tc>
        <w:tc>
          <w:tcPr>
            <w:tcW w:w="752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71</w:t>
            </w:r>
          </w:p>
        </w:tc>
      </w:tr>
      <w:tr>
        <w:trPr>
          <w:trHeight w:val="20"/>
        </w:trPr>
        <w:tc>
          <w:tcPr>
            <w:tcW w:w="1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133"/>
        </w:trPr>
        <w:tc>
          <w:tcPr>
            <w:tcW w:w="3780" w:type="dxa"/>
            <w:vAlign w:val="bottom"/>
            <w:gridSpan w:val="8"/>
          </w:tcPr>
          <w:p>
            <w:pPr>
              <w:spacing w:after="0" w:line="133" w:lineRule="exact"/>
              <w:rPr>
                <w:rFonts w:ascii="Arial" w:cs="Arial" w:eastAsia="Arial" w:hAnsi="Arial"/>
                <w:sz w:val="12"/>
                <w:szCs w:val="12"/>
                <w:color w:val="0000EE"/>
              </w:rPr>
            </w:pPr>
            <w:hyperlink w:anchor="page72">
              <w:r>
                <w:rPr>
                  <w:rFonts w:ascii="Arial" w:cs="Arial" w:eastAsia="Arial" w:hAnsi="Arial"/>
                  <w:sz w:val="12"/>
                  <w:szCs w:val="12"/>
                  <w:color w:val="0000EE"/>
                </w:rPr>
                <w:t>Consolidated Statements of Income</w:t>
              </w:r>
            </w:hyperlink>
          </w:p>
        </w:tc>
        <w:tc>
          <w:tcPr>
            <w:tcW w:w="75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72</w:t>
            </w: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133"/>
        </w:trPr>
        <w:tc>
          <w:tcPr>
            <w:tcW w:w="3780" w:type="dxa"/>
            <w:vAlign w:val="bottom"/>
            <w:gridSpan w:val="8"/>
          </w:tcPr>
          <w:p>
            <w:pPr>
              <w:spacing w:after="0" w:line="133" w:lineRule="exact"/>
              <w:rPr>
                <w:rFonts w:ascii="Arial" w:cs="Arial" w:eastAsia="Arial" w:hAnsi="Arial"/>
                <w:sz w:val="12"/>
                <w:szCs w:val="12"/>
                <w:color w:val="0000EE"/>
              </w:rPr>
            </w:pPr>
            <w:hyperlink w:anchor="page73">
              <w:r>
                <w:rPr>
                  <w:rFonts w:ascii="Arial" w:cs="Arial" w:eastAsia="Arial" w:hAnsi="Arial"/>
                  <w:sz w:val="12"/>
                  <w:szCs w:val="12"/>
                  <w:color w:val="0000EE"/>
                </w:rPr>
                <w:t>Consolidated Statements of Comprehensive Income (Loss)</w:t>
              </w:r>
            </w:hyperlink>
          </w:p>
        </w:tc>
        <w:tc>
          <w:tcPr>
            <w:tcW w:w="75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73</w:t>
            </w:r>
          </w:p>
        </w:tc>
      </w:tr>
      <w:tr>
        <w:trPr>
          <w:trHeight w:val="133"/>
        </w:trPr>
        <w:tc>
          <w:tcPr>
            <w:tcW w:w="2380" w:type="dxa"/>
            <w:vAlign w:val="bottom"/>
            <w:tcBorders>
              <w:top w:val="single" w:sz="8" w:color="0000EE"/>
              <w:bottom w:val="single" w:sz="8" w:color="0000EE"/>
            </w:tcBorders>
            <w:gridSpan w:val="5"/>
          </w:tcPr>
          <w:p>
            <w:pPr>
              <w:spacing w:after="0" w:line="133" w:lineRule="exact"/>
              <w:rPr>
                <w:rFonts w:ascii="Arial" w:cs="Arial" w:eastAsia="Arial" w:hAnsi="Arial"/>
                <w:sz w:val="12"/>
                <w:szCs w:val="12"/>
                <w:color w:val="0000EE"/>
                <w:w w:val="90"/>
              </w:rPr>
            </w:pPr>
            <w:hyperlink w:anchor="page74">
              <w:r>
                <w:rPr>
                  <w:rFonts w:ascii="Arial" w:cs="Arial" w:eastAsia="Arial" w:hAnsi="Arial"/>
                  <w:sz w:val="12"/>
                  <w:szCs w:val="12"/>
                  <w:color w:val="0000EE"/>
                  <w:w w:val="90"/>
                </w:rPr>
                <w:t>Consolidated Statements of Shareholders’ Deficit</w:t>
              </w:r>
            </w:hyperlink>
          </w:p>
        </w:tc>
        <w:tc>
          <w:tcPr>
            <w:tcW w:w="440" w:type="dxa"/>
            <w:vAlign w:val="bottom"/>
            <w:tcBorders>
              <w:top w:val="single" w:sz="8" w:color="0000EE"/>
            </w:tcBorders>
            <w:gridSpan w:val="2"/>
          </w:tcPr>
          <w:p>
            <w:pPr>
              <w:spacing w:after="0"/>
              <w:rPr>
                <w:sz w:val="11"/>
                <w:szCs w:val="11"/>
                <w:color w:val="auto"/>
              </w:rPr>
            </w:pPr>
          </w:p>
        </w:tc>
        <w:tc>
          <w:tcPr>
            <w:tcW w:w="960" w:type="dxa"/>
            <w:vAlign w:val="bottom"/>
          </w:tcPr>
          <w:p>
            <w:pPr>
              <w:spacing w:after="0"/>
              <w:rPr>
                <w:sz w:val="11"/>
                <w:szCs w:val="11"/>
                <w:color w:val="auto"/>
              </w:rPr>
            </w:pPr>
          </w:p>
        </w:tc>
        <w:tc>
          <w:tcPr>
            <w:tcW w:w="75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74</w:t>
            </w:r>
          </w:p>
        </w:tc>
      </w:tr>
      <w:tr>
        <w:trPr>
          <w:trHeight w:val="133"/>
        </w:trPr>
        <w:tc>
          <w:tcPr>
            <w:tcW w:w="3780" w:type="dxa"/>
            <w:vAlign w:val="bottom"/>
            <w:gridSpan w:val="8"/>
          </w:tcPr>
          <w:p>
            <w:pPr>
              <w:spacing w:after="0" w:line="133" w:lineRule="exact"/>
              <w:rPr>
                <w:rFonts w:ascii="Arial" w:cs="Arial" w:eastAsia="Arial" w:hAnsi="Arial"/>
                <w:sz w:val="12"/>
                <w:szCs w:val="12"/>
                <w:color w:val="0000EE"/>
              </w:rPr>
            </w:pPr>
            <w:hyperlink w:anchor="page76">
              <w:r>
                <w:rPr>
                  <w:rFonts w:ascii="Arial" w:cs="Arial" w:eastAsia="Arial" w:hAnsi="Arial"/>
                  <w:sz w:val="12"/>
                  <w:szCs w:val="12"/>
                  <w:color w:val="0000EE"/>
                </w:rPr>
                <w:t>Consolidated Statements of Cash Flows</w:t>
              </w:r>
            </w:hyperlink>
          </w:p>
        </w:tc>
        <w:tc>
          <w:tcPr>
            <w:tcW w:w="75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76</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133"/>
        </w:trPr>
        <w:tc>
          <w:tcPr>
            <w:tcW w:w="3780" w:type="dxa"/>
            <w:vAlign w:val="bottom"/>
            <w:gridSpan w:val="8"/>
          </w:tcPr>
          <w:p>
            <w:pPr>
              <w:spacing w:after="0" w:line="133" w:lineRule="exact"/>
              <w:rPr>
                <w:rFonts w:ascii="Arial" w:cs="Arial" w:eastAsia="Arial" w:hAnsi="Arial"/>
                <w:sz w:val="12"/>
                <w:szCs w:val="12"/>
                <w:color w:val="0000EE"/>
              </w:rPr>
            </w:pPr>
            <w:hyperlink w:anchor="page78">
              <w:r>
                <w:rPr>
                  <w:rFonts w:ascii="Arial" w:cs="Arial" w:eastAsia="Arial" w:hAnsi="Arial"/>
                  <w:sz w:val="12"/>
                  <w:szCs w:val="12"/>
                  <w:color w:val="0000EE"/>
                </w:rPr>
                <w:t>Notes to Consolidated Financial Statements</w:t>
              </w:r>
            </w:hyperlink>
          </w:p>
        </w:tc>
        <w:tc>
          <w:tcPr>
            <w:tcW w:w="75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78</w:t>
            </w:r>
          </w:p>
        </w:tc>
      </w:tr>
      <w:tr>
        <w:trPr>
          <w:trHeight w:val="736"/>
        </w:trPr>
        <w:tc>
          <w:tcPr>
            <w:tcW w:w="1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tcPr>
          <w:p>
            <w:pPr>
              <w:jc w:val="center"/>
              <w:ind w:right="2780"/>
              <w:spacing w:after="0"/>
              <w:rPr>
                <w:sz w:val="20"/>
                <w:szCs w:val="20"/>
                <w:color w:val="auto"/>
              </w:rPr>
            </w:pPr>
            <w:r>
              <w:rPr>
                <w:rFonts w:ascii="Arial" w:cs="Arial" w:eastAsia="Arial" w:hAnsi="Arial"/>
                <w:sz w:val="12"/>
                <w:szCs w:val="12"/>
                <w:color w:val="auto"/>
                <w:w w:val="89"/>
              </w:rPr>
              <w:t>66</w:t>
            </w:r>
          </w:p>
        </w:tc>
        <w:tc>
          <w:tcPr>
            <w:tcW w:w="960" w:type="dxa"/>
            <w:vAlign w:val="bottom"/>
          </w:tcPr>
          <w:p>
            <w:pPr>
              <w:spacing w:after="0"/>
              <w:rPr>
                <w:sz w:val="24"/>
                <w:szCs w:val="24"/>
                <w:color w:val="auto"/>
              </w:rPr>
            </w:pPr>
          </w:p>
        </w:tc>
      </w:tr>
      <w:tr>
        <w:trPr>
          <w:trHeight w:val="72"/>
        </w:trPr>
        <w:tc>
          <w:tcPr>
            <w:tcW w:w="13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5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Uniti Group Inc.</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We have audited the accompanying consolidated balance sheets of Uniti Group Inc. and its subsidiaries (the “Company”) as of December 31, 2019 and 2018, and the related consolidated statements of income, of comprehensive income (loss), of shareholders’ deficit and of cash flows for each of the three years in the period ended December 31, 2019, including the related notes and financial statement schedules listed in the index appearing under Item 15 (collectively referred to as the “consolidated financial statements”). We also have audited the Company's internal control over financial reporting as of December 31, 2019,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(2013) issued by the Committee of Sponsoring Organizations of the Treadway Commission (COSO).</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did not maintain, in all material respects, effective internal control over financial reporting as of December 31, 2019,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(2013) issued by the COSO because a material weakness in internal control over financial reporting existed as of that date related to ineffective controls over the identification and valuation of certain assets in the application of the acquisition method of accounting for asset acquisitions.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Annual Report on Internal Control Over Financial Reporting appearing under Item 9A. We considered this material weakness in determining the nature, timing, and extent of audit tests applied in our audit of the 2019 consolidated financial statements, and our opinion regarding the effectiveness of the Company’s internal control over financial reporting does not affect our opinion on those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Substantial Doubt About the Company’s Ability to Continue as a Going Concern</w:t>
      </w:r>
    </w:p>
    <w:p>
      <w:pPr>
        <w:spacing w:after="0" w:line="150" w:lineRule="exact"/>
        <w:rPr>
          <w:sz w:val="20"/>
          <w:szCs w:val="20"/>
          <w:color w:val="auto"/>
        </w:rPr>
      </w:pPr>
    </w:p>
    <w:p>
      <w:pPr>
        <w:ind w:right="140"/>
        <w:spacing w:after="0" w:line="289" w:lineRule="auto"/>
        <w:rPr>
          <w:sz w:val="20"/>
          <w:szCs w:val="20"/>
          <w:color w:val="auto"/>
        </w:rPr>
      </w:pPr>
      <w:r>
        <w:rPr>
          <w:rFonts w:ascii="Arial" w:cs="Arial" w:eastAsia="Arial" w:hAnsi="Arial"/>
          <w:sz w:val="11"/>
          <w:szCs w:val="11"/>
          <w:color w:val="auto"/>
        </w:rPr>
        <w:t>The accompanying consolidated financial statements have been prepared assuming that the Company will continue as a going concern. As discussed in Note 2 to the consolidated financial statements, the Company’s most significant customer, Windstream Holdings, Inc., which accounts for approximately 65.0% of consolidated total revenues for the year ended December 31, 2019, filed a voluntary petition for relief under Chapter 11 of the Bankruptcy Code, and uncertainties surrounding potential impacts to the Company resulting from Windstream Holdings, Inc.’s bankruptcy filing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discussed in Note 3 to the consolidated financial statements, the Company changed the manner in which it accounts for leases in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Opinions</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Audit Matters</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 Impairment Assessment – Fiber Infrastructure Segment (the “Segment”)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As described in Notes 3 and 10 to the consolidated financial statements, the Company’s consolidated goodwill balance was $691 million as of December 31, 2019, all of which is associated with the Fiber Infrastructure</w:t>
      </w:r>
    </w:p>
    <w:p>
      <w:pPr>
        <w:spacing w:after="0" w:line="26"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segment. Management reviews goodwill for impairment at least annually in the fourth quarter, and evaluates goodwill for impairment between annual impairment tests if an event occurs or circumstances change that would more likely than not reduce the fair value of its reporting units (which are management’s segments) below its carrying amount. If the carrying amount of the Segment is greater than the Segment’s fair value, an impairment loss must be recognized for the excess and recorded on the consolidated statements of income. Management estimates fair value using a combination of an income approach based on the present value of estimated future cash flows of the Segment and a market approach based on market data of comparable businesses and acquisition multiples paid in recent transactions. Management evaluates the appropriateness of each valuation methodology in determining the weighting applied to each methodology in the determination of the concluded fair value. Inherent in the cash flow projections for the Segment are significant assumptions derived from management’s review of its operating results and business plans, including expected revenue and expense growth rates, capital expenditure plans and cost of capital.</w:t>
      </w:r>
    </w:p>
    <w:p>
      <w:pPr>
        <w:spacing w:after="0" w:line="130"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The principal considerations for our determination that performing procedures relating to the goodwill impairment assessment of the Fiber Infrastructure segment is a critical audit matter are there was significant judgment by management when determining the fair value measurement of the Segment, which in turn led to a high degree of auditor judgment and subjectivity in performing procedures to evaluate management’s valuation of the Segment. There was significant audit effort to evaluate the audit evidence related to management’s fair value estimate determined using a combination of an income approach and a market approach, including the weighting applied to each methodology, as well as significant assumptions used in the income approach such as revenue and expense growth rates, capital expenditure plans and cost of capital, and comparable businesses and acquisition multiples utilized in the market approach. In addition, the audit effort involved the use of professionals with specialized skill and knowledge to assist in performing these procedures and evaluating the audit evidence obtained.</w:t>
      </w:r>
    </w:p>
    <w:p>
      <w:pPr>
        <w:spacing w:after="0" w:line="113"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Segment. These procedures also included, among others, testing management’s process for determining the fair value estimate, including (i) evaluating the fair value of the Segment as determined using a combination of an income approach and a market approach, including the weighting applied to each methodology; (ii) testing the completeness, accuracy, and relevance of underlying data used in the discounted cash flow model and market approach; (iii) evaluating the significant assumptions used by management in the income approach, including the revenue and expense growth rates, capital expenditure plans and cost of capital; and (iv) evaluating the reasonableness of comparable businesses and acquisition multiples utilized in the market approach. Evaluating management’s assumptions used in the income approach involved evaluating whether the assumptions were reasonable considering (i) the current and past performance of the Segment, (ii) the consistency with external market and industry data, and (iii) whether these assumptions were consistent with evidence obtained in other areas of the audit. Evaluating the reasonableness of comparable businesses and acquisition multiples utilized in the market approach involved considering the consistency with external market data and recent transactions. Professionals with specialized skill and knowledge were used to assist in the evaluation of the fair value of the Segment as determined using a combination of an income approach and a market approach, including the weighting applied to each methodology, the appropriateness of management’s discounted cash flow model and the reasonableness of certain significant assumptions used by management in the income approach, including the revenue growth rates and cost of capital, and the reasonableness of the comparable businesses and acquisition multiples utilized in the market approach.</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Purchase Price Allocation - Bluebird Network Acquisition</w:t>
      </w:r>
    </w:p>
    <w:p>
      <w:pPr>
        <w:spacing w:after="0" w:line="150"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color w:val="auto"/>
        </w:rPr>
        <w:t>As described in Notes 3 and 6 to the consolidated financial statements, the Company completed the asset acquisition of Bluebird Network, LLC’ (“Bluebird Network”) on August 30, 2019 for total purchase consideration of $320.8 million. Management applies the acquisition method of accounting for acquisitions meeting the definition of an asset acquisition, where assets acquired and liabilities assumed are recorded at fair value at the date of the acquisition. Management uses significant judgment and estimates in determining the fair values of the assets acquired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liabilities assumed, which include assumptions with respect to items such as replacement cost, land value, assemblage factor, discount rate, lease-up period, implied rents per strand mile, and useful life.</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The principal considerations for our determination that performing procedures relating to the purchase price allocation of the Bluebird Network acquisition is a critical audit matter are (i) there was a high degree of auditor judgment and subjectivity in applying procedures relating to the fair value estimate of tangible and intangible assets acquired due to the significant amount of judgment by management when developing the estimate; (ii) there was significant audit effort in evaluating the significant assumptions relating to the fair value estimate, including the replacement cost, land value, assemblage factor, discount rate, lease-up period, implied rents per strand mile, and useful life; (iii) the audit effort involved the use of professionals with specialized skill and knowledge to assist in performing these procedures and evaluating the audit evidence obtained; and (iv) as described in the “Opinions on the Financial Statements and Internal Control over Financial Reporting” section, a material weakness was identified related to this matter.</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Addressing the matter involved performing procedures and evaluating audit evidence in connection with forming our overall opinion on the consolidated financial statements. These procedures included, among others, (i) reading the purchase agreement; (ii) testing management’s process for estimating the fair value of the tangible and intangible assets; (iii) testing the completeness, accuracy, and relevance of underlying data used in the fair value estimates; and (iv) evaluating the appropriateness of the valuation methods and the reasonableness of significant assumptions, including the replacement cost, land value, assemblage factor, discount rate, lease-up period, implied rents per strand mile, and useful life, using professionals with specialized skill and knowledge to assist in doing so. Evaluating the reasonableness of the replacement cost assumption involved considering the historical cost of constructing fiber network. The land value, assemblage factor, discount rate, lease-up period, and implied rents per strand mile assumptions were evaluated by considering the consistency with external market and industry data. The estimate of useful life was evaluated by considering whether the assumption was consistent with evidence obtained in other areas of the audit.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12, 2020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2014.</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00" w:type="dxa"/>
            <w:vAlign w:val="bottom"/>
            <w:gridSpan w:val="2"/>
          </w:tcPr>
          <w:p>
            <w:pPr>
              <w:spacing w:after="0"/>
              <w:rPr>
                <w:sz w:val="20"/>
                <w:szCs w:val="20"/>
                <w:color w:val="auto"/>
              </w:rPr>
            </w:pPr>
            <w:r>
              <w:rPr>
                <w:rFonts w:ascii="Arial" w:cs="Arial" w:eastAsia="Arial" w:hAnsi="Arial"/>
                <w:sz w:val="10"/>
                <w:szCs w:val="10"/>
                <w:color w:val="auto"/>
              </w:rPr>
              <w:t>(Thousands, except par value)</w:t>
            </w:r>
          </w:p>
        </w:tc>
        <w:tc>
          <w:tcPr>
            <w:tcW w:w="260" w:type="dxa"/>
            <w:vAlign w:val="bottom"/>
          </w:tcPr>
          <w:p>
            <w:pPr>
              <w:spacing w:after="0"/>
              <w:rPr>
                <w:sz w:val="10"/>
                <w:szCs w:val="10"/>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December 31, 2019</w:t>
            </w:r>
          </w:p>
        </w:tc>
        <w:tc>
          <w:tcPr>
            <w:tcW w:w="260" w:type="dxa"/>
            <w:vAlign w:val="bottom"/>
          </w:tcPr>
          <w:p>
            <w:pPr>
              <w:spacing w:after="0"/>
              <w:rPr>
                <w:sz w:val="10"/>
                <w:szCs w:val="10"/>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60"/>
        </w:trPr>
        <w:tc>
          <w:tcPr>
            <w:tcW w:w="7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Property, plant and equipment, net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3,409,945</w:t>
            </w:r>
          </w:p>
        </w:tc>
        <w:tc>
          <w:tcPr>
            <w:tcW w:w="28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3,209,006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142,813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Accounts receivable, net</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77,623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104,063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Goodwill</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690,672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692,385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Intangible assets, net</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531,979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432,821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Straight-line revenue receivable</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Derivative asset</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31,043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161,560</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5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5,017,000</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4,592,937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5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Liabilities, Convertible Preferred Stock and Shareholders' Deficit:</w:t>
            </w:r>
          </w:p>
        </w:tc>
        <w:tc>
          <w:tcPr>
            <w:tcW w:w="26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Accounts payable, accrued expenses and other liabilities, net</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227,121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94,179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Accrued interest payable</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28,800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28,097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Deferred revenue</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1,070,671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726,262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Derivative liability</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23,679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Dividends payable</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43,282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113,744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24,431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52,434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Finance lease obligations</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52,994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55,282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Contingent consideration</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11,507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83,401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Notes and other debt, net</w:t>
            </w:r>
          </w:p>
        </w:tc>
        <w:tc>
          <w:tcPr>
            <w:tcW w:w="2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5,017,679</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4,846,233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00" w:type="dxa"/>
            <w:vAlign w:val="bottom"/>
            <w:tcBorders>
              <w:bottom w:val="single" w:sz="8" w:color="CFF0FC"/>
            </w:tcBorders>
            <w:gridSpan w:val="2"/>
          </w:tcPr>
          <w:p>
            <w:pPr>
              <w:ind w:left="340"/>
              <w:spacing w:after="0"/>
              <w:rPr>
                <w:sz w:val="20"/>
                <w:szCs w:val="20"/>
                <w:color w:val="auto"/>
              </w:rPr>
            </w:pPr>
            <w:r>
              <w:rPr>
                <w:rFonts w:ascii="Arial" w:cs="Arial" w:eastAsia="Arial" w:hAnsi="Arial"/>
                <w:sz w:val="12"/>
                <w:szCs w:val="12"/>
                <w:color w:val="auto"/>
              </w:rPr>
              <w:t>Total liabilities</w:t>
            </w: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6,500,164</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5,999,632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Arial" w:cs="Arial" w:eastAsia="Arial" w:hAnsi="Arial"/>
                <w:sz w:val="12"/>
                <w:szCs w:val="12"/>
                <w:color w:val="auto"/>
              </w:rPr>
              <w:t>Commitments and contingencies (Note 15)</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500" w:type="dxa"/>
            <w:vAlign w:val="bottom"/>
            <w:gridSpan w:val="2"/>
          </w:tcPr>
          <w:p>
            <w:pPr>
              <w:spacing w:after="0"/>
              <w:rPr>
                <w:sz w:val="20"/>
                <w:szCs w:val="20"/>
                <w:color w:val="auto"/>
              </w:rPr>
            </w:pPr>
            <w:r>
              <w:rPr>
                <w:rFonts w:ascii="Arial" w:cs="Arial" w:eastAsia="Arial" w:hAnsi="Arial"/>
                <w:sz w:val="12"/>
                <w:szCs w:val="12"/>
                <w:b w:val="1"/>
                <w:bCs w:val="1"/>
                <w:color w:val="auto"/>
                <w:w w:val="97"/>
              </w:rPr>
              <w:t xml:space="preserve">Convertible Preferred Stock, </w:t>
            </w:r>
            <w:r>
              <w:rPr>
                <w:rFonts w:ascii="Arial" w:cs="Arial" w:eastAsia="Arial" w:hAnsi="Arial"/>
                <w:sz w:val="12"/>
                <w:szCs w:val="12"/>
                <w:color w:val="auto"/>
                <w:w w:val="97"/>
              </w:rPr>
              <w:t>Series A, $0.0001 par value, no shares authorized at December 31, 2019 and 88 shares authorized and issued at</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Arial" w:cs="Arial" w:eastAsia="Arial" w:hAnsi="Arial"/>
                <w:sz w:val="12"/>
                <w:szCs w:val="12"/>
                <w:color w:val="auto"/>
              </w:rPr>
              <w:t>December 31, 2018, $87,500 liquidation value</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86,508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Arial" w:cs="Arial" w:eastAsia="Arial" w:hAnsi="Arial"/>
                <w:sz w:val="12"/>
                <w:szCs w:val="12"/>
                <w:b w:val="1"/>
                <w:bCs w:val="1"/>
                <w:color w:val="auto"/>
              </w:rPr>
              <w:t>Shareholders' Deficit:</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500" w:type="dxa"/>
            <w:vAlign w:val="bottom"/>
            <w:gridSpan w:val="2"/>
          </w:tcPr>
          <w:p>
            <w:pPr>
              <w:ind w:left="160"/>
              <w:spacing w:after="0"/>
              <w:rPr>
                <w:sz w:val="20"/>
                <w:szCs w:val="20"/>
                <w:color w:val="auto"/>
              </w:rPr>
            </w:pPr>
            <w:r>
              <w:rPr>
                <w:rFonts w:ascii="Arial" w:cs="Arial" w:eastAsia="Arial" w:hAnsi="Arial"/>
                <w:sz w:val="12"/>
                <w:szCs w:val="12"/>
                <w:color w:val="auto"/>
                <w:w w:val="96"/>
              </w:rPr>
              <w:t>Common stock, $0.0001 par value, 500,000 shares authorized, issued and outstanding:  192,142 shares at December 31, 2019 and 180,536 at</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December 31, 2018</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951,295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757,517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ind w:left="160"/>
              <w:spacing w:after="0"/>
              <w:rPr>
                <w:sz w:val="20"/>
                <w:szCs w:val="20"/>
                <w:color w:val="auto"/>
              </w:rPr>
            </w:pPr>
            <w:r>
              <w:rPr>
                <w:rFonts w:ascii="Arial" w:cs="Arial" w:eastAsia="Arial" w:hAnsi="Arial"/>
                <w:sz w:val="12"/>
                <w:szCs w:val="12"/>
                <w:color w:val="auto"/>
              </w:rPr>
              <w:t>Accumulated other comprehensive (loss) income</w:t>
            </w:r>
          </w:p>
        </w:tc>
        <w:tc>
          <w:tcPr>
            <w:tcW w:w="260" w:type="dxa"/>
            <w:vAlign w:val="bottom"/>
          </w:tcPr>
          <w:p>
            <w:pPr>
              <w:spacing w:after="0"/>
              <w:rPr>
                <w:sz w:val="13"/>
                <w:szCs w:val="1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(23,442)</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30,105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Distributions in excess of accumulated earnings</w:t>
            </w:r>
          </w:p>
        </w:tc>
        <w:tc>
          <w:tcPr>
            <w:tcW w:w="26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(2,494,740)</w:t>
            </w:r>
          </w:p>
        </w:tc>
        <w:tc>
          <w:tcPr>
            <w:tcW w:w="2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(2,373,218)</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160"/>
              <w:spacing w:after="0"/>
              <w:rPr>
                <w:sz w:val="20"/>
                <w:szCs w:val="20"/>
                <w:color w:val="auto"/>
              </w:rPr>
            </w:pPr>
            <w:r>
              <w:rPr>
                <w:rFonts w:ascii="Arial" w:cs="Arial" w:eastAsia="Arial" w:hAnsi="Arial"/>
                <w:sz w:val="12"/>
                <w:szCs w:val="12"/>
                <w:color w:val="auto"/>
              </w:rPr>
              <w:t>Total Uniti shareholders' deficit</w:t>
            </w: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(1,566,868)</w:t>
            </w:r>
          </w:p>
        </w:tc>
        <w:tc>
          <w:tcPr>
            <w:tcW w:w="26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(1,585,578)</w:t>
            </w: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Noncontrolling interests - operating partnership units</w:t>
            </w:r>
          </w:p>
        </w:tc>
        <w:tc>
          <w:tcPr>
            <w:tcW w:w="2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83,704</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92,375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00" w:type="dxa"/>
            <w:vAlign w:val="bottom"/>
            <w:gridSpan w:val="2"/>
          </w:tcPr>
          <w:p>
            <w:pPr>
              <w:ind w:left="340"/>
              <w:spacing w:after="0"/>
              <w:rPr>
                <w:sz w:val="20"/>
                <w:szCs w:val="20"/>
                <w:color w:val="auto"/>
              </w:rPr>
            </w:pPr>
            <w:r>
              <w:rPr>
                <w:rFonts w:ascii="Arial" w:cs="Arial" w:eastAsia="Arial" w:hAnsi="Arial"/>
                <w:sz w:val="12"/>
                <w:szCs w:val="12"/>
                <w:color w:val="auto"/>
              </w:rPr>
              <w:t>Total shareholders' deficit</w:t>
            </w:r>
          </w:p>
        </w:tc>
        <w:tc>
          <w:tcPr>
            <w:tcW w:w="26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(1,483,164)</w:t>
            </w:r>
          </w:p>
        </w:tc>
        <w:tc>
          <w:tcPr>
            <w:tcW w:w="26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2"/>
                <w:szCs w:val="12"/>
                <w:color w:val="auto"/>
              </w:rPr>
              <w:t>(1,493,203)</w:t>
            </w:r>
          </w:p>
        </w:tc>
        <w:tc>
          <w:tcPr>
            <w:tcW w:w="0" w:type="dxa"/>
            <w:vAlign w:val="bottom"/>
          </w:tcPr>
          <w:p>
            <w:pPr>
              <w:spacing w:after="0"/>
              <w:rPr>
                <w:sz w:val="1"/>
                <w:szCs w:val="1"/>
                <w:color w:val="auto"/>
              </w:rPr>
            </w:pPr>
          </w:p>
        </w:tc>
      </w:tr>
      <w:tr>
        <w:trPr>
          <w:trHeight w:val="149"/>
        </w:trPr>
        <w:tc>
          <w:tcPr>
            <w:tcW w:w="7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Total Liabilities, Convertible Preferred Stock, and Shareholders' Deficit</w:t>
            </w:r>
          </w:p>
        </w:tc>
        <w:tc>
          <w:tcPr>
            <w:tcW w:w="26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5,017,000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4,592,937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0"/>
                <w:szCs w:val="10"/>
                <w:b w:val="1"/>
                <w:bCs w:val="1"/>
                <w:color w:val="auto"/>
                <w:w w:val="99"/>
              </w:rPr>
              <w:t>Year Ended December 31,</w:t>
            </w:r>
          </w:p>
        </w:tc>
        <w:tc>
          <w:tcPr>
            <w:tcW w:w="4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160" w:type="dxa"/>
            <w:vAlign w:val="bottom"/>
            <w:gridSpan w:val="2"/>
          </w:tcPr>
          <w:p>
            <w:pPr>
              <w:spacing w:after="0"/>
              <w:rPr>
                <w:sz w:val="20"/>
                <w:szCs w:val="20"/>
                <w:color w:val="auto"/>
              </w:rPr>
            </w:pPr>
            <w:r>
              <w:rPr>
                <w:rFonts w:ascii="Arial" w:cs="Arial" w:eastAsia="Arial" w:hAnsi="Arial"/>
                <w:sz w:val="10"/>
                <w:szCs w:val="10"/>
                <w:color w:val="auto"/>
              </w:rPr>
              <w:t>(Thousands, except per share data)</w:t>
            </w:r>
          </w:p>
        </w:tc>
        <w:tc>
          <w:tcPr>
            <w:tcW w:w="460" w:type="dxa"/>
            <w:vAlign w:val="bottom"/>
          </w:tcPr>
          <w:p>
            <w:pPr>
              <w:spacing w:after="0"/>
              <w:rPr>
                <w:sz w:val="13"/>
                <w:szCs w:val="13"/>
                <w:color w:val="auto"/>
              </w:rPr>
            </w:pPr>
          </w:p>
        </w:tc>
        <w:tc>
          <w:tcPr>
            <w:tcW w:w="1400" w:type="dxa"/>
            <w:vAlign w:val="bottom"/>
          </w:tcPr>
          <w:p>
            <w:pPr>
              <w:jc w:val="right"/>
              <w:ind w:right="760"/>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ind w:right="781"/>
              <w:spacing w:after="0"/>
              <w:rPr>
                <w:sz w:val="20"/>
                <w:szCs w:val="20"/>
                <w:color w:val="auto"/>
              </w:rPr>
            </w:pPr>
            <w:r>
              <w:rPr>
                <w:rFonts w:ascii="Arial" w:cs="Arial" w:eastAsia="Arial" w:hAnsi="Arial"/>
                <w:sz w:val="10"/>
                <w:szCs w:val="10"/>
                <w:b w:val="1"/>
                <w:bCs w:val="1"/>
                <w:color w:val="auto"/>
              </w:rPr>
              <w:t>2018</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ind w:right="780"/>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Revenues:</w:t>
            </w:r>
          </w:p>
        </w:tc>
        <w:tc>
          <w:tcPr>
            <w:tcW w:w="1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Leasing</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716,640</w:t>
            </w:r>
          </w:p>
        </w:tc>
        <w:tc>
          <w:tcPr>
            <w:tcW w:w="22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699,847</w:t>
            </w:r>
          </w:p>
        </w:tc>
        <w:tc>
          <w:tcPr>
            <w:tcW w:w="220" w:type="dxa"/>
            <w:vAlign w:val="bottom"/>
          </w:tcPr>
          <w:p>
            <w:pPr>
              <w:spacing w:after="0"/>
              <w:rPr>
                <w:sz w:val="13"/>
                <w:szCs w:val="13"/>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685,099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Fiber Infrastructure</w:t>
            </w:r>
          </w:p>
        </w:tc>
        <w:tc>
          <w:tcPr>
            <w:tcW w:w="4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315,605</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289,239</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Tower</w:t>
            </w: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14,693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14,617</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10,055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Consumer CLEC</w:t>
            </w:r>
          </w:p>
        </w:tc>
        <w:tc>
          <w:tcPr>
            <w:tcW w:w="4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10,673</w:t>
            </w:r>
          </w:p>
        </w:tc>
        <w:tc>
          <w:tcPr>
            <w:tcW w:w="2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60" w:type="dxa"/>
            <w:vAlign w:val="bottom"/>
            <w:gridSpan w:val="2"/>
          </w:tcPr>
          <w:p>
            <w:pPr>
              <w:ind w:left="320"/>
              <w:spacing w:after="0"/>
              <w:rPr>
                <w:sz w:val="20"/>
                <w:szCs w:val="20"/>
                <w:color w:val="auto"/>
              </w:rPr>
            </w:pPr>
            <w:r>
              <w:rPr>
                <w:rFonts w:ascii="Arial" w:cs="Arial" w:eastAsia="Arial" w:hAnsi="Arial"/>
                <w:sz w:val="12"/>
                <w:szCs w:val="12"/>
                <w:color w:val="auto"/>
              </w:rPr>
              <w:t>Total revenues</w:t>
            </w:r>
          </w:p>
        </w:tc>
        <w:tc>
          <w:tcPr>
            <w:tcW w:w="4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1,057,611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1,017,634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916,032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4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Interest expense, net</w:t>
            </w: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390,112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319,591</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305,994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4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405,754</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General and administrative expense</w:t>
            </w: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102,900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85,198</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72,045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Operating expense (exclusive of depreciation, accretion and amortization)</w:t>
            </w:r>
          </w:p>
        </w:tc>
        <w:tc>
          <w:tcPr>
            <w:tcW w:w="4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160,024</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137,065</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102,176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Transaction related and other costs</w:t>
            </w: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43,708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17,410</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38,005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Gain on sale of real estate</w:t>
            </w:r>
          </w:p>
        </w:tc>
        <w:tc>
          <w:tcPr>
            <w:tcW w:w="46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(28,995)</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Other (income) expense</w:t>
            </w:r>
          </w:p>
        </w:tc>
        <w:tc>
          <w:tcPr>
            <w:tcW w:w="460" w:type="dxa"/>
            <w:vAlign w:val="bottom"/>
          </w:tcPr>
          <w:p>
            <w:pPr>
              <w:spacing w:after="0"/>
              <w:rPr>
                <w:sz w:val="13"/>
                <w:szCs w:val="1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(31,463)</w:t>
            </w:r>
          </w:p>
        </w:tc>
        <w:tc>
          <w:tcPr>
            <w:tcW w:w="240" w:type="dxa"/>
            <w:vAlign w:val="bottom"/>
          </w:tcPr>
          <w:p>
            <w:pPr>
              <w:spacing w:after="0"/>
              <w:rPr>
                <w:sz w:val="13"/>
                <w:szCs w:val="1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2"/>
                <w:szCs w:val="12"/>
                <w:color w:val="auto"/>
              </w:rPr>
              <w:t>(4,504)</w:t>
            </w: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11,284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60" w:type="dxa"/>
            <w:vAlign w:val="bottom"/>
            <w:tcBorders>
              <w:top w:val="single" w:sz="8" w:color="CFF0FC"/>
            </w:tcBorders>
            <w:gridSpan w:val="2"/>
            <w:shd w:val="clear" w:color="auto" w:fill="CFF0FC"/>
          </w:tcPr>
          <w:p>
            <w:pPr>
              <w:ind w:left="320"/>
              <w:spacing w:after="0"/>
              <w:rPr>
                <w:sz w:val="20"/>
                <w:szCs w:val="20"/>
                <w:color w:val="auto"/>
              </w:rPr>
            </w:pPr>
            <w:r>
              <w:rPr>
                <w:rFonts w:ascii="Arial" w:cs="Arial" w:eastAsia="Arial" w:hAnsi="Arial"/>
                <w:sz w:val="12"/>
                <w:szCs w:val="12"/>
                <w:color w:val="auto"/>
              </w:rPr>
              <w:t>Total costs and expenses</w:t>
            </w: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1,042,040</w:t>
            </w: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1,006,510</w:t>
            </w: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963,709</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Income (loss) before income taxes</w:t>
            </w:r>
          </w:p>
        </w:tc>
        <w:tc>
          <w:tcPr>
            <w:tcW w:w="4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15,571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11,124</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(47,677)</w:t>
            </w: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Income tax expense (benefit)</w:t>
            </w:r>
          </w:p>
        </w:tc>
        <w:tc>
          <w:tcPr>
            <w:tcW w:w="4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4,663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2"/>
                <w:szCs w:val="12"/>
                <w:color w:val="auto"/>
              </w:rPr>
              <w:t>(5,421)</w:t>
            </w:r>
          </w:p>
        </w:tc>
        <w:tc>
          <w:tcPr>
            <w:tcW w:w="460" w:type="dxa"/>
            <w:vAlign w:val="bottom"/>
          </w:tcPr>
          <w:p>
            <w:pPr>
              <w:spacing w:after="0"/>
              <w:rPr>
                <w:sz w:val="13"/>
                <w:szCs w:val="13"/>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income (loss)</w:t>
            </w: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gridSpan w:val="2"/>
            <w:vMerge w:val="continue"/>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Net income attributable to noncontrolling interests</w:t>
            </w: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w:t>
            </w: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Net income (loss) attributable to shareholders</w:t>
            </w:r>
          </w:p>
        </w:tc>
        <w:tc>
          <w:tcPr>
            <w:tcW w:w="46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10,582</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16,187</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(9,439)</w:t>
            </w: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Participating securities' share in earnings</w:t>
            </w:r>
          </w:p>
        </w:tc>
        <w:tc>
          <w:tcPr>
            <w:tcW w:w="460" w:type="dxa"/>
            <w:vAlign w:val="bottom"/>
          </w:tcPr>
          <w:p>
            <w:pPr>
              <w:spacing w:after="0"/>
              <w:rPr>
                <w:sz w:val="13"/>
                <w:szCs w:val="1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(549)</w:t>
            </w:r>
          </w:p>
        </w:tc>
        <w:tc>
          <w:tcPr>
            <w:tcW w:w="240" w:type="dxa"/>
            <w:vAlign w:val="bottom"/>
          </w:tcPr>
          <w:p>
            <w:pPr>
              <w:spacing w:after="0"/>
              <w:rPr>
                <w:sz w:val="13"/>
                <w:szCs w:val="1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2"/>
                <w:szCs w:val="12"/>
                <w:color w:val="auto"/>
              </w:rPr>
              <w:t>(2,594)</w:t>
            </w:r>
          </w:p>
        </w:tc>
        <w:tc>
          <w:tcPr>
            <w:tcW w:w="460" w:type="dxa"/>
            <w:vAlign w:val="bottom"/>
          </w:tcPr>
          <w:p>
            <w:pPr>
              <w:spacing w:after="0"/>
              <w:rPr>
                <w:sz w:val="13"/>
                <w:szCs w:val="13"/>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Dividends declared on convertible preferred stock</w:t>
            </w:r>
          </w:p>
        </w:tc>
        <w:tc>
          <w:tcPr>
            <w:tcW w:w="46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(656)</w:t>
            </w:r>
          </w:p>
        </w:tc>
        <w:tc>
          <w:tcPr>
            <w:tcW w:w="24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(2,624)</w:t>
            </w:r>
          </w:p>
        </w:tc>
        <w:tc>
          <w:tcPr>
            <w:tcW w:w="4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(2,624)</w:t>
            </w: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Amortization of discount on convertible preferred stock</w:t>
            </w:r>
          </w:p>
        </w:tc>
        <w:tc>
          <w:tcPr>
            <w:tcW w:w="460" w:type="dxa"/>
            <w:vAlign w:val="bottom"/>
          </w:tcPr>
          <w:p>
            <w:pPr>
              <w:spacing w:after="0"/>
              <w:rPr>
                <w:sz w:val="13"/>
                <w:szCs w:val="13"/>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2"/>
                <w:szCs w:val="12"/>
                <w:color w:val="auto"/>
              </w:rPr>
              <w:t>(993)</w:t>
            </w:r>
          </w:p>
        </w:tc>
        <w:tc>
          <w:tcPr>
            <w:tcW w:w="240" w:type="dxa"/>
            <w:vAlign w:val="bottom"/>
          </w:tcPr>
          <w:p>
            <w:pPr>
              <w:spacing w:after="0"/>
              <w:rPr>
                <w:sz w:val="13"/>
                <w:szCs w:val="1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2"/>
                <w:szCs w:val="12"/>
                <w:color w:val="auto"/>
              </w:rPr>
              <w:t>(2,980)</w:t>
            </w:r>
          </w:p>
        </w:tc>
        <w:tc>
          <w:tcPr>
            <w:tcW w:w="460" w:type="dxa"/>
            <w:vAlign w:val="bottom"/>
          </w:tcPr>
          <w:p>
            <w:pPr>
              <w:spacing w:after="0"/>
              <w:rPr>
                <w:sz w:val="13"/>
                <w:szCs w:val="13"/>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(2,980)</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income (loss) attributable to common shareholders</w:t>
            </w: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60" w:type="dxa"/>
            <w:vAlign w:val="bottom"/>
            <w:gridSpan w:val="2"/>
            <w:vMerge w:val="continue"/>
            <w:shd w:val="clear" w:color="auto" w:fill="CFF0FC"/>
          </w:tcPr>
          <w:p>
            <w:pPr>
              <w:spacing w:after="0"/>
              <w:rPr>
                <w:sz w:val="12"/>
                <w:szCs w:val="12"/>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8,384</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7,989</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(16,552)</w:t>
            </w:r>
          </w:p>
        </w:tc>
        <w:tc>
          <w:tcPr>
            <w:tcW w:w="0" w:type="dxa"/>
            <w:vAlign w:val="bottom"/>
          </w:tcPr>
          <w:p>
            <w:pPr>
              <w:spacing w:after="0"/>
              <w:rPr>
                <w:sz w:val="1"/>
                <w:szCs w:val="1"/>
                <w:color w:val="auto"/>
              </w:rPr>
            </w:pPr>
          </w:p>
        </w:tc>
      </w:tr>
      <w:tr>
        <w:trPr>
          <w:trHeight w:val="153"/>
        </w:trPr>
        <w:tc>
          <w:tcPr>
            <w:tcW w:w="50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Earnings (loss) per common share (Note 13):</w:t>
            </w:r>
          </w:p>
        </w:tc>
        <w:tc>
          <w:tcPr>
            <w:tcW w:w="4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tcPr>
          <w:p>
            <w:pPr>
              <w:ind w:left="160"/>
              <w:spacing w:after="0"/>
              <w:rPr>
                <w:sz w:val="20"/>
                <w:szCs w:val="20"/>
                <w:color w:val="auto"/>
              </w:rPr>
            </w:pPr>
            <w:r>
              <w:rPr>
                <w:rFonts w:ascii="Arial" w:cs="Arial" w:eastAsia="Arial" w:hAnsi="Arial"/>
                <w:sz w:val="12"/>
                <w:szCs w:val="12"/>
                <w:color w:val="auto"/>
              </w:rPr>
              <w:t>Basic</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0.04</w:t>
            </w:r>
          </w:p>
        </w:tc>
        <w:tc>
          <w:tcPr>
            <w:tcW w:w="22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0.05</w:t>
            </w:r>
          </w:p>
        </w:tc>
        <w:tc>
          <w:tcPr>
            <w:tcW w:w="220" w:type="dxa"/>
            <w:vAlign w:val="bottom"/>
          </w:tcPr>
          <w:p>
            <w:pPr>
              <w:spacing w:after="0"/>
              <w:rPr>
                <w:sz w:val="13"/>
                <w:szCs w:val="13"/>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27"/>
        </w:trPr>
        <w:tc>
          <w:tcPr>
            <w:tcW w:w="5160" w:type="dxa"/>
            <w:vAlign w:val="bottom"/>
            <w:gridSpan w:val="2"/>
            <w:vMerge w:val="restart"/>
            <w:shd w:val="clear" w:color="auto" w:fill="CFF0FC"/>
          </w:tcPr>
          <w:p>
            <w:pPr>
              <w:ind w:left="160"/>
              <w:spacing w:after="0"/>
              <w:rPr>
                <w:sz w:val="20"/>
                <w:szCs w:val="20"/>
                <w:color w:val="auto"/>
              </w:rPr>
            </w:pPr>
            <w:r>
              <w:rPr>
                <w:rFonts w:ascii="Arial" w:cs="Arial" w:eastAsia="Arial" w:hAnsi="Arial"/>
                <w:sz w:val="12"/>
                <w:szCs w:val="12"/>
                <w:color w:val="auto"/>
              </w:rPr>
              <w:t>Diluted</w:t>
            </w:r>
          </w:p>
        </w:tc>
        <w:tc>
          <w:tcPr>
            <w:tcW w:w="4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gridSpan w:val="2"/>
            <w:vMerge w:val="continue"/>
            <w:shd w:val="clear" w:color="auto" w:fill="CFF0FC"/>
          </w:tcPr>
          <w:p>
            <w:pPr>
              <w:spacing w:after="0"/>
              <w:rPr>
                <w:sz w:val="13"/>
                <w:szCs w:val="13"/>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r>
        <w:trPr>
          <w:trHeight w:val="153"/>
        </w:trPr>
        <w:tc>
          <w:tcPr>
            <w:tcW w:w="50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Weighted-average number of common shares outstanding</w:t>
            </w:r>
          </w:p>
        </w:tc>
        <w:tc>
          <w:tcPr>
            <w:tcW w:w="4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6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Basic</w:t>
            </w: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187,358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176,169</w:t>
            </w: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168,693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6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2"/>
                <w:szCs w:val="12"/>
                <w:color w:val="auto"/>
              </w:rPr>
              <w:t>Diluted</w:t>
            </w:r>
          </w:p>
        </w:tc>
        <w:tc>
          <w:tcPr>
            <w:tcW w:w="4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187,358</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177,071</w:t>
            </w:r>
          </w:p>
        </w:tc>
        <w:tc>
          <w:tcPr>
            <w:tcW w:w="2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168,989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0"/>
                <w:szCs w:val="10"/>
                <w:b w:val="1"/>
                <w:bCs w:val="1"/>
                <w:color w:val="auto"/>
              </w:rPr>
              <w:t>Year Ended December 31,</w:t>
            </w:r>
          </w:p>
        </w:tc>
        <w:tc>
          <w:tcPr>
            <w:tcW w:w="4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843"/>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480" w:type="dxa"/>
            <w:vAlign w:val="bottom"/>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40"/>
              <w:spacing w:after="0"/>
              <w:rPr>
                <w:sz w:val="20"/>
                <w:szCs w:val="20"/>
                <w:color w:val="auto"/>
              </w:rPr>
            </w:pPr>
            <w:r>
              <w:rPr>
                <w:rFonts w:ascii="Arial" w:cs="Arial" w:eastAsia="Arial" w:hAnsi="Arial"/>
                <w:sz w:val="12"/>
                <w:szCs w:val="12"/>
                <w:color w:val="auto"/>
                <w:w w:val="89"/>
              </w:rPr>
              <w:t>$</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153"/>
        </w:trPr>
        <w:tc>
          <w:tcPr>
            <w:tcW w:w="4700" w:type="dxa"/>
            <w:vAlign w:val="bottom"/>
            <w:gridSpan w:val="2"/>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Unrealized gain (loss) on derivative contracts</w:t>
            </w:r>
          </w:p>
        </w:tc>
        <w:tc>
          <w:tcPr>
            <w:tcW w:w="4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(54,612)</w:t>
            </w:r>
          </w:p>
        </w:tc>
        <w:tc>
          <w:tcPr>
            <w:tcW w:w="260" w:type="dxa"/>
            <w:vAlign w:val="bottom"/>
            <w:shd w:val="clear" w:color="auto" w:fill="CFF0FC"/>
          </w:tcPr>
          <w:p>
            <w:pPr>
              <w:spacing w:after="0"/>
              <w:rPr>
                <w:sz w:val="13"/>
                <w:szCs w:val="13"/>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24,251</w:t>
            </w: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00" w:type="dxa"/>
            <w:vAlign w:val="bottom"/>
            <w:gridSpan w:val="2"/>
          </w:tcPr>
          <w:p>
            <w:pPr>
              <w:ind w:left="160"/>
              <w:spacing w:after="0"/>
              <w:rPr>
                <w:sz w:val="20"/>
                <w:szCs w:val="20"/>
                <w:color w:val="auto"/>
              </w:rPr>
            </w:pPr>
            <w:r>
              <w:rPr>
                <w:rFonts w:ascii="Arial" w:cs="Arial" w:eastAsia="Arial" w:hAnsi="Arial"/>
                <w:sz w:val="12"/>
                <w:szCs w:val="12"/>
                <w:color w:val="auto"/>
              </w:rPr>
              <w:t>Changes in foreign currency translation</w:t>
            </w:r>
          </w:p>
        </w:tc>
        <w:tc>
          <w:tcPr>
            <w:tcW w:w="480" w:type="dxa"/>
            <w:vAlign w:val="bottom"/>
          </w:tcPr>
          <w:p>
            <w:pPr>
              <w:spacing w:after="0"/>
              <w:rPr>
                <w:sz w:val="13"/>
                <w:szCs w:val="13"/>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2"/>
                <w:szCs w:val="12"/>
                <w:color w:val="auto"/>
              </w:rPr>
              <w:t>(63)</w:t>
            </w:r>
          </w:p>
        </w:tc>
        <w:tc>
          <w:tcPr>
            <w:tcW w:w="260" w:type="dxa"/>
            <w:vAlign w:val="bottom"/>
          </w:tcPr>
          <w:p>
            <w:pPr>
              <w:spacing w:after="0"/>
              <w:rPr>
                <w:sz w:val="13"/>
                <w:szCs w:val="13"/>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2"/>
                <w:szCs w:val="12"/>
                <w:color w:val="auto"/>
              </w:rPr>
              <w:t>(1,440)</w:t>
            </w:r>
          </w:p>
        </w:tc>
        <w:tc>
          <w:tcPr>
            <w:tcW w:w="4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1,660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Other comprehensive income (loss)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(54,675)</w:t>
            </w:r>
          </w:p>
        </w:tc>
        <w:tc>
          <w:tcPr>
            <w:tcW w:w="26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22,811</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2"/>
                <w:szCs w:val="12"/>
                <w:color w:val="auto"/>
              </w:rPr>
              <w:t>Comprehensive income (loss)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2"/>
                <w:szCs w:val="12"/>
                <w:color w:val="auto"/>
              </w:rPr>
              <w:t>(43,767)</w:t>
            </w:r>
          </w:p>
        </w:tc>
        <w:tc>
          <w:tcPr>
            <w:tcW w:w="26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39,356</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5,727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Comprehensive income attributable to noncontrolling interest</w:t>
            </w:r>
          </w:p>
        </w:tc>
        <w:tc>
          <w:tcPr>
            <w:tcW w:w="4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(1,128)</w:t>
            </w:r>
          </w:p>
        </w:tc>
        <w:tc>
          <w:tcPr>
            <w:tcW w:w="260" w:type="dxa"/>
            <w:vAlign w:val="bottom"/>
            <w:shd w:val="clear" w:color="auto" w:fill="CFF0FC"/>
          </w:tcPr>
          <w:p>
            <w:pPr>
              <w:spacing w:after="0"/>
              <w:rPr>
                <w:sz w:val="13"/>
                <w:szCs w:val="13"/>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w:t>
            </w: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Comprehensive (loss) income attributable to common shareholders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200"/>
              <w:spacing w:after="0"/>
              <w:rPr>
                <w:sz w:val="20"/>
                <w:szCs w:val="20"/>
                <w:color w:val="auto"/>
              </w:rPr>
            </w:pPr>
            <w:r>
              <w:rPr>
                <w:rFonts w:ascii="Arial" w:cs="Arial" w:eastAsia="Arial" w:hAnsi="Arial"/>
                <w:sz w:val="12"/>
                <w:szCs w:val="12"/>
                <w:color w:val="auto"/>
              </w:rPr>
              <w:t>(42,639)</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38,472</w:t>
            </w:r>
          </w:p>
        </w:tc>
        <w:tc>
          <w:tcPr>
            <w:tcW w:w="240" w:type="dxa"/>
            <w:vAlign w:val="bottom"/>
          </w:tcPr>
          <w:p>
            <w:pPr>
              <w:spacing w:after="0"/>
              <w:rPr>
                <w:sz w:val="12"/>
                <w:szCs w:val="12"/>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4,751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Shareholders’ Deficit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color w:val="auto"/>
                <w:w w:val="86"/>
              </w:rPr>
              <w:t>Accumulated</w:t>
            </w:r>
          </w:p>
        </w:tc>
        <w:tc>
          <w:tcPr>
            <w:tcW w:w="900" w:type="dxa"/>
            <w:vAlign w:val="bottom"/>
            <w:gridSpan w:val="3"/>
          </w:tcPr>
          <w:p>
            <w:pPr>
              <w:jc w:val="center"/>
              <w:ind w:right="220"/>
              <w:spacing w:after="0"/>
              <w:rPr>
                <w:sz w:val="20"/>
                <w:szCs w:val="20"/>
                <w:color w:val="auto"/>
              </w:rPr>
            </w:pPr>
            <w:r>
              <w:rPr>
                <w:rFonts w:ascii="Arial" w:cs="Arial" w:eastAsia="Arial" w:hAnsi="Arial"/>
                <w:sz w:val="10"/>
                <w:szCs w:val="10"/>
                <w:color w:val="auto"/>
                <w:w w:val="91"/>
              </w:rPr>
              <w:t>Distributions in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color w:val="auto"/>
                <w:w w:val="87"/>
              </w:rPr>
              <w:t>Other</w:t>
            </w: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color w:val="auto"/>
                <w:w w:val="87"/>
              </w:rPr>
              <w:t>Excess of</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w w:val="95"/>
              </w:rPr>
              <w:t>Additional</w:t>
            </w:r>
          </w:p>
        </w:tc>
        <w:tc>
          <w:tcPr>
            <w:tcW w:w="900" w:type="dxa"/>
            <w:vAlign w:val="bottom"/>
            <w:gridSpan w:val="3"/>
          </w:tcPr>
          <w:p>
            <w:pPr>
              <w:jc w:val="center"/>
              <w:ind w:right="220"/>
              <w:spacing w:after="0" w:line="99" w:lineRule="exact"/>
              <w:rPr>
                <w:sz w:val="20"/>
                <w:szCs w:val="20"/>
                <w:color w:val="auto"/>
              </w:rPr>
            </w:pPr>
            <w:r>
              <w:rPr>
                <w:rFonts w:ascii="Arial" w:cs="Arial" w:eastAsia="Arial" w:hAnsi="Arial"/>
                <w:sz w:val="10"/>
                <w:szCs w:val="10"/>
                <w:color w:val="auto"/>
                <w:w w:val="85"/>
              </w:rPr>
              <w:t>Comprehensive</w:t>
            </w: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color w:val="auto"/>
                <w:w w:val="86"/>
              </w:rPr>
              <w:t>Accumulated</w:t>
            </w:r>
          </w:p>
        </w:tc>
        <w:tc>
          <w:tcPr>
            <w:tcW w:w="900" w:type="dxa"/>
            <w:vAlign w:val="bottom"/>
            <w:gridSpan w:val="3"/>
          </w:tcPr>
          <w:p>
            <w:pPr>
              <w:jc w:val="right"/>
              <w:ind w:right="280"/>
              <w:spacing w:after="0" w:line="99" w:lineRule="exact"/>
              <w:rPr>
                <w:sz w:val="20"/>
                <w:szCs w:val="20"/>
                <w:color w:val="auto"/>
              </w:rPr>
            </w:pPr>
            <w:r>
              <w:rPr>
                <w:rFonts w:ascii="Arial" w:cs="Arial" w:eastAsia="Arial" w:hAnsi="Arial"/>
                <w:sz w:val="10"/>
                <w:szCs w:val="10"/>
                <w:color w:val="auto"/>
                <w:w w:val="93"/>
              </w:rPr>
              <w:t>Noncontrolling</w:t>
            </w:r>
          </w:p>
        </w:tc>
        <w:tc>
          <w:tcPr>
            <w:tcW w:w="860" w:type="dxa"/>
            <w:vAlign w:val="bottom"/>
            <w:gridSpan w:val="3"/>
          </w:tcPr>
          <w:p>
            <w:pPr>
              <w:spacing w:after="0" w:line="99" w:lineRule="exact"/>
              <w:rPr>
                <w:sz w:val="20"/>
                <w:szCs w:val="20"/>
                <w:color w:val="auto"/>
              </w:rPr>
            </w:pPr>
            <w:r>
              <w:rPr>
                <w:rFonts w:ascii="Arial" w:cs="Arial" w:eastAsia="Arial" w:hAnsi="Arial"/>
                <w:sz w:val="10"/>
                <w:szCs w:val="10"/>
                <w:color w:val="auto"/>
                <w:w w:val="97"/>
              </w:rPr>
              <w:t>Total Shareholders'</w:t>
            </w:r>
          </w:p>
        </w:tc>
        <w:tc>
          <w:tcPr>
            <w:tcW w:w="0" w:type="dxa"/>
            <w:vAlign w:val="bottom"/>
          </w:tcPr>
          <w:p>
            <w:pPr>
              <w:spacing w:after="0"/>
              <w:rPr>
                <w:sz w:val="1"/>
                <w:szCs w:val="1"/>
                <w:color w:val="auto"/>
              </w:rPr>
            </w:pPr>
          </w:p>
        </w:tc>
      </w:tr>
      <w:tr>
        <w:trPr>
          <w:trHeight w:val="111"/>
        </w:trPr>
        <w:tc>
          <w:tcPr>
            <w:tcW w:w="3600" w:type="dxa"/>
            <w:vAlign w:val="bottom"/>
            <w:gridSpan w:val="2"/>
            <w:vMerge w:val="restart"/>
          </w:tcPr>
          <w:p>
            <w:pPr>
              <w:spacing w:after="0"/>
              <w:rPr>
                <w:sz w:val="20"/>
                <w:szCs w:val="20"/>
                <w:color w:val="auto"/>
              </w:rPr>
            </w:pPr>
            <w:r>
              <w:rPr>
                <w:rFonts w:ascii="Arial" w:cs="Arial" w:eastAsia="Arial" w:hAnsi="Arial"/>
                <w:sz w:val="10"/>
                <w:szCs w:val="10"/>
                <w:color w:val="auto"/>
              </w:rPr>
              <w:t>(Thousands, except share data)</w:t>
            </w:r>
          </w:p>
        </w:tc>
        <w:tc>
          <w:tcPr>
            <w:tcW w:w="160" w:type="dxa"/>
            <w:vAlign w:val="bottom"/>
          </w:tcPr>
          <w:p>
            <w:pPr>
              <w:spacing w:after="0"/>
              <w:rPr>
                <w:sz w:val="9"/>
                <w:szCs w:val="9"/>
                <w:color w:val="auto"/>
              </w:rPr>
            </w:pPr>
          </w:p>
        </w:tc>
        <w:tc>
          <w:tcPr>
            <w:tcW w:w="1400" w:type="dxa"/>
            <w:vAlign w:val="bottom"/>
            <w:gridSpan w:val="8"/>
          </w:tcPr>
          <w:p>
            <w:pPr>
              <w:ind w:left="220"/>
              <w:spacing w:after="0" w:line="112" w:lineRule="exact"/>
              <w:rPr>
                <w:sz w:val="20"/>
                <w:szCs w:val="20"/>
                <w:color w:val="auto"/>
              </w:rPr>
            </w:pPr>
            <w:r>
              <w:rPr>
                <w:rFonts w:ascii="Arial" w:cs="Arial" w:eastAsia="Arial" w:hAnsi="Arial"/>
                <w:sz w:val="10"/>
                <w:szCs w:val="10"/>
                <w:color w:val="auto"/>
              </w:rPr>
              <w:t>Preferred Stock</w:t>
            </w:r>
          </w:p>
        </w:tc>
        <w:tc>
          <w:tcPr>
            <w:tcW w:w="240" w:type="dxa"/>
            <w:vAlign w:val="bottom"/>
          </w:tcPr>
          <w:p>
            <w:pPr>
              <w:spacing w:after="0"/>
              <w:rPr>
                <w:sz w:val="9"/>
                <w:szCs w:val="9"/>
                <w:color w:val="auto"/>
              </w:rPr>
            </w:pPr>
          </w:p>
        </w:tc>
        <w:tc>
          <w:tcPr>
            <w:tcW w:w="840" w:type="dxa"/>
            <w:vAlign w:val="bottom"/>
            <w:gridSpan w:val="4"/>
          </w:tcPr>
          <w:p>
            <w:pPr>
              <w:jc w:val="right"/>
              <w:spacing w:after="0" w:line="112" w:lineRule="exact"/>
              <w:rPr>
                <w:sz w:val="20"/>
                <w:szCs w:val="20"/>
                <w:color w:val="auto"/>
              </w:rPr>
            </w:pPr>
            <w:r>
              <w:rPr>
                <w:rFonts w:ascii="Arial" w:cs="Arial" w:eastAsia="Arial" w:hAnsi="Arial"/>
                <w:sz w:val="10"/>
                <w:szCs w:val="10"/>
                <w:color w:val="auto"/>
              </w:rPr>
              <w:t>Common Stock</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jc w:val="right"/>
              <w:ind w:right="240"/>
              <w:spacing w:after="0" w:line="112" w:lineRule="exact"/>
              <w:rPr>
                <w:sz w:val="20"/>
                <w:szCs w:val="20"/>
                <w:color w:val="auto"/>
              </w:rPr>
            </w:pPr>
            <w:r>
              <w:rPr>
                <w:rFonts w:ascii="Arial" w:cs="Arial" w:eastAsia="Arial" w:hAnsi="Arial"/>
                <w:sz w:val="10"/>
                <w:szCs w:val="10"/>
                <w:color w:val="auto"/>
                <w:w w:val="89"/>
              </w:rPr>
              <w:t>Paid-in Capital</w:t>
            </w:r>
          </w:p>
        </w:tc>
        <w:tc>
          <w:tcPr>
            <w:tcW w:w="60" w:type="dxa"/>
            <w:vAlign w:val="bottom"/>
          </w:tcPr>
          <w:p>
            <w:pPr>
              <w:spacing w:after="0"/>
              <w:rPr>
                <w:sz w:val="9"/>
                <w:szCs w:val="9"/>
                <w:color w:val="auto"/>
              </w:rPr>
            </w:pPr>
          </w:p>
        </w:tc>
        <w:tc>
          <w:tcPr>
            <w:tcW w:w="840" w:type="dxa"/>
            <w:vAlign w:val="bottom"/>
            <w:gridSpan w:val="2"/>
          </w:tcPr>
          <w:p>
            <w:pPr>
              <w:jc w:val="center"/>
              <w:ind w:right="280"/>
              <w:spacing w:after="0" w:line="112" w:lineRule="exact"/>
              <w:rPr>
                <w:sz w:val="20"/>
                <w:szCs w:val="20"/>
                <w:color w:val="auto"/>
              </w:rPr>
            </w:pPr>
            <w:r>
              <w:rPr>
                <w:rFonts w:ascii="Arial" w:cs="Arial" w:eastAsia="Arial" w:hAnsi="Arial"/>
                <w:sz w:val="10"/>
                <w:szCs w:val="10"/>
                <w:color w:val="auto"/>
                <w:w w:val="88"/>
              </w:rPr>
              <w:t>(Loss) Income</w:t>
            </w:r>
          </w:p>
        </w:tc>
        <w:tc>
          <w:tcPr>
            <w:tcW w:w="60" w:type="dxa"/>
            <w:vAlign w:val="bottom"/>
          </w:tcPr>
          <w:p>
            <w:pPr>
              <w:spacing w:after="0"/>
              <w:rPr>
                <w:sz w:val="9"/>
                <w:szCs w:val="9"/>
                <w:color w:val="auto"/>
              </w:rPr>
            </w:pPr>
          </w:p>
        </w:tc>
        <w:tc>
          <w:tcPr>
            <w:tcW w:w="840" w:type="dxa"/>
            <w:vAlign w:val="bottom"/>
            <w:gridSpan w:val="2"/>
          </w:tcPr>
          <w:p>
            <w:pPr>
              <w:jc w:val="center"/>
              <w:ind w:right="300"/>
              <w:spacing w:after="0" w:line="112" w:lineRule="exact"/>
              <w:rPr>
                <w:sz w:val="20"/>
                <w:szCs w:val="20"/>
                <w:color w:val="auto"/>
              </w:rPr>
            </w:pPr>
            <w:r>
              <w:rPr>
                <w:rFonts w:ascii="Arial" w:cs="Arial" w:eastAsia="Arial" w:hAnsi="Arial"/>
                <w:sz w:val="10"/>
                <w:szCs w:val="10"/>
                <w:color w:val="auto"/>
                <w:w w:val="86"/>
              </w:rPr>
              <w:t>Earnings</w:t>
            </w:r>
          </w:p>
        </w:tc>
        <w:tc>
          <w:tcPr>
            <w:tcW w:w="100" w:type="dxa"/>
            <w:vAlign w:val="bottom"/>
          </w:tcPr>
          <w:p>
            <w:pPr>
              <w:spacing w:after="0"/>
              <w:rPr>
                <w:sz w:val="9"/>
                <w:szCs w:val="9"/>
                <w:color w:val="auto"/>
              </w:rPr>
            </w:pPr>
          </w:p>
        </w:tc>
        <w:tc>
          <w:tcPr>
            <w:tcW w:w="800" w:type="dxa"/>
            <w:vAlign w:val="bottom"/>
            <w:gridSpan w:val="2"/>
          </w:tcPr>
          <w:p>
            <w:pPr>
              <w:jc w:val="right"/>
              <w:ind w:right="400"/>
              <w:spacing w:after="0" w:line="112" w:lineRule="exact"/>
              <w:rPr>
                <w:sz w:val="20"/>
                <w:szCs w:val="20"/>
                <w:color w:val="auto"/>
              </w:rPr>
            </w:pPr>
            <w:r>
              <w:rPr>
                <w:rFonts w:ascii="Arial" w:cs="Arial" w:eastAsia="Arial" w:hAnsi="Arial"/>
                <w:sz w:val="10"/>
                <w:szCs w:val="10"/>
                <w:color w:val="auto"/>
                <w:w w:val="98"/>
              </w:rPr>
              <w:t>Interests</w:t>
            </w:r>
          </w:p>
        </w:tc>
        <w:tc>
          <w:tcPr>
            <w:tcW w:w="140" w:type="dxa"/>
            <w:vAlign w:val="bottom"/>
          </w:tcPr>
          <w:p>
            <w:pPr>
              <w:spacing w:after="0"/>
              <w:rPr>
                <w:sz w:val="9"/>
                <w:szCs w:val="9"/>
                <w:color w:val="auto"/>
              </w:rPr>
            </w:pPr>
          </w:p>
        </w:tc>
        <w:tc>
          <w:tcPr>
            <w:tcW w:w="720" w:type="dxa"/>
            <w:vAlign w:val="bottom"/>
            <w:gridSpan w:val="2"/>
          </w:tcPr>
          <w:p>
            <w:pPr>
              <w:jc w:val="right"/>
              <w:ind w:right="360"/>
              <w:spacing w:after="0" w:line="112" w:lineRule="exact"/>
              <w:rPr>
                <w:sz w:val="20"/>
                <w:szCs w:val="20"/>
                <w:color w:val="auto"/>
              </w:rPr>
            </w:pPr>
            <w:r>
              <w:rPr>
                <w:rFonts w:ascii="Arial" w:cs="Arial" w:eastAsia="Arial" w:hAnsi="Arial"/>
                <w:sz w:val="10"/>
                <w:szCs w:val="10"/>
                <w:color w:val="auto"/>
              </w:rPr>
              <w:t>Deficit</w:t>
            </w:r>
          </w:p>
        </w:tc>
        <w:tc>
          <w:tcPr>
            <w:tcW w:w="0" w:type="dxa"/>
            <w:vAlign w:val="bottom"/>
          </w:tcPr>
          <w:p>
            <w:pPr>
              <w:spacing w:after="0"/>
              <w:rPr>
                <w:sz w:val="1"/>
                <w:szCs w:val="1"/>
                <w:color w:val="auto"/>
              </w:rPr>
            </w:pPr>
          </w:p>
        </w:tc>
      </w:tr>
      <w:tr>
        <w:trPr>
          <w:trHeight w:val="88"/>
        </w:trPr>
        <w:tc>
          <w:tcPr>
            <w:tcW w:w="3600" w:type="dxa"/>
            <w:vAlign w:val="bottom"/>
            <w:gridSpan w:val="2"/>
            <w:vMerge w:val="continue"/>
          </w:tcPr>
          <w:p>
            <w:pPr>
              <w:spacing w:after="0"/>
              <w:rPr>
                <w:sz w:val="7"/>
                <w:szCs w:val="7"/>
                <w:color w:val="auto"/>
              </w:rPr>
            </w:pPr>
          </w:p>
        </w:tc>
        <w:tc>
          <w:tcPr>
            <w:tcW w:w="780" w:type="dxa"/>
            <w:vAlign w:val="bottom"/>
            <w:tcBorders>
              <w:top w:val="single" w:sz="8" w:color="auto"/>
            </w:tcBorders>
            <w:gridSpan w:val="4"/>
          </w:tcPr>
          <w:p>
            <w:pPr>
              <w:ind w:left="160"/>
              <w:spacing w:after="0" w:line="88" w:lineRule="exact"/>
              <w:rPr>
                <w:sz w:val="20"/>
                <w:szCs w:val="20"/>
                <w:color w:val="auto"/>
              </w:rPr>
            </w:pPr>
            <w:r>
              <w:rPr>
                <w:rFonts w:ascii="Arial" w:cs="Arial" w:eastAsia="Arial" w:hAnsi="Arial"/>
                <w:sz w:val="10"/>
                <w:szCs w:val="10"/>
                <w:color w:val="auto"/>
              </w:rPr>
              <w:t>Shares</w:t>
            </w: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gridSpan w:val="3"/>
          </w:tcPr>
          <w:p>
            <w:pPr>
              <w:jc w:val="right"/>
              <w:ind w:right="86"/>
              <w:spacing w:after="0" w:line="88" w:lineRule="exact"/>
              <w:rPr>
                <w:sz w:val="20"/>
                <w:szCs w:val="20"/>
                <w:color w:val="auto"/>
              </w:rPr>
            </w:pPr>
            <w:r>
              <w:rPr>
                <w:rFonts w:ascii="Arial" w:cs="Arial" w:eastAsia="Arial" w:hAnsi="Arial"/>
                <w:sz w:val="10"/>
                <w:szCs w:val="10"/>
                <w:color w:val="auto"/>
                <w:w w:val="92"/>
              </w:rPr>
              <w:t>Amount</w:t>
            </w:r>
          </w:p>
        </w:tc>
        <w:tc>
          <w:tcPr>
            <w:tcW w:w="200" w:type="dxa"/>
            <w:vAlign w:val="bottom"/>
          </w:tcPr>
          <w:p>
            <w:pPr>
              <w:spacing w:after="0"/>
              <w:rPr>
                <w:sz w:val="7"/>
                <w:szCs w:val="7"/>
                <w:color w:val="auto"/>
              </w:rPr>
            </w:pPr>
          </w:p>
        </w:tc>
        <w:tc>
          <w:tcPr>
            <w:tcW w:w="960" w:type="dxa"/>
            <w:vAlign w:val="bottom"/>
            <w:tcBorders>
              <w:top w:val="single" w:sz="8" w:color="auto"/>
            </w:tcBorders>
            <w:gridSpan w:val="4"/>
          </w:tcPr>
          <w:p>
            <w:pPr>
              <w:ind w:left="240"/>
              <w:spacing w:after="0" w:line="88" w:lineRule="exact"/>
              <w:rPr>
                <w:sz w:val="20"/>
                <w:szCs w:val="20"/>
                <w:color w:val="auto"/>
              </w:rPr>
            </w:pPr>
            <w:r>
              <w:rPr>
                <w:rFonts w:ascii="Arial" w:cs="Arial" w:eastAsia="Arial" w:hAnsi="Arial"/>
                <w:sz w:val="10"/>
                <w:szCs w:val="10"/>
                <w:color w:val="auto"/>
              </w:rPr>
              <w:t>Shares</w:t>
            </w: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color w:val="auto"/>
                <w:w w:val="86"/>
              </w:rPr>
              <w:t>Amount</w:t>
            </w: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00" w:type="dxa"/>
            <w:vAlign w:val="bottom"/>
            <w:gridSpan w:val="2"/>
            <w:shd w:val="clear" w:color="auto" w:fill="CFF0FC"/>
          </w:tcPr>
          <w:p>
            <w:pPr>
              <w:spacing w:after="0" w:line="122" w:lineRule="exact"/>
              <w:rPr>
                <w:sz w:val="20"/>
                <w:szCs w:val="20"/>
                <w:color w:val="auto"/>
              </w:rPr>
            </w:pPr>
            <w:r>
              <w:rPr>
                <w:rFonts w:ascii="Arial" w:cs="Arial" w:eastAsia="Arial" w:hAnsi="Arial"/>
                <w:sz w:val="11"/>
                <w:szCs w:val="11"/>
                <w:color w:val="auto"/>
              </w:rPr>
              <w:t>Balance at December 31, 2016</w:t>
            </w: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8" w:lineRule="exact"/>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18" w:lineRule="exact"/>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gridSpan w:val="3"/>
            <w:shd w:val="clear" w:color="auto" w:fill="CFF0FC"/>
          </w:tcPr>
          <w:p>
            <w:pPr>
              <w:jc w:val="right"/>
              <w:spacing w:after="0" w:line="118" w:lineRule="exact"/>
              <w:rPr>
                <w:sz w:val="20"/>
                <w:szCs w:val="20"/>
                <w:color w:val="auto"/>
              </w:rPr>
            </w:pPr>
            <w:r>
              <w:rPr>
                <w:rFonts w:ascii="Arial" w:cs="Arial" w:eastAsia="Arial" w:hAnsi="Arial"/>
                <w:sz w:val="11"/>
                <w:szCs w:val="11"/>
                <w:color w:val="auto"/>
              </w:rPr>
              <w:t>155,138,637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FF0FC"/>
          </w:tcPr>
          <w:p>
            <w:pPr>
              <w:jc w:val="right"/>
              <w:ind w:right="20"/>
              <w:spacing w:after="0" w:line="118" w:lineRule="exact"/>
              <w:rPr>
                <w:sz w:val="20"/>
                <w:szCs w:val="20"/>
                <w:color w:val="auto"/>
              </w:rPr>
            </w:pPr>
            <w:r>
              <w:rPr>
                <w:rFonts w:ascii="Arial" w:cs="Arial" w:eastAsia="Arial" w:hAnsi="Arial"/>
                <w:sz w:val="11"/>
                <w:szCs w:val="11"/>
                <w:color w:val="auto"/>
              </w:rPr>
              <w:t>15</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line="118" w:lineRule="exact"/>
              <w:rPr>
                <w:sz w:val="20"/>
                <w:szCs w:val="20"/>
                <w:color w:val="auto"/>
              </w:rPr>
            </w:pPr>
            <w:r>
              <w:rPr>
                <w:rFonts w:ascii="Arial" w:cs="Arial" w:eastAsia="Arial" w:hAnsi="Arial"/>
                <w:sz w:val="11"/>
                <w:szCs w:val="11"/>
                <w:color w:val="auto"/>
              </w:rPr>
              <w:t>141,092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FF0FC"/>
          </w:tcPr>
          <w:p>
            <w:pPr>
              <w:jc w:val="right"/>
              <w:ind w:right="180"/>
              <w:spacing w:after="0" w:line="118" w:lineRule="exact"/>
              <w:rPr>
                <w:sz w:val="20"/>
                <w:szCs w:val="20"/>
                <w:color w:val="auto"/>
              </w:rPr>
            </w:pPr>
            <w:r>
              <w:rPr>
                <w:rFonts w:ascii="Arial" w:cs="Arial" w:eastAsia="Arial" w:hAnsi="Arial"/>
                <w:sz w:val="11"/>
                <w:szCs w:val="11"/>
                <w:color w:val="auto"/>
              </w:rPr>
              <w:t>(6,369)</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FF0FC"/>
          </w:tcPr>
          <w:p>
            <w:pPr>
              <w:jc w:val="right"/>
              <w:ind w:right="180"/>
              <w:spacing w:after="0" w:line="118" w:lineRule="exact"/>
              <w:rPr>
                <w:sz w:val="20"/>
                <w:szCs w:val="20"/>
                <w:color w:val="auto"/>
              </w:rPr>
            </w:pPr>
            <w:r>
              <w:rPr>
                <w:rFonts w:ascii="Arial" w:cs="Arial" w:eastAsia="Arial" w:hAnsi="Arial"/>
                <w:sz w:val="11"/>
                <w:szCs w:val="11"/>
                <w:color w:val="auto"/>
              </w:rPr>
              <w:t>(1,537,183)</w:t>
            </w:r>
          </w:p>
        </w:tc>
        <w:tc>
          <w:tcPr>
            <w:tcW w:w="100" w:type="dxa"/>
            <w:vAlign w:val="bottom"/>
            <w:shd w:val="clear" w:color="auto" w:fill="CFF0FC"/>
          </w:tcPr>
          <w:p>
            <w:pPr>
              <w:jc w:val="right"/>
              <w:ind w:right="26"/>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FF0FC"/>
          </w:tcPr>
          <w:p>
            <w:pPr>
              <w:jc w:val="right"/>
              <w:spacing w:after="0" w:line="118"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80"/>
              <w:spacing w:after="0" w:line="118" w:lineRule="exact"/>
              <w:rPr>
                <w:sz w:val="20"/>
                <w:szCs w:val="20"/>
                <w:color w:val="auto"/>
              </w:rPr>
            </w:pPr>
            <w:r>
              <w:rPr>
                <w:rFonts w:ascii="Arial" w:cs="Arial" w:eastAsia="Arial" w:hAnsi="Arial"/>
                <w:sz w:val="11"/>
                <w:szCs w:val="11"/>
                <w:color w:val="auto"/>
              </w:rPr>
              <w:t>(1,402,445)</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2017 Activity:</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(loss) income</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(9,439)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(8,828)</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Issuance of common stock</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19,528,302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517,499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517,501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(2,980)</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(2,980)</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Other comprehensive income</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14,190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Common stock dividends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(410,054)</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(410,054)</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Distributions to noncontrolling interest</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(4,978)</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(4,978)</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Convertible preferred stock dividends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(2,624)</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(2,624)</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Equity issuance cost</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(18,575)</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(18,575)</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Contributions from noncontrolling interest holders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105,969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105,969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Purchase of noncontrolling interest</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(560)</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(560)</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share settlement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(421)</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(1,415)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(1,836)</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Stock-based compensation</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184,575</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7,713</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7,713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Balance at December 31, 2017</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174,851,514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17</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644,328</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7,821</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(1,960,715)</w:t>
            </w:r>
          </w:p>
        </w:tc>
        <w:tc>
          <w:tcPr>
            <w:tcW w:w="100" w:type="dxa"/>
            <w:vAlign w:val="bottom"/>
            <w:shd w:val="clear" w:color="auto" w:fill="CFF0FC"/>
          </w:tcPr>
          <w:p>
            <w:pPr>
              <w:jc w:val="right"/>
              <w:ind w:right="26"/>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101,407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(1,207,142)</w:t>
            </w:r>
          </w:p>
        </w:tc>
        <w:tc>
          <w:tcPr>
            <w:tcW w:w="0" w:type="dxa"/>
            <w:vAlign w:val="bottom"/>
          </w:tcPr>
          <w:p>
            <w:pPr>
              <w:spacing w:after="0"/>
              <w:rPr>
                <w:sz w:val="1"/>
                <w:szCs w:val="1"/>
                <w:color w:val="auto"/>
              </w:rPr>
            </w:pPr>
          </w:p>
        </w:tc>
      </w:tr>
      <w:tr>
        <w:trPr>
          <w:trHeight w:val="131"/>
        </w:trPr>
        <w:tc>
          <w:tcPr>
            <w:tcW w:w="3600" w:type="dxa"/>
            <w:vAlign w:val="bottom"/>
            <w:tcBorders>
              <w:top w:val="single" w:sz="8" w:color="CFF0FC"/>
            </w:tcBorders>
            <w:gridSpan w:val="2"/>
          </w:tcPr>
          <w:p>
            <w:pPr>
              <w:spacing w:after="0"/>
              <w:rPr>
                <w:sz w:val="20"/>
                <w:szCs w:val="20"/>
                <w:color w:val="auto"/>
              </w:rPr>
            </w:pPr>
            <w:r>
              <w:rPr>
                <w:rFonts w:ascii="Arial" w:cs="Arial" w:eastAsia="Arial" w:hAnsi="Arial"/>
                <w:sz w:val="11"/>
                <w:szCs w:val="11"/>
                <w:color w:val="auto"/>
              </w:rPr>
              <w:t>2018 Activity:</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Cumulative effect adjustment for adoption of new accounting standard</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Net income</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16,187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358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At-the-market issuance of common stock, net of offering costs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5,496,763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109,441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109,442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(2,980)</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(2,980)</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Other comprehensive income</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22,284</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Common stock dividends</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(427,656)</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(427,656)</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Distributions to noncontrolling interest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(9,917)</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(9,917)</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color w:val="auto"/>
              </w:rPr>
              <w:t>Convertible preferred stock dividends</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(2,624)</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(2,624)</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share settlement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(1,336)</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(269)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(1,605)</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Stock-based compensation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187,694</w:t>
            </w:r>
          </w:p>
        </w:tc>
        <w:tc>
          <w:tcPr>
            <w:tcW w:w="2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8,064</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8,064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Balance at December 31, 2018</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180,535,971</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93"/>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757,517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133"/>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30,105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(2,373,218)</w:t>
            </w:r>
          </w:p>
        </w:tc>
        <w:tc>
          <w:tcPr>
            <w:tcW w:w="220" w:type="dxa"/>
            <w:vAlign w:val="bottom"/>
            <w:shd w:val="clear" w:color="auto" w:fill="CFF0FC"/>
          </w:tcPr>
          <w:p>
            <w:pPr>
              <w:jc w:val="right"/>
              <w:ind w:right="153"/>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92,375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93"/>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(1,493,203)</w:t>
            </w:r>
          </w:p>
        </w:tc>
        <w:tc>
          <w:tcPr>
            <w:tcW w:w="0" w:type="dxa"/>
            <w:vAlign w:val="bottom"/>
          </w:tcPr>
          <w:p>
            <w:pPr>
              <w:spacing w:after="0"/>
              <w:rPr>
                <w:sz w:val="1"/>
                <w:szCs w:val="1"/>
                <w:color w:val="auto"/>
              </w:rPr>
            </w:pPr>
          </w:p>
        </w:tc>
      </w:tr>
      <w:tr>
        <w:trPr>
          <w:trHeight w:val="131"/>
        </w:trPr>
        <w:tc>
          <w:tcPr>
            <w:tcW w:w="3600" w:type="dxa"/>
            <w:vAlign w:val="bottom"/>
            <w:tcBorders>
              <w:top w:val="single" w:sz="8" w:color="CFF0FC"/>
            </w:tcBorders>
          </w:tcPr>
          <w:p>
            <w:pPr>
              <w:spacing w:after="0"/>
              <w:rPr>
                <w:sz w:val="20"/>
                <w:szCs w:val="20"/>
                <w:color w:val="auto"/>
              </w:rPr>
            </w:pPr>
            <w:r>
              <w:rPr>
                <w:rFonts w:ascii="Arial" w:cs="Arial" w:eastAsia="Arial" w:hAnsi="Arial"/>
                <w:sz w:val="11"/>
                <w:szCs w:val="11"/>
                <w:color w:val="auto"/>
              </w:rPr>
              <w:t>2019 Activity:</w:t>
            </w: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Cumulative effect adjustment for adoption of new accounting standard</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(61,826)</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(61,826)</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Net income</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10,582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10,908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At-the-market issuance of common stock, net of offering costs</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1,176,186</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21,641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Amortization of discount on convertible preferred stock</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(993)</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(993)</w:t>
            </w: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Other comprehensive income</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(53,547)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(1,128)</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(54,675)</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Common stock dividends declared ($0.37 per share)</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(69,403)</w:t>
            </w: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(69,403)</w:t>
            </w: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Distributions to noncontrolling interest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(1,329)</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(1,329)</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Exchange of noncontrolling interest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666,576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6,540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(6,540)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Convertible preferred stock dividends</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(875)</w:t>
            </w: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(875)</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Equity settlement convertible preferred stock</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8,677,163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87,499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Net share settlement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(1,834)</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(1,834)</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357,066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10,808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Equity settlement contingent consideration</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645,385</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11,178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Issuance of common stock - employee stock purchase plan</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83,287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884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Equity component value of exchangeable note issuance, net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80,770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80,770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Deferred tax liability related to exchangeable note issuance</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(3,499)</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(3,499)</w:t>
            </w:r>
          </w:p>
        </w:tc>
        <w:tc>
          <w:tcPr>
            <w:tcW w:w="0" w:type="dxa"/>
            <w:vAlign w:val="bottom"/>
          </w:tcPr>
          <w:p>
            <w:pPr>
              <w:spacing w:after="0"/>
              <w:rPr>
                <w:sz w:val="1"/>
                <w:szCs w:val="1"/>
                <w:color w:val="auto"/>
              </w:rPr>
            </w:pPr>
          </w:p>
        </w:tc>
      </w:tr>
      <w:tr>
        <w:trPr>
          <w:trHeight w:val="146"/>
        </w:trPr>
        <w:tc>
          <w:tcPr>
            <w:tcW w:w="3600" w:type="dxa"/>
            <w:vAlign w:val="bottom"/>
            <w:shd w:val="clear" w:color="auto" w:fill="CFF0FC"/>
          </w:tcPr>
          <w:p>
            <w:pPr>
              <w:spacing w:after="0"/>
              <w:rPr>
                <w:sz w:val="20"/>
                <w:szCs w:val="20"/>
                <w:color w:val="auto"/>
              </w:rPr>
            </w:pPr>
            <w:r>
              <w:rPr>
                <w:rFonts w:ascii="Arial" w:cs="Arial" w:eastAsia="Arial" w:hAnsi="Arial"/>
                <w:sz w:val="11"/>
                <w:szCs w:val="11"/>
                <w:color w:val="auto"/>
              </w:rPr>
              <w:t>Sale of common stock warrant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50,819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50,819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20"/>
                <w:szCs w:val="20"/>
                <w:color w:val="auto"/>
              </w:rPr>
            </w:pPr>
            <w:r>
              <w:rPr>
                <w:rFonts w:ascii="Arial" w:cs="Arial" w:eastAsia="Arial" w:hAnsi="Arial"/>
                <w:sz w:val="11"/>
                <w:szCs w:val="11"/>
                <w:color w:val="auto"/>
              </w:rPr>
              <w:t>Payment for bond hedge option</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(70,035)</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(70,035)</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Balance at December 31, 2019</w:t>
            </w: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0" w:type="dxa"/>
            <w:vAlign w:val="bottom"/>
            <w:vMerge w:val="continue"/>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192,141,634</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93"/>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951,295</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133"/>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(23,442)</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(2,494,740)</w:t>
            </w:r>
          </w:p>
        </w:tc>
        <w:tc>
          <w:tcPr>
            <w:tcW w:w="220" w:type="dxa"/>
            <w:vAlign w:val="bottom"/>
            <w:shd w:val="clear" w:color="auto" w:fill="CFF0FC"/>
          </w:tcPr>
          <w:p>
            <w:pPr>
              <w:jc w:val="right"/>
              <w:ind w:right="153"/>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83,704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93"/>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(1,483,164)</w:t>
            </w:r>
          </w:p>
        </w:tc>
        <w:tc>
          <w:tcPr>
            <w:tcW w:w="0" w:type="dxa"/>
            <w:vAlign w:val="bottom"/>
          </w:tcPr>
          <w:p>
            <w:pPr>
              <w:spacing w:after="0"/>
              <w:rPr>
                <w:sz w:val="1"/>
                <w:szCs w:val="1"/>
                <w:color w:val="auto"/>
              </w:rPr>
            </w:pPr>
          </w:p>
        </w:tc>
      </w:tr>
      <w:tr>
        <w:trPr>
          <w:trHeight w:val="29"/>
        </w:trPr>
        <w:tc>
          <w:tcPr>
            <w:tcW w:w="360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w w:val="96"/>
              </w:rPr>
              <w:t>Year Ended December 31,</w:t>
            </w:r>
          </w:p>
        </w:tc>
        <w:tc>
          <w:tcPr>
            <w:tcW w:w="4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20" w:type="dxa"/>
            <w:vAlign w:val="bottom"/>
          </w:tcPr>
          <w:p>
            <w:pPr>
              <w:spacing w:after="0"/>
              <w:rPr>
                <w:sz w:val="12"/>
                <w:szCs w:val="12"/>
                <w:color w:val="auto"/>
              </w:rPr>
            </w:pPr>
          </w:p>
        </w:tc>
        <w:tc>
          <w:tcPr>
            <w:tcW w:w="1340" w:type="dxa"/>
            <w:vAlign w:val="bottom"/>
          </w:tcPr>
          <w:p>
            <w:pPr>
              <w:jc w:val="right"/>
              <w:ind w:right="726"/>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746"/>
              <w:spacing w:after="0"/>
              <w:rPr>
                <w:sz w:val="20"/>
                <w:szCs w:val="20"/>
                <w:color w:val="auto"/>
              </w:rPr>
            </w:pPr>
            <w:r>
              <w:rPr>
                <w:rFonts w:ascii="Arial" w:cs="Arial" w:eastAsia="Arial" w:hAnsi="Arial"/>
                <w:sz w:val="10"/>
                <w:szCs w:val="10"/>
                <w:b w:val="1"/>
                <w:bCs w:val="1"/>
                <w:color w:val="auto"/>
              </w:rPr>
              <w:t>2018</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746"/>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5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3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10,908</w:t>
            </w:r>
          </w:p>
        </w:tc>
        <w:tc>
          <w:tcPr>
            <w:tcW w:w="22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16,545</w:t>
            </w:r>
          </w:p>
        </w:tc>
        <w:tc>
          <w:tcPr>
            <w:tcW w:w="220" w:type="dxa"/>
            <w:vAlign w:val="bottom"/>
          </w:tcPr>
          <w:p>
            <w:pPr>
              <w:spacing w:after="0"/>
              <w:rPr>
                <w:sz w:val="12"/>
                <w:szCs w:val="12"/>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(8,828)</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Depreciation and amortization</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405,754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451,750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434,205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Amortization of deferred financing costs and debt discount</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42,779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24,614</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Deferred income taxes</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(11,428)</w:t>
            </w:r>
          </w:p>
        </w:tc>
        <w:tc>
          <w:tcPr>
            <w:tcW w:w="220" w:type="dxa"/>
            <w:vAlign w:val="bottom"/>
          </w:tcPr>
          <w:p>
            <w:pPr>
              <w:spacing w:after="0"/>
              <w:rPr>
                <w:sz w:val="12"/>
                <w:szCs w:val="1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(7,385)</w:t>
            </w: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(41,171)</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Straight-line rental revenues</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(208)</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(15,048)</w:t>
            </w: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(15,136)</w:t>
            </w: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Stock-based compensation</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10,808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8,064</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7,713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Change in fair value of contingent consideration</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(28,463)</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(3,721)</w:t>
            </w: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Gain on sale of real estate</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(28,995)</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Loss on sale of Uniti Fiber Midwest operations</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Loss on asset disposal</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6,891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Other</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(435)</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7,818</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Changes in assets and liabilities, net of acquisitions:</w:t>
            </w: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Accounts receivable</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25,592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(52,792)</w:t>
            </w: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(10,524)</w:t>
            </w:r>
          </w:p>
        </w:tc>
        <w:tc>
          <w:tcPr>
            <w:tcW w:w="0" w:type="dxa"/>
            <w:vAlign w:val="bottom"/>
          </w:tcPr>
          <w:p>
            <w:pPr>
              <w:spacing w:after="0"/>
              <w:rPr>
                <w:sz w:val="1"/>
                <w:szCs w:val="1"/>
                <w:color w:val="auto"/>
              </w:rPr>
            </w:pPr>
          </w:p>
        </w:tc>
      </w:tr>
      <w:tr>
        <w:trPr>
          <w:trHeight w:val="142"/>
        </w:trPr>
        <w:tc>
          <w:tcPr>
            <w:tcW w:w="5420" w:type="dxa"/>
            <w:vAlign w:val="bottom"/>
            <w:gridSpan w:val="2"/>
          </w:tcPr>
          <w:p>
            <w:pPr>
              <w:ind w:left="240"/>
              <w:spacing w:after="0"/>
              <w:rPr>
                <w:sz w:val="20"/>
                <w:szCs w:val="20"/>
                <w:color w:val="auto"/>
              </w:rPr>
            </w:pPr>
            <w:r>
              <w:rPr>
                <w:rFonts w:ascii="Arial" w:cs="Arial" w:eastAsia="Arial" w:hAnsi="Arial"/>
                <w:sz w:val="11"/>
                <w:szCs w:val="11"/>
                <w:color w:val="auto"/>
              </w:rPr>
              <w:t>Other assets</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10,297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1,755</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(1,560)</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Accounts payable, accrued expenses and other liabilities</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(3,260)</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41,218</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Deferred revenue from prepaid rent - Bluebird/Uniti Fiber Midwest networks (Note 5)</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174,500</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cash provided by operating activities</w:t>
            </w:r>
          </w:p>
        </w:tc>
        <w:tc>
          <w:tcPr>
            <w:tcW w:w="42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616,982</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472,818</w:t>
            </w: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405,260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Cash flow from investing activities</w:t>
            </w: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Acquisition of businesses, net of cash acquired</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(10,312)</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(53,669)</w:t>
            </w: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(761,887)</w:t>
            </w: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Bluebird asset acquisition</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(320,818)</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Proceeds from sale of Uniti Fiber Midwest operations</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Acquisition of ground lease investments</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(21,764)</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NMS asset acquisition (Note 5)</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(3,299)</w:t>
            </w: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(69,729)</w:t>
            </w: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Proceeds from sale of real estate, net of cash</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130,429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Capital expenditures - other</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(350,480)</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(423,575)</w:t>
            </w: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(166,028)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1"/>
                <w:szCs w:val="11"/>
                <w:color w:val="auto"/>
              </w:rPr>
              <w:t>Net cash used in investing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4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(544,781)</w:t>
            </w:r>
          </w:p>
        </w:tc>
        <w:tc>
          <w:tcPr>
            <w:tcW w:w="220" w:type="dxa"/>
            <w:vAlign w:val="bottom"/>
          </w:tcPr>
          <w:p>
            <w:pPr>
              <w:spacing w:after="0"/>
              <w:rPr>
                <w:sz w:val="11"/>
                <w:szCs w:val="11"/>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(480,543)</w:t>
            </w:r>
          </w:p>
        </w:tc>
        <w:tc>
          <w:tcPr>
            <w:tcW w:w="420" w:type="dxa"/>
            <w:vAlign w:val="bottom"/>
          </w:tcPr>
          <w:p>
            <w:pPr>
              <w:spacing w:after="0"/>
              <w:rPr>
                <w:sz w:val="11"/>
                <w:szCs w:val="1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(1,019,408)</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Cash flow from financing activities</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Principal payment on debt</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(21,080)</w:t>
            </w:r>
          </w:p>
        </w:tc>
        <w:tc>
          <w:tcPr>
            <w:tcW w:w="220" w:type="dxa"/>
            <w:vAlign w:val="bottom"/>
          </w:tcPr>
          <w:p>
            <w:pPr>
              <w:spacing w:after="0"/>
              <w:rPr>
                <w:sz w:val="12"/>
                <w:szCs w:val="1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(21,080)</w:t>
            </w: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(21,080)</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Dividends paid</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(138,731)</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(426,094)</w:t>
            </w: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(400,210)</w:t>
            </w: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Payments of contingent consideration</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(32,253)</w:t>
            </w:r>
          </w:p>
        </w:tc>
        <w:tc>
          <w:tcPr>
            <w:tcW w:w="220" w:type="dxa"/>
            <w:vAlign w:val="bottom"/>
          </w:tcPr>
          <w:p>
            <w:pPr>
              <w:spacing w:after="0"/>
              <w:rPr>
                <w:sz w:val="12"/>
                <w:szCs w:val="1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(18,640)</w:t>
            </w: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(19,999)</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Proceeds from issuance of Notes</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345,000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Borrowings under revolving credit facility</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139,000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845,000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Payments under revolving credit facility</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(203,981)</w:t>
            </w: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(140,000)</w:t>
            </w: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(565,000)</w:t>
            </w: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Finance lease payments</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(4,257)</w:t>
            </w:r>
          </w:p>
        </w:tc>
        <w:tc>
          <w:tcPr>
            <w:tcW w:w="220" w:type="dxa"/>
            <w:vAlign w:val="bottom"/>
          </w:tcPr>
          <w:p>
            <w:pPr>
              <w:spacing w:after="0"/>
              <w:rPr>
                <w:sz w:val="12"/>
                <w:szCs w:val="1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(5,946)</w:t>
            </w: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(3,237)</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Payments for financing costs</w:t>
            </w:r>
          </w:p>
        </w:tc>
        <w:tc>
          <w:tcPr>
            <w:tcW w:w="4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(49,497)</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(28,539)</w:t>
            </w: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Common stock issuance, net of costs</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21,641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109,441</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498,926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Proceeds from sale of warrants</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50,819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Payment for bond hedge option</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(70,035)</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Purchase of noncontrolling interest</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(560)</w:t>
            </w: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Distributions paid to noncontrolling interest</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(3,046)</w:t>
            </w:r>
          </w:p>
        </w:tc>
        <w:tc>
          <w:tcPr>
            <w:tcW w:w="220" w:type="dxa"/>
            <w:vAlign w:val="bottom"/>
          </w:tcPr>
          <w:p>
            <w:pPr>
              <w:spacing w:after="0"/>
              <w:rPr>
                <w:sz w:val="12"/>
                <w:szCs w:val="1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(9,917)</w:t>
            </w: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(2,498)</w:t>
            </w:r>
          </w:p>
        </w:tc>
        <w:tc>
          <w:tcPr>
            <w:tcW w:w="0" w:type="dxa"/>
            <w:vAlign w:val="bottom"/>
          </w:tcPr>
          <w:p>
            <w:pPr>
              <w:spacing w:after="0"/>
              <w:rPr>
                <w:sz w:val="1"/>
                <w:szCs w:val="1"/>
                <w:color w:val="auto"/>
              </w:rPr>
            </w:pPr>
          </w:p>
        </w:tc>
      </w:tr>
      <w:tr>
        <w:trPr>
          <w:trHeight w:val="146"/>
        </w:trPr>
        <w:tc>
          <w:tcPr>
            <w:tcW w:w="54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Employee stock purchase plan</w:t>
            </w:r>
          </w:p>
        </w:tc>
        <w:tc>
          <w:tcPr>
            <w:tcW w:w="4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ind w:left="160"/>
              <w:spacing w:after="0"/>
              <w:rPr>
                <w:sz w:val="20"/>
                <w:szCs w:val="20"/>
                <w:color w:val="auto"/>
              </w:rPr>
            </w:pPr>
            <w:r>
              <w:rPr>
                <w:rFonts w:ascii="Arial" w:cs="Arial" w:eastAsia="Arial" w:hAnsi="Arial"/>
                <w:sz w:val="11"/>
                <w:szCs w:val="11"/>
                <w:color w:val="auto"/>
              </w:rPr>
              <w:t>Net share settlement</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(1,834)</w:t>
            </w:r>
          </w:p>
        </w:tc>
        <w:tc>
          <w:tcPr>
            <w:tcW w:w="220" w:type="dxa"/>
            <w:vAlign w:val="bottom"/>
          </w:tcPr>
          <w:p>
            <w:pPr>
              <w:spacing w:after="0"/>
              <w:rPr>
                <w:sz w:val="12"/>
                <w:szCs w:val="1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(1,605)</w:t>
            </w:r>
          </w:p>
        </w:tc>
        <w:tc>
          <w:tcPr>
            <w:tcW w:w="42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(1,836)</w:t>
            </w:r>
          </w:p>
        </w:tc>
        <w:tc>
          <w:tcPr>
            <w:tcW w:w="0" w:type="dxa"/>
            <w:vAlign w:val="bottom"/>
          </w:tcPr>
          <w:p>
            <w:pPr>
              <w:spacing w:after="0"/>
              <w:rPr>
                <w:sz w:val="1"/>
                <w:szCs w:val="1"/>
                <w:color w:val="auto"/>
              </w:rPr>
            </w:pPr>
          </w:p>
        </w:tc>
      </w:tr>
      <w:tr>
        <w:trPr>
          <w:trHeight w:val="20"/>
        </w:trPr>
        <w:tc>
          <w:tcPr>
            <w:tcW w:w="5420" w:type="dxa"/>
            <w:vAlign w:val="bottom"/>
            <w:gridSpan w:val="2"/>
            <w:vMerge w:val="restart"/>
            <w:shd w:val="clear" w:color="auto" w:fill="CFF0FC"/>
          </w:tcPr>
          <w:p>
            <w:pPr>
              <w:spacing w:after="0"/>
              <w:rPr>
                <w:sz w:val="20"/>
                <w:szCs w:val="20"/>
                <w:color w:val="auto"/>
              </w:rPr>
            </w:pPr>
            <w:r>
              <w:rPr>
                <w:rFonts w:ascii="Arial" w:cs="Arial" w:eastAsia="Arial" w:hAnsi="Arial"/>
                <w:sz w:val="11"/>
                <w:szCs w:val="11"/>
                <w:color w:val="auto"/>
              </w:rPr>
              <w:t>Net cash provided by (used in) financing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420" w:type="dxa"/>
            <w:vAlign w:val="bottom"/>
            <w:gridSpan w:val="2"/>
            <w:vMerge w:val="continue"/>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32,629</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(13,841)</w:t>
            </w:r>
          </w:p>
        </w:tc>
        <w:tc>
          <w:tcPr>
            <w:tcW w:w="42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501,967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420" w:type="dxa"/>
            <w:vAlign w:val="bottom"/>
            <w:gridSpan w:val="2"/>
          </w:tcPr>
          <w:p>
            <w:pPr>
              <w:spacing w:after="0"/>
              <w:rPr>
                <w:sz w:val="20"/>
                <w:szCs w:val="20"/>
                <w:color w:val="auto"/>
              </w:rPr>
            </w:pPr>
            <w:r>
              <w:rPr>
                <w:rFonts w:ascii="Arial" w:cs="Arial" w:eastAsia="Arial" w:hAnsi="Arial"/>
                <w:sz w:val="11"/>
                <w:szCs w:val="11"/>
                <w:color w:val="auto"/>
              </w:rPr>
              <w:t>Effect of exchange rates on cash and cash equivalents</w:t>
            </w:r>
          </w:p>
        </w:tc>
        <w:tc>
          <w:tcPr>
            <w:tcW w:w="4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(43)</w:t>
            </w:r>
          </w:p>
        </w:tc>
        <w:tc>
          <w:tcPr>
            <w:tcW w:w="220" w:type="dxa"/>
            <w:vAlign w:val="bottom"/>
          </w:tcPr>
          <w:p>
            <w:pPr>
              <w:spacing w:after="0"/>
              <w:rPr>
                <w:sz w:val="12"/>
                <w:szCs w:val="1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1"/>
                <w:szCs w:val="11"/>
                <w:color w:val="auto"/>
              </w:rPr>
              <w:t>(173)</w:t>
            </w: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shd w:val="clear" w:color="auto" w:fill="CFF0FC"/>
          </w:tcPr>
          <w:p>
            <w:pPr>
              <w:spacing w:after="0"/>
              <w:rPr>
                <w:sz w:val="20"/>
                <w:szCs w:val="20"/>
                <w:color w:val="auto"/>
              </w:rPr>
            </w:pPr>
            <w:r>
              <w:rPr>
                <w:rFonts w:ascii="Arial" w:cs="Arial" w:eastAsia="Arial" w:hAnsi="Arial"/>
                <w:sz w:val="11"/>
                <w:szCs w:val="11"/>
                <w:color w:val="auto"/>
              </w:rPr>
              <w:t>Net increase (decrease) in cash and cash equivalents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420" w:type="dxa"/>
            <w:vAlign w:val="bottom"/>
            <w:gridSpan w:val="2"/>
            <w:vMerge w:val="continue"/>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104,787</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(21,739)</w:t>
            </w:r>
          </w:p>
        </w:tc>
        <w:tc>
          <w:tcPr>
            <w:tcW w:w="420" w:type="dxa"/>
            <w:vAlign w:val="bottom"/>
            <w:shd w:val="clear" w:color="auto" w:fill="CFF0FC"/>
          </w:tcPr>
          <w:p>
            <w:pPr>
              <w:spacing w:after="0"/>
              <w:rPr>
                <w:sz w:val="11"/>
                <w:szCs w:val="11"/>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(111,989)</w:t>
            </w:r>
          </w:p>
        </w:tc>
        <w:tc>
          <w:tcPr>
            <w:tcW w:w="0" w:type="dxa"/>
            <w:vAlign w:val="bottom"/>
          </w:tcPr>
          <w:p>
            <w:pPr>
              <w:spacing w:after="0"/>
              <w:rPr>
                <w:sz w:val="1"/>
                <w:szCs w:val="1"/>
                <w:color w:val="auto"/>
              </w:rPr>
            </w:pPr>
          </w:p>
        </w:tc>
      </w:tr>
      <w:tr>
        <w:trPr>
          <w:trHeight w:val="142"/>
        </w:trPr>
        <w:tc>
          <w:tcPr>
            <w:tcW w:w="5420" w:type="dxa"/>
            <w:vAlign w:val="bottom"/>
            <w:gridSpan w:val="2"/>
          </w:tcPr>
          <w:p>
            <w:pPr>
              <w:spacing w:after="0"/>
              <w:rPr>
                <w:sz w:val="20"/>
                <w:szCs w:val="20"/>
                <w:color w:val="auto"/>
              </w:rPr>
            </w:pPr>
            <w:r>
              <w:rPr>
                <w:rFonts w:ascii="Arial" w:cs="Arial" w:eastAsia="Arial" w:hAnsi="Arial"/>
                <w:sz w:val="11"/>
                <w:szCs w:val="11"/>
                <w:color w:val="auto"/>
              </w:rPr>
              <w:t>Cash and cash equivalents at beginning of period</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38,026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59,765</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171,754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Cash and cash equivalents at end of period</w:t>
            </w:r>
          </w:p>
        </w:tc>
        <w:tc>
          <w:tcPr>
            <w:tcW w:w="72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142,813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38,026</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59,765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29"/>
        </w:trPr>
        <w:tc>
          <w:tcPr>
            <w:tcW w:w="5420" w:type="dxa"/>
            <w:vAlign w:val="bottom"/>
          </w:tcPr>
          <w:p>
            <w:pPr>
              <w:spacing w:after="0"/>
              <w:rPr>
                <w:sz w:val="20"/>
                <w:szCs w:val="20"/>
                <w:color w:val="auto"/>
              </w:rPr>
            </w:pPr>
            <w:r>
              <w:rPr>
                <w:rFonts w:ascii="Arial" w:cs="Arial" w:eastAsia="Arial" w:hAnsi="Arial"/>
                <w:sz w:val="11"/>
                <w:szCs w:val="11"/>
                <w:b w:val="1"/>
                <w:bCs w:val="1"/>
                <w:color w:val="auto"/>
              </w:rPr>
              <w:t>Non-cash investing and financing activities:</w:t>
            </w: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54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Property and equipment acquired but not yet paid</w:t>
            </w:r>
          </w:p>
        </w:tc>
        <w:tc>
          <w:tcPr>
            <w:tcW w:w="720" w:type="dxa"/>
            <w:vAlign w:val="bottom"/>
            <w:shd w:val="clear" w:color="auto" w:fill="CFF0FC"/>
          </w:tcPr>
          <w:p>
            <w:pPr>
              <w:jc w:val="right"/>
              <w:ind w:right="6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17,032</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17,901</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15,285</w:t>
            </w:r>
          </w:p>
        </w:tc>
        <w:tc>
          <w:tcPr>
            <w:tcW w:w="120" w:type="dxa"/>
            <w:vAlign w:val="bottom"/>
            <w:shd w:val="clear" w:color="auto" w:fill="CFF0FC"/>
          </w:tcPr>
          <w:p>
            <w:pPr>
              <w:spacing w:after="0"/>
              <w:rPr>
                <w:sz w:val="12"/>
                <w:szCs w:val="12"/>
                <w:color w:val="auto"/>
              </w:rPr>
            </w:pPr>
          </w:p>
        </w:tc>
      </w:tr>
      <w:tr>
        <w:trPr>
          <w:trHeight w:val="142"/>
        </w:trPr>
        <w:tc>
          <w:tcPr>
            <w:tcW w:w="5420" w:type="dxa"/>
            <w:vAlign w:val="bottom"/>
          </w:tcPr>
          <w:p>
            <w:pPr>
              <w:ind w:left="160"/>
              <w:spacing w:after="0"/>
              <w:rPr>
                <w:sz w:val="20"/>
                <w:szCs w:val="20"/>
                <w:color w:val="auto"/>
              </w:rPr>
            </w:pPr>
            <w:r>
              <w:rPr>
                <w:rFonts w:ascii="Arial" w:cs="Arial" w:eastAsia="Arial" w:hAnsi="Arial"/>
                <w:sz w:val="11"/>
                <w:szCs w:val="11"/>
                <w:color w:val="auto"/>
              </w:rPr>
              <w:t>Tenant capital improvements</w:t>
            </w: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164,742</w:t>
            </w:r>
          </w:p>
        </w:tc>
        <w:tc>
          <w:tcPr>
            <w:tcW w:w="220" w:type="dxa"/>
            <w:vAlign w:val="bottom"/>
          </w:tcPr>
          <w:p>
            <w:pPr>
              <w:spacing w:after="0"/>
              <w:rPr>
                <w:sz w:val="12"/>
                <w:szCs w:val="12"/>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153,615</w:t>
            </w:r>
          </w:p>
        </w:tc>
        <w:tc>
          <w:tcPr>
            <w:tcW w:w="220" w:type="dxa"/>
            <w:vAlign w:val="bottom"/>
          </w:tcPr>
          <w:p>
            <w:pPr>
              <w:spacing w:after="0"/>
              <w:rPr>
                <w:sz w:val="12"/>
                <w:szCs w:val="12"/>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227,969</w:t>
            </w:r>
          </w:p>
        </w:tc>
        <w:tc>
          <w:tcPr>
            <w:tcW w:w="120" w:type="dxa"/>
            <w:vAlign w:val="bottom"/>
          </w:tcPr>
          <w:p>
            <w:pPr>
              <w:spacing w:after="0"/>
              <w:rPr>
                <w:sz w:val="12"/>
                <w:szCs w:val="12"/>
                <w:color w:val="auto"/>
              </w:rPr>
            </w:pPr>
          </w:p>
        </w:tc>
      </w:tr>
      <w:tr>
        <w:trPr>
          <w:trHeight w:val="146"/>
        </w:trPr>
        <w:tc>
          <w:tcPr>
            <w:tcW w:w="54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Settlement of convertible preferred stock, Series A Shares</w:t>
            </w:r>
          </w:p>
        </w:tc>
        <w:tc>
          <w:tcPr>
            <w:tcW w:w="720" w:type="dxa"/>
            <w:vAlign w:val="bottom"/>
            <w:shd w:val="clear" w:color="auto" w:fill="CFF0FC"/>
          </w:tcPr>
          <w:p>
            <w:pPr>
              <w:jc w:val="right"/>
              <w:ind w:right="6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87,500</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r>
      <w:tr>
        <w:trPr>
          <w:trHeight w:val="142"/>
        </w:trPr>
        <w:tc>
          <w:tcPr>
            <w:tcW w:w="5420" w:type="dxa"/>
            <w:vAlign w:val="bottom"/>
          </w:tcPr>
          <w:p>
            <w:pPr>
              <w:ind w:left="160"/>
              <w:spacing w:after="0"/>
              <w:rPr>
                <w:sz w:val="20"/>
                <w:szCs w:val="20"/>
                <w:color w:val="auto"/>
              </w:rPr>
            </w:pPr>
            <w:r>
              <w:rPr>
                <w:rFonts w:ascii="Arial" w:cs="Arial" w:eastAsia="Arial" w:hAnsi="Arial"/>
                <w:sz w:val="11"/>
                <w:szCs w:val="11"/>
                <w:color w:val="auto"/>
              </w:rPr>
              <w:t>Settlement of contingent consideration through non-cash consideration</w:t>
            </w: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11,178</w:t>
            </w:r>
          </w:p>
        </w:tc>
        <w:tc>
          <w:tcPr>
            <w:tcW w:w="220" w:type="dxa"/>
            <w:vAlign w:val="bottom"/>
          </w:tcPr>
          <w:p>
            <w:pPr>
              <w:spacing w:after="0"/>
              <w:rPr>
                <w:sz w:val="12"/>
                <w:szCs w:val="12"/>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r>
      <w:tr>
        <w:trPr>
          <w:trHeight w:val="146"/>
        </w:trPr>
        <w:tc>
          <w:tcPr>
            <w:tcW w:w="54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Exchange of noncontrolling interest through non-cash consideration</w:t>
            </w:r>
          </w:p>
        </w:tc>
        <w:tc>
          <w:tcPr>
            <w:tcW w:w="720" w:type="dxa"/>
            <w:vAlign w:val="bottom"/>
            <w:shd w:val="clear" w:color="auto" w:fill="CFF0FC"/>
          </w:tcPr>
          <w:p>
            <w:pPr>
              <w:jc w:val="right"/>
              <w:ind w:right="6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6,540</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0"/>
        </w:trPr>
        <w:tc>
          <w:tcPr>
            <w:tcW w:w="5420" w:type="dxa"/>
            <w:vAlign w:val="bottom"/>
          </w:tcPr>
          <w:p>
            <w:pPr>
              <w:ind w:left="160"/>
              <w:spacing w:after="0"/>
              <w:rPr>
                <w:sz w:val="20"/>
                <w:szCs w:val="20"/>
                <w:color w:val="auto"/>
              </w:rPr>
            </w:pPr>
            <w:r>
              <w:rPr>
                <w:rFonts w:ascii="Arial" w:cs="Arial" w:eastAsia="Arial" w:hAnsi="Arial"/>
                <w:sz w:val="11"/>
                <w:szCs w:val="11"/>
                <w:color w:val="auto"/>
              </w:rPr>
              <w:t>Acquisition of businesses through non-cash consideration</w:t>
            </w: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122,395</w:t>
            </w:r>
          </w:p>
        </w:tc>
        <w:tc>
          <w:tcPr>
            <w:tcW w:w="1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7" w:name="page78"/>
    <w:bookmarkEnd w:id="7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 Organization and Description of Business</w:t>
      </w:r>
    </w:p>
    <w:p>
      <w:pPr>
        <w:spacing w:after="0" w:line="154" w:lineRule="exact"/>
        <w:rPr>
          <w:sz w:val="20"/>
          <w:szCs w:val="20"/>
          <w:color w:val="auto"/>
        </w:rPr>
      </w:pPr>
    </w:p>
    <w:p>
      <w:pPr>
        <w:ind w:left="8" w:right="280"/>
        <w:spacing w:after="0" w:line="298" w:lineRule="auto"/>
        <w:rPr>
          <w:sz w:val="20"/>
          <w:szCs w:val="20"/>
          <w:color w:val="auto"/>
        </w:rPr>
      </w:pPr>
      <w:r>
        <w:rPr>
          <w:rFonts w:ascii="Arial" w:cs="Arial" w:eastAsia="Arial" w:hAnsi="Arial"/>
          <w:sz w:val="11"/>
          <w:szCs w:val="11"/>
          <w:color w:val="auto"/>
        </w:rPr>
        <w:t>Uniti Group Inc. (the “Company,” “Uniti,” “we,” “us,” or “our”)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05" w:lineRule="exact"/>
        <w:rPr>
          <w:sz w:val="20"/>
          <w:szCs w:val="20"/>
          <w:color w:val="auto"/>
        </w:rPr>
      </w:pPr>
    </w:p>
    <w:p>
      <w:pPr>
        <w:ind w:left="8" w:right="40"/>
        <w:spacing w:after="0" w:line="256" w:lineRule="auto"/>
        <w:rPr>
          <w:sz w:val="20"/>
          <w:szCs w:val="20"/>
          <w:color w:val="auto"/>
        </w:rPr>
      </w:pPr>
      <w:r>
        <w:rPr>
          <w:rFonts w:ascii="Arial" w:cs="Arial" w:eastAsia="Arial" w:hAnsi="Arial"/>
          <w:sz w:val="12"/>
          <w:szCs w:val="12"/>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December 31, 2019, we are the sole general partner of the Operating Partnership and own approximately 98.2% of the partnership interests in the Operating Partnership.</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 Basis of Presentation and Consolidation</w:t>
      </w:r>
    </w:p>
    <w:p>
      <w:pPr>
        <w:spacing w:after="0" w:line="154"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The accompanying Consolidated Financial Statements include all accounts of the Company and, its wholly-owned and/or controlled subsidiaries, which includes the Operating Partnership. Under the Accounting Standards Codification 810, Consolidation (“ASC 810”), the Operating Partnership is considered a variable interest entity and is consolidated in the Consolidated Financial Statements of Uniti Group Inc. as the Company has determined to be the primary beneficiary. All material intercompany balances and transactions have been eliminated.</w:t>
      </w:r>
    </w:p>
    <w:p>
      <w:pPr>
        <w:spacing w:after="0" w:line="122" w:lineRule="exact"/>
        <w:rPr>
          <w:sz w:val="20"/>
          <w:szCs w:val="20"/>
          <w:color w:val="auto"/>
        </w:rPr>
      </w:pPr>
    </w:p>
    <w:p>
      <w:pPr>
        <w:ind w:left="8" w:right="60"/>
        <w:spacing w:after="0" w:line="281" w:lineRule="auto"/>
        <w:rPr>
          <w:sz w:val="20"/>
          <w:szCs w:val="20"/>
          <w:color w:val="auto"/>
        </w:rPr>
      </w:pPr>
      <w:r>
        <w:rPr>
          <w:rFonts w:ascii="Arial" w:cs="Arial" w:eastAsia="Arial" w:hAnsi="Arial"/>
          <w:sz w:val="11"/>
          <w:szCs w:val="11"/>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w:t>
      </w:r>
    </w:p>
    <w:p>
      <w:pPr>
        <w:spacing w:after="0" w:line="1" w:lineRule="exact"/>
        <w:rPr>
          <w:sz w:val="20"/>
          <w:szCs w:val="20"/>
          <w:color w:val="auto"/>
        </w:rPr>
      </w:pPr>
    </w:p>
    <w:p>
      <w:pPr>
        <w:ind w:left="8" w:hanging="8"/>
        <w:spacing w:after="0" w:line="284" w:lineRule="auto"/>
        <w:tabs>
          <w:tab w:leader="none" w:pos="185"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by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12" w:lineRule="exact"/>
        <w:rPr>
          <w:sz w:val="20"/>
          <w:szCs w:val="20"/>
          <w:color w:val="auto"/>
        </w:rPr>
      </w:pPr>
    </w:p>
    <w:p>
      <w:pPr>
        <w:ind w:left="8" w:right="340"/>
        <w:spacing w:after="0" w:line="276" w:lineRule="auto"/>
        <w:rPr>
          <w:sz w:val="20"/>
          <w:szCs w:val="20"/>
          <w:color w:val="auto"/>
        </w:rPr>
      </w:pPr>
      <w:r>
        <w:rPr>
          <w:rFonts w:ascii="Arial" w:cs="Arial" w:eastAsia="Arial" w:hAnsi="Arial"/>
          <w:sz w:val="12"/>
          <w:szCs w:val="12"/>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Going Concern</w:t>
      </w:r>
    </w:p>
    <w:p>
      <w:pPr>
        <w:spacing w:after="0" w:line="150"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 xml:space="preserve">In accordance with Accounting Standards Update ("ASU") 2014-15, </w:t>
      </w:r>
      <w:r>
        <w:rPr>
          <w:rFonts w:ascii="Arial" w:cs="Arial" w:eastAsia="Arial" w:hAnsi="Arial"/>
          <w:sz w:val="11"/>
          <w:szCs w:val="11"/>
          <w:i w:val="1"/>
          <w:iCs w:val="1"/>
          <w:color w:val="auto"/>
        </w:rPr>
        <w:t>Disclosure of Uncertainties about an Entity's Ability to Continue as a Going Concern (Subtopic 205-40)</w:t>
      </w:r>
      <w:r>
        <w:rPr>
          <w:rFonts w:ascii="Arial" w:cs="Arial" w:eastAsia="Arial" w:hAnsi="Arial"/>
          <w:sz w:val="11"/>
          <w:szCs w:val="11"/>
          <w:color w:val="auto"/>
        </w:rPr>
        <w:t>, the Company’s management has evaluated whether there are conditions and events, considered in the aggregate, that raise substantial doubt about the Company’s ability to continue as a going concern within one year after the accompanying Consolidated Financial Statements are issued.</w:t>
      </w:r>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We are party to a master lease agreement (the “Master Lease”) with Windstream Holdings, Inc. (“Windstream Holdings” and together with its consolidated subsidiaries “Windstream”), from which 65.0% of our revenue for the year ended December 31, 2019 was derived. In recent years, Windstream has experienced annual declines in its total revenue, sales and cash flow, and has had its credit ratings downgraded by nationally recognized credit rating agencies multiple times.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Prior to its bankruptcy filing described below, Windstream was involved in litigation with an entity who acquired certain Windstream debt securities and thereafter issued a notice of default as to such securities relating to the Spin- 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and is currently operating as a ‘‘debtor in possession’’ under supervision of the Bankruptcy Court.</w:t>
      </w:r>
    </w:p>
    <w:p>
      <w:pPr>
        <w:spacing w:after="0" w:line="128" w:lineRule="exact"/>
        <w:rPr>
          <w:sz w:val="20"/>
          <w:szCs w:val="20"/>
          <w:color w:val="auto"/>
        </w:rPr>
      </w:pPr>
    </w:p>
    <w:p>
      <w:pPr>
        <w:ind w:right="20"/>
        <w:spacing w:after="0" w:line="277" w:lineRule="auto"/>
        <w:rPr>
          <w:sz w:val="20"/>
          <w:szCs w:val="20"/>
          <w:color w:val="auto"/>
        </w:rPr>
      </w:pPr>
      <w:r>
        <w:rPr>
          <w:rFonts w:ascii="Arial" w:cs="Arial" w:eastAsia="Arial" w:hAnsi="Arial"/>
          <w:sz w:val="11"/>
          <w:szCs w:val="11"/>
          <w:color w:val="auto"/>
        </w:rPr>
        <w:t>In bankruptcy, Windstream has the option to assume or reject the Master Lease. Because the Master Lease is a single indivisible Master Lease with a single rent payment, it must be assumed or rejected in whole and cannot be sub-divided by facility or market absent Uniti’s consent.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Windstream would require approval from the Public Utility Commissions (“PUC”) and the Federal Communications Commission (“FCC”) to cease providing service in those markets. As a result, we believe the probability of Windstream rejecting the Master Lease in bankruptcy to be remote. Windstream has filed claims against us alleging,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which could affect our status as a REIT; that the Master Lease is a lease of personal property; and that rent payments and tenant capital improvements made by Windstream under the Master Lease since at least the third quarter of 2017 constitute constructive fraudulent transfers. A rejection of the Master Lease, an adverse determination by a judge on Windstream’s claims against us,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maintain our status as a REIT. We participated in mediation of these claims in Windstream’s bankruptcy. On March 2, 2020, Uniti and Windstream jointly announced that they have reached an agreement in principle to resolve any and all claims and causes of action that have been or may be asserted against Uniti by Windstream, including all litigation brought by Windstream and certain of its creditors in the context of Windstream’s Bankruptcy. See Note 22.</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The Company has considered the mitigating effects of management’s plans to alleviate the substantial doubt about the ability to continue as a going concern in the event there is a disruption in the payments due to us under the Master Lease prior to Windstream’s assumption or rejection of the lease, or in the event the settlement is not effectuated, and Windstream rejects the lease or if there is any adverse determinations in respect of Windstream’s claims. Those plans include deferring, reducing or delaying cash dividends and capital expenditures, if necessary, paying one or more dividends that are required to maintain our REIT status in shares to the extent allowed under the IRS REIT rules, curtailing acquisition activities, accessing the capital markets and identifying alternative sources of liquidity. Based on our analysis, including consideration of the assurances Windstream has made with respect to the payment of rent, we believe that we have adequate liquidity to continue to fund our operations for twelve months after the issuance of the accompanying Consolidated Financial Statements absent any adverse determination in respect to Windstream’s claims or disruptions in rent payments under the Master Lease.</w:t>
      </w:r>
    </w:p>
    <w:p>
      <w:pPr>
        <w:spacing w:after="0" w:line="128"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Although management has concluded the probability of a rejection of the Master Lease to be remote (were our settlement to be rejected), and has noted the absence of any provision in the Master Lease that contemplates renegotiation of the lease and the lack of any ability of the bankruptcy court to unilaterally reset the rent or terms of the lease, it is difficult to predict what could occur in Windstream’s bankruptcy restructuring, including any judicial</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decisions in respect of claims against us by Windstream or its creditors. In addition, our Credit Agreement prohibits the Company from amending the Master Lease in a manner that, among other provisions, pro forma for any such amendment, would result in a consolidated secured leverage ratio that exceeds 5.0 to 1.0. Furthermore, management has no intention amending the Master Lease in a manner that would violate our debt covenants.</w:t>
      </w:r>
    </w:p>
    <w:p>
      <w:pPr>
        <w:spacing w:after="0" w:line="92"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On March 2, 2020, Uniti and Windstream jointly announced that the mediation has culminated in an agreement in principle (the “Settlement”) to resolve any and all claims and causes of action that have been or may be asserted against Uniti by Windstream, including all litigation brought by Windstream and certain of its creditors in the context of Windstream’s bankruptcy. See Note 22. In connection with the Settlement, among other provisions, Windstream and Uniti have agreed to bifurcate the Master Lease into two structurally similar agreements to govern Windstream’s incumbent local exchange carrier (“ILEC”) and competitive local exchange carrier (“CLEC”) facilities, respectively (collectively, the “New Leases”). Parties to the New Leases include Windstream Holdings, Inc., Windstream Services, LLC, and its other relevant subsidiaries. The New Leases will be cross-guaranteed and cross-defaulted unless Windstream ceases to be the tenant, and the initial aggregate annual rent under the New Leases will be equal to the annual rent under the Master Lease currently in effect.</w:t>
      </w:r>
    </w:p>
    <w:p>
      <w:pPr>
        <w:spacing w:after="0" w:line="113"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Settlement is subject to negotiation and execution of definitive documentation and certain regulatory approvals and conditions precedent, including bankruptcy court approval and Uniti’s U.S. federal income tax compliance. All litigation between Windstream and Uniti will be stayed while the parties negotiate and prepare the definitive documentation implementing the Settlement. However, if the conditions of the settlement are not satisfied, the litigation would be resumed.</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The Company has evaluated its ability to continue as a going concern in light of the Settlement, including the impact of the New Leases on our compliance with our debt covenants, noting that our Credit Agreement would prohibit us from entering into the New Leases that on a pro forma basis, would result in a consolidated secured leverage that exceeds 5.0 to 1.0. Furthermore, management has no intentions to structure the New Leases in a manner that would violate our debt covenants. However, there can be no certainty as to the satisfaction of the conditions precedent in the Settlement, the outcome of judicial decisions should litigation resume, and Windstream’s decision to assume or reject the Master Lease should the Settlement not become effective. Therefore, substantial doubt exists about our ability to continue as a going concern within one year after the issuance of the financial statements.</w:t>
      </w:r>
    </w:p>
    <w:p>
      <w:pPr>
        <w:spacing w:after="0" w:line="11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accompanying Consolidated Financial Statements have been prepared on a going concern basis, which contemplates the realization of assets and satisfaction of liabilities in the ordinary course of business. The financial statements do not include any adjustments that might be necessary if the Company is unable to continue as a going concern.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u w:val="single" w:color="auto"/>
          <w:color w:val="auto"/>
        </w:rPr>
        <w:t>Use of Estimates</w:t>
      </w:r>
      <w:r>
        <w:rPr>
          <w:rFonts w:ascii="Arial" w:cs="Arial" w:eastAsia="Arial" w:hAnsi="Arial"/>
          <w:sz w:val="11"/>
          <w:szCs w:val="11"/>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2"/>
          <w:szCs w:val="12"/>
          <w:u w:val="single" w:color="auto"/>
          <w:color w:val="auto"/>
        </w:rPr>
        <w:t>Property, Plant and Equipment</w:t>
      </w:r>
      <w:r>
        <w:rPr>
          <w:rFonts w:ascii="Arial" w:cs="Arial" w:eastAsia="Arial" w:hAnsi="Arial"/>
          <w:sz w:val="12"/>
          <w:szCs w:val="12"/>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capitalizes a portion of the interest costs it incurs for assets that require a period of time to get them ready for their intended use. The amount of interest that is capitalized is based on the average accumulated expenditures made during the period involved in bringing the assets comprising a network to an operational state at the Company’s weighted average interest rate during the respective accounting period.</w:t>
      </w:r>
    </w:p>
    <w:p>
      <w:pPr>
        <w:spacing w:after="0" w:line="124" w:lineRule="exact"/>
        <w:rPr>
          <w:sz w:val="20"/>
          <w:szCs w:val="20"/>
          <w:color w:val="auto"/>
        </w:rPr>
      </w:pPr>
    </w:p>
    <w:p>
      <w:pPr>
        <w:ind w:right="40"/>
        <w:spacing w:after="0" w:line="149" w:lineRule="exact"/>
        <w:rPr>
          <w:sz w:val="20"/>
          <w:szCs w:val="20"/>
          <w:color w:val="auto"/>
        </w:rPr>
      </w:pPr>
      <w:r>
        <w:rPr>
          <w:rFonts w:ascii="Arial" w:cs="Arial" w:eastAsia="Arial" w:hAnsi="Arial"/>
          <w:sz w:val="12"/>
          <w:szCs w:val="12"/>
          <w:color w:val="auto"/>
        </w:rPr>
        <w:t>The Company also enters into leasing arrangements providing for the long</w:t>
      </w:r>
      <w:r>
        <w:rPr>
          <w:rFonts w:ascii="MS PGothic" w:cs="MS PGothic" w:eastAsia="MS PGothic" w:hAnsi="MS PGothic"/>
          <w:sz w:val="12"/>
          <w:szCs w:val="12"/>
          <w:color w:val="auto"/>
        </w:rPr>
        <w:t>‑</w:t>
      </w:r>
      <w:r>
        <w:rPr>
          <w:rFonts w:ascii="Arial" w:cs="Arial" w:eastAsia="Arial" w:hAnsi="Arial"/>
          <w:sz w:val="12"/>
          <w:szCs w:val="12"/>
          <w:color w:val="auto"/>
        </w:rPr>
        <w:t>term use of constructed fiber that is then integrated into the Company’s network infrastructure. For each lease that qualifies as a finance lease, the present value of the lease payments, which may include both periodic lease payments over the term of the lease as well as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upfront payments to the lessor, is capitalized at the inception of the lease and included in property and equipment. As of December 31, 2019 and 2018, the accumulated amortization of our finance lease assets was $24.3 million and $15.8 million, respectively.</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Certain property, plant and equipment acquired as part of our spin-off from Windstream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finance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will begin once the construction period has ceased and the related asset has been placed into service, in which it will be depreciated over its useful life.</w:t>
      </w:r>
    </w:p>
    <w:p>
      <w:pPr>
        <w:spacing w:after="0" w:line="12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Costs of maintenance and repairs to property, plant and equipment subject triple-net leasing arrangements are the responsibility of our tenant. Costs of maintenance and repairs to property, plant and equipment not subject to triple-net leasing arrangements are expensed as incurred.</w:t>
      </w:r>
    </w:p>
    <w:p>
      <w:pPr>
        <w:spacing w:after="0" w:line="115" w:lineRule="exact"/>
        <w:rPr>
          <w:sz w:val="20"/>
          <w:szCs w:val="20"/>
          <w:color w:val="auto"/>
        </w:rPr>
      </w:pPr>
    </w:p>
    <w:p>
      <w:pPr>
        <w:jc w:val="both"/>
        <w:ind w:right="240"/>
        <w:spacing w:after="0" w:line="263" w:lineRule="auto"/>
        <w:rPr>
          <w:sz w:val="20"/>
          <w:szCs w:val="20"/>
          <w:color w:val="auto"/>
        </w:rPr>
      </w:pPr>
      <w:r>
        <w:rPr>
          <w:rFonts w:ascii="Arial" w:cs="Arial" w:eastAsia="Arial" w:hAnsi="Arial"/>
          <w:sz w:val="12"/>
          <w:szCs w:val="12"/>
          <w:color w:val="auto"/>
        </w:rPr>
        <w:t>We acquire real property interests from third parties who own land where communications infrastructure assets are located and desire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Real property interests are recorded in property, plant and equipment on our Consolidated Balance Sheet.</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u w:val="single" w:color="auto"/>
          <w:color w:val="auto"/>
        </w:rPr>
        <w:t>Tenant Capital Improvements</w:t>
      </w:r>
      <w:r>
        <w:rPr>
          <w:rFonts w:ascii="Arial" w:cs="Arial" w:eastAsia="Arial" w:hAnsi="Arial"/>
          <w:sz w:val="12"/>
          <w:szCs w:val="12"/>
          <w:color w:val="auto"/>
        </w:rPr>
        <w:t>—Our lease with Windstream provides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At December 31, 2019 and 2018, the net book value of TCIs recorded as a component of property, plant and equipment on our Consolidated Balance Sheet was $698.8 million and $562.9 million, respectively. For the years ended December 31, 2019, 2018 and 2017, we recognized $29.0 million, $23.1 million, and $14.3 million of revenue and depreciation expense related to TCIs, respectively.</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u w:val="single" w:color="auto"/>
          <w:color w:val="auto"/>
        </w:rPr>
        <w:t>Impairment of Long-Lived Assets</w:t>
      </w:r>
      <w:r>
        <w:rPr>
          <w:rFonts w:ascii="Arial" w:cs="Arial" w:eastAsia="Arial" w:hAnsi="Arial"/>
          <w:sz w:val="12"/>
          <w:szCs w:val="12"/>
          <w:color w:val="auto"/>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During the years ended December 31, 2019, 2018 and 2017, there were no events or changes in circumstances indicating that the carrying amount of any of our assets groups to not be recoverable from future undiscounted net cash flows we expect the asset groups to generate, and no impairment losses were recognized.</w:t>
      </w:r>
    </w:p>
    <w:p>
      <w:pPr>
        <w:spacing w:after="0" w:line="124" w:lineRule="exact"/>
        <w:rPr>
          <w:sz w:val="20"/>
          <w:szCs w:val="20"/>
          <w:color w:val="auto"/>
        </w:rPr>
      </w:pPr>
    </w:p>
    <w:p>
      <w:pPr>
        <w:spacing w:after="0" w:line="146" w:lineRule="exact"/>
        <w:rPr>
          <w:sz w:val="20"/>
          <w:szCs w:val="20"/>
          <w:color w:val="auto"/>
        </w:rPr>
      </w:pPr>
      <w:r>
        <w:rPr>
          <w:rFonts w:ascii="Arial" w:cs="Arial" w:eastAsia="Arial" w:hAnsi="Arial"/>
          <w:sz w:val="11"/>
          <w:szCs w:val="11"/>
          <w:u w:val="single" w:color="auto"/>
          <w:color w:val="auto"/>
        </w:rPr>
        <w:t>Asset Retirement Obligations</w:t>
      </w:r>
      <w:r>
        <w:rPr>
          <w:rFonts w:ascii="Arial" w:cs="Arial" w:eastAsia="Arial" w:hAnsi="Arial"/>
          <w:sz w:val="11"/>
          <w:szCs w:val="11"/>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The associated asset retirement costs are capitalized as an additional carrying amount of the related long</w:t>
      </w:r>
      <w:r>
        <w:rPr>
          <w:rFonts w:ascii="MS PGothic" w:cs="MS PGothic" w:eastAsia="MS PGothic" w:hAnsi="MS PGothic"/>
          <w:sz w:val="11"/>
          <w:szCs w:val="11"/>
          <w:color w:val="auto"/>
        </w:rPr>
        <w:t>‑</w:t>
      </w:r>
      <w:r>
        <w:rPr>
          <w:rFonts w:ascii="Arial" w:cs="Arial" w:eastAsia="Arial" w:hAnsi="Arial"/>
          <w:sz w:val="11"/>
          <w:szCs w:val="11"/>
          <w:color w:val="auto"/>
        </w:rPr>
        <w:t>lived asset and depreciated on a straight-line basis over the asset’s useful life. As of December 31, 2019 and 2018, our aggregate carrying amount of asset retirement obligations totaled $9.5 million and $10.4 million, respectively. During the years ended December 31, 2019 and 2018, we incurred liabilities of $0.6 million and $0.1 million related to asset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retirement obligations, respectively.  During the years ended December 31, 2019, 2018, and 2017, we recognized $1.3 million, $0.9 million, and $4.4 million of accretion expense related to asset retirement obligations,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Cash and Cash Equivalents</w:t>
      </w:r>
      <w:r>
        <w:rPr>
          <w:rFonts w:ascii="Arial" w:cs="Arial" w:eastAsia="Arial" w:hAnsi="Arial"/>
          <w:sz w:val="11"/>
          <w:szCs w:val="11"/>
          <w:color w:val="auto"/>
        </w:rPr>
        <w:t>—Cash and cash equivalents include all non-restricted cash held at financial institutions and other non-restricted highly liquid short-term investments with original maturities of three months or less.</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u w:val="single" w:color="auto"/>
          <w:color w:val="auto"/>
        </w:rPr>
        <w:t>Derivative Instruments and Hedging Activities</w:t>
      </w:r>
      <w:r>
        <w:rPr>
          <w:rFonts w:ascii="Arial" w:cs="Arial" w:eastAsia="Arial" w:hAnsi="Arial"/>
          <w:sz w:val="12"/>
          <w:szCs w:val="12"/>
          <w:color w:val="auto"/>
        </w:rPr>
        <w:t xml:space="preserve">—We account for our derivatives in accordance with FASB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in which we reflect all derivative instruments at fair value as either assets or liabilities on our Consolidated Balance Sheet.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See Note 7 and Note 9.</w:t>
      </w:r>
    </w:p>
    <w:p>
      <w:pPr>
        <w:spacing w:after="0" w:line="124" w:lineRule="exact"/>
        <w:rPr>
          <w:sz w:val="20"/>
          <w:szCs w:val="20"/>
          <w:color w:val="auto"/>
        </w:rPr>
      </w:pPr>
    </w:p>
    <w:p>
      <w:pPr>
        <w:spacing w:after="0" w:line="255" w:lineRule="auto"/>
        <w:rPr>
          <w:rFonts w:ascii="Arial" w:cs="Arial" w:eastAsia="Arial" w:hAnsi="Arial"/>
          <w:sz w:val="12"/>
          <w:szCs w:val="12"/>
          <w:color w:val="auto"/>
        </w:rPr>
      </w:pPr>
      <w:r>
        <w:rPr>
          <w:rFonts w:ascii="Arial" w:cs="Arial" w:eastAsia="Arial" w:hAnsi="Arial"/>
          <w:sz w:val="12"/>
          <w:szCs w:val="12"/>
          <w:u w:val="single" w:color="auto"/>
          <w:color w:val="auto"/>
        </w:rPr>
        <w:t>Exchangeable Notes and Related Transactions</w:t>
      </w:r>
      <w:r>
        <w:rPr>
          <w:rFonts w:ascii="Arial" w:cs="Arial" w:eastAsia="Arial" w:hAnsi="Arial"/>
          <w:sz w:val="12"/>
          <w:szCs w:val="12"/>
          <w:color w:val="auto"/>
        </w:rPr>
        <w:t xml:space="preserve">—On June 28, 2019, Uniti Fiber Holdings, Inc. (“Uniti Fiber”), a subsidiary of the Company, issued $345 million aggregate principal amount of 4.00% Exchangeable Senior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In accordance with ASC 470-20, </w:t>
      </w:r>
      <w:r>
        <w:rPr>
          <w:rFonts w:ascii="Arial" w:cs="Arial" w:eastAsia="Arial" w:hAnsi="Arial"/>
          <w:sz w:val="12"/>
          <w:szCs w:val="12"/>
          <w:i w:val="1"/>
          <w:iCs w:val="1"/>
          <w:color w:val="auto"/>
        </w:rPr>
        <w:t>Debt – Debt with Conversion and Other Options</w:t>
      </w:r>
      <w:r>
        <w:rPr>
          <w:rFonts w:ascii="Arial" w:cs="Arial" w:eastAsia="Arial" w:hAnsi="Arial"/>
          <w:sz w:val="12"/>
          <w:szCs w:val="12"/>
          <w:color w:val="auto"/>
        </w:rPr>
        <w:t xml:space="preserve">, because the conversion feature in the Exchangeable Notes is not bifurcated pursuant to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and because the conversion can be settled in cash, shares, or a combination thereof, the Exchangeable Notes were separated into a liability component and an equity component in a manner that reflects Uniti Fiber’s non-convertible debt borrowing rate. The carrying amount of the liability component was calculated by measuring the fair value of a similar liability that does not have an associated conversion feature. </w:t>
      </w:r>
      <w:hyperlink r:id="rId103">
        <w:r>
          <w:rPr>
            <w:rFonts w:ascii="Arial" w:cs="Arial" w:eastAsia="Arial" w:hAnsi="Arial"/>
            <w:sz w:val="12"/>
            <w:szCs w:val="12"/>
            <w:color w:val="auto"/>
          </w:rPr>
          <w:t>See Note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-20955</wp:posOffset>
            </wp:positionV>
            <wp:extent cx="36957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69570" cy="5715"/>
                    </a:xfrm>
                    <a:prstGeom prst="rect">
                      <a:avLst/>
                    </a:prstGeom>
                    <a:noFill/>
                  </pic:spPr>
                </pic:pic>
              </a:graphicData>
            </a:graphic>
          </wp:anchor>
        </w:drawing>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 connection with the offering of the Exchangeable Notes, Uniti Fiber entered into exchangeable note hedge transactions with respect to the Company’s common stock (the “Note Hedge Transactions”) with certain of the Initial Purchasers (as defined in Note 11) or their respective affiliates (collectively, the “Counterparties”). In addition, the Company entered into warrant transactions to sell to the Counterparties warrants (the “Warrants”) to acquire, subject to anti-dilution adjustments, up to approximately 27.8 million shares of the Company’s common stock in the aggregate at an exercise price of $16.42 per share. The warrant transactions may have a dilutive effect with respect to the Company’s common stock to the extent the market price per share of the Company’s common stock exceeds the strike price of the Warrants. While the Note Hedge Transactions and the Warrants meet the definition of a derivative in ASC 815-10-15-83, they each meet the equity scope exception specified in ASC 815-10-15-74(a); as such, the Warrants and the Notes Hedge Transactions are not accounted for as derivatives that must be remeasured each reporting period and instead, are recorded in stockholders’ deficit. See Note 9.</w:t>
      </w:r>
    </w:p>
    <w:p>
      <w:pPr>
        <w:spacing w:after="0" w:line="128" w:lineRule="exact"/>
        <w:rPr>
          <w:sz w:val="20"/>
          <w:szCs w:val="20"/>
          <w:color w:val="auto"/>
        </w:rPr>
      </w:pPr>
    </w:p>
    <w:p>
      <w:pPr>
        <w:ind w:right="160"/>
        <w:spacing w:after="0" w:line="379" w:lineRule="auto"/>
        <w:rPr>
          <w:sz w:val="20"/>
          <w:szCs w:val="20"/>
          <w:color w:val="auto"/>
        </w:rPr>
      </w:pPr>
      <w:r>
        <w:rPr>
          <w:rFonts w:ascii="Arial" w:cs="Arial" w:eastAsia="Arial" w:hAnsi="Arial"/>
          <w:sz w:val="10"/>
          <w:szCs w:val="10"/>
          <w:u w:val="single" w:color="auto"/>
          <w:color w:val="auto"/>
        </w:rPr>
        <w:t>Intangible Assets</w:t>
      </w:r>
      <w:r>
        <w:rPr>
          <w:rFonts w:ascii="Arial" w:cs="Arial" w:eastAsia="Arial" w:hAnsi="Arial"/>
          <w:sz w:val="10"/>
          <w:szCs w:val="10"/>
          <w:color w:val="auto"/>
        </w:rPr>
        <w:t>—Intangible assets are presented in the financial statements at cost less accumulated amortization and are amortized using the straight-line method over their estimated useful lives with the exception of the customer list intangible assets related to our Consumer CLEC Business, which were brought over at carry-over basis at the time of Spin-Off, and are amortized using the sum-of-the-years’-digits method over their estimated useful lives.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2"/>
          <w:szCs w:val="12"/>
          <w:u w:val="single" w:color="auto"/>
          <w:color w:val="auto"/>
        </w:rPr>
        <w:t>Foreign Currency Translation</w:t>
      </w:r>
      <w:r>
        <w:rPr>
          <w:rFonts w:ascii="Arial" w:cs="Arial" w:eastAsia="Arial" w:hAnsi="Arial"/>
          <w:sz w:val="12"/>
          <w:szCs w:val="12"/>
          <w:color w:val="auto"/>
        </w:rPr>
        <w:t>—The financial statements of our international subsidiaries whose functional currency is the local currency, and includes the Mexican Peso and Colombian Peso,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deficit. On April 2, 2019, the Company ceased transactions involving foreign currencies with the completed sale of the Uniti Towers’ Latin America business (see Note 6), which included our international subsidiaries.</w:t>
      </w:r>
    </w:p>
    <w:p>
      <w:pPr>
        <w:spacing w:after="0" w:line="124"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u w:val="single" w:color="auto"/>
          <w:color w:val="auto"/>
        </w:rPr>
        <w:t>Transaction Related and Other Costs</w:t>
      </w:r>
      <w:r>
        <w:rPr>
          <w:rFonts w:ascii="Arial" w:cs="Arial" w:eastAsia="Arial" w:hAnsi="Arial"/>
          <w:sz w:val="12"/>
          <w:szCs w:val="12"/>
          <w:color w:val="auto"/>
        </w:rPr>
        <w:t>—The Company expenses non-capitalizable transaction related and other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an acquisition. Integration costs include direct costs necessary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to integrate an acquired business, including professional services, systems and data conversion, severance and retention bonuses payable to employees of an acquired business. In addition, other costs, such as costs incurred as a result of Windstream’s bankruptcy filing, costs associated with Windstream’s claims against us (see Note 15), and costs associated with the implementation of our new enterprise resource planning system are included within this line item on the Consolidated Statements of Income.</w:t>
      </w:r>
    </w:p>
    <w:p>
      <w:pPr>
        <w:spacing w:after="0" w:line="122"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u w:val="single" w:color="auto"/>
          <w:color w:val="auto"/>
        </w:rPr>
        <w:t>Debt Issuance Costs</w:t>
      </w:r>
      <w:r>
        <w:rPr>
          <w:rFonts w:ascii="Arial" w:cs="Arial" w:eastAsia="Arial" w:hAnsi="Arial"/>
          <w:sz w:val="12"/>
          <w:szCs w:val="12"/>
          <w:color w:val="auto"/>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u w:val="single" w:color="auto"/>
          <w:color w:val="auto"/>
        </w:rPr>
        <w:t>Revenue Recognition</w:t>
      </w:r>
      <w:r>
        <w:rPr>
          <w:rFonts w:ascii="Arial" w:cs="Arial" w:eastAsia="Arial" w:hAnsi="Arial"/>
          <w:sz w:val="12"/>
          <w:szCs w:val="12"/>
          <w:color w:val="auto"/>
        </w:rPr>
        <w:t xml:space="preserve">— As discussed in “Recently Issued Accounting Standards” in this Note 3, the Company adopted ASU No.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(“ASC 842”) on January 1, 2019. Prior to the adoption of ASC 842, the Company recognized leasing revenues on a straight-line basis over the applicable lease term when collectability is reasonably assured. Recognizing leasing income on a straight-line basis generally results in recognized revenues during the first half of the lease term in excess of cash amounts contractually due from our tenants, creating a straight-line rent receivable.</w:t>
      </w:r>
    </w:p>
    <w:p>
      <w:pPr>
        <w:spacing w:after="0" w:line="122"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We lease certain assets to Windstream under a triple-net lease, whereby Windstream is responsible for the costs related to operating the Distribution Systems, including property taxes, insurance and maintenance and repair costs. As a result, we do not record an obligation related to the payment of property taxes or insurance, as Windstream makes direct payments to the taxing authorities and insurance carriers, respectively.</w:t>
      </w:r>
    </w:p>
    <w:p>
      <w:pPr>
        <w:spacing w:after="0" w:line="92" w:lineRule="exact"/>
        <w:rPr>
          <w:sz w:val="20"/>
          <w:szCs w:val="20"/>
          <w:color w:val="auto"/>
        </w:rPr>
      </w:pPr>
    </w:p>
    <w:p>
      <w:pPr>
        <w:spacing w:after="0" w:line="145" w:lineRule="exact"/>
        <w:rPr>
          <w:sz w:val="20"/>
          <w:szCs w:val="20"/>
          <w:color w:val="auto"/>
        </w:rPr>
      </w:pPr>
      <w:r>
        <w:rPr>
          <w:rFonts w:ascii="Arial" w:cs="Arial" w:eastAsia="Arial" w:hAnsi="Arial"/>
          <w:sz w:val="11"/>
          <w:szCs w:val="11"/>
          <w:color w:val="auto"/>
        </w:rPr>
        <w:t xml:space="preserve">The Company adopted ASU No. 2014-09, </w:t>
      </w:r>
      <w:r>
        <w:rPr>
          <w:rFonts w:ascii="Arial" w:cs="Arial" w:eastAsia="Arial" w:hAnsi="Arial"/>
          <w:sz w:val="11"/>
          <w:szCs w:val="11"/>
          <w:i w:val="1"/>
          <w:iCs w:val="1"/>
          <w:color w:val="auto"/>
        </w:rPr>
        <w:t>Revenue from Contracts with Customers (Topic 606)</w:t>
      </w:r>
      <w:r>
        <w:rPr>
          <w:rFonts w:ascii="Arial" w:cs="Arial" w:eastAsia="Arial" w:hAnsi="Arial"/>
          <w:sz w:val="11"/>
          <w:szCs w:val="11"/>
          <w:color w:val="auto"/>
        </w:rPr>
        <w:t xml:space="preserve"> (“Topic 606”) on January 1, 2018 (see Note 4). Prior to the adoption of Topic 606, the Company recognized service revenues related to its broadband transport and backhaul communications services when (i) persuasive evidence of an arrangement exists, (ii) the services have been provided to the customer, (iii) the sales price was fixed or determinable, and (iv) the collection of the sales price is reasonably assured. Services provided to the Company’s customers are rendered pursuant to contractual fee</w:t>
      </w:r>
      <w:r>
        <w:rPr>
          <w:rFonts w:ascii="MS PGothic" w:cs="MS PGothic" w:eastAsia="MS PGothic" w:hAnsi="MS PGothic"/>
          <w:sz w:val="11"/>
          <w:szCs w:val="11"/>
          <w:color w:val="auto"/>
        </w:rPr>
        <w:t>‑</w:t>
      </w:r>
      <w:r>
        <w:rPr>
          <w:rFonts w:ascii="Arial" w:cs="Arial" w:eastAsia="Arial" w:hAnsi="Arial"/>
          <w:sz w:val="11"/>
          <w:szCs w:val="11"/>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37"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We evaluate the collectability of service receivables by considering a variety of factors. The Company typically does not require collateral. When the Company becomes aware of a specific customer’s inability to meet its financial obligations, the Company records a specific reserve for bad debt to reduce the related accounts receivable to the amount the Company reasonably believes is collectible. When appropriate, the Company also records reserves for bad debts for all other customers based on a variety of factors including the length of time the receivable is past due, the financial health of the customer, macroeconomic considerations and historical experience. If circumstances related to specific customers change, the Company adjusts its estimates of the recoverability of receivables as needed. At December 31, 2019 and 2018, the allowance recorded for service receivables was $2.7 million and $2.3 million, respectively.</w:t>
      </w:r>
    </w:p>
    <w:p>
      <w:pPr>
        <w:spacing w:after="0" w:line="128"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Consumer CLEC Business revenues are primarily derived from providing access to or usage of leased networks and facilities and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22"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u w:val="single" w:color="auto"/>
          <w:color w:val="auto"/>
        </w:rPr>
        <w:t>Straight-Line Revenue Receivable</w:t>
      </w:r>
      <w:r>
        <w:rPr>
          <w:rFonts w:ascii="Arial" w:cs="Arial" w:eastAsia="Arial" w:hAnsi="Arial"/>
          <w:sz w:val="12"/>
          <w:szCs w:val="12"/>
          <w:color w:val="auto"/>
        </w:rPr>
        <w:t>—The adoption of ASC 842, discussed in “Recently Issued Accounting Standards” in this Note 3, on January 1, 2019 supersedes prior guidance regarding the evaluation of collectability of lease receivables, including straight-line revenue receivables. We have evaluated the collectability of our straight-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line revenue receivable associated with the Master Lease in accordance with the transition provisions of ASC 842. At the date of adoption, due to uncertainties surrounding Windstream’s operations and liquidity, including uncertainties surrounding the outcome of Windstream’s pending litigation, we concluded that it was not probable that we would collect all future payments due to the Company over the initial term of the Master Lease. As a result, effective January 1, 2019, the Company recorded the Master Lease on a cash basis in accordance with ASC 842 and will not reflect a straight-line revenue receivable until a time at which collectability of all future rents is determined to be probable. At the adoption of ASC 842, we reflected the write off of the straight-line revenue balance as of January 1, 2019 as a $61.5 million adjustment to equity resulting from the change in accounting standard.</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u w:val="single" w:color="auto"/>
          <w:color w:val="auto"/>
        </w:rPr>
        <w:t>Stock-Based Compensation</w:t>
      </w:r>
      <w:r>
        <w:rPr>
          <w:rFonts w:ascii="Arial" w:cs="Arial" w:eastAsia="Arial" w:hAnsi="Arial"/>
          <w:sz w:val="12"/>
          <w:szCs w:val="12"/>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 The fair value of performance-based awards, which have performance conditions, is based on a Monte Carlo simulation. The fair value of all stock-based compensation is recognized over the period during which an employee is required to provide services in exchange for the award. See Note 12.</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u w:val="single" w:color="auto"/>
          <w:color w:val="auto"/>
        </w:rPr>
        <w:t>Income Taxes</w:t>
      </w:r>
      <w:r>
        <w:rPr>
          <w:rFonts w:ascii="Arial" w:cs="Arial" w:eastAsia="Arial" w:hAnsi="Arial"/>
          <w:sz w:val="12"/>
          <w:szCs w:val="12"/>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Subject to the temporary restriction imposed by the waiver and amendment to our Credit Agreement (see Note 11), our ability to make cash distributions to our shareholders in amounts exceeding 90% of our REIT taxable income, determined without regard to the dividends paid deduction and excluding any capital gains, generally will be restricted.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well as certain portions of Uniti Towers, as taxable REIT subsidiaries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is subject to restrictions on distributions to its shareholders based on our Credit Agreement as amended. The restrictions permit the Company to make the minimum required distribution to maintain its status as a REIT, which is limited to 90% of our REIT taxable income. The restrictions will remain in place until a plan of reorganization for Windstream has become effective and other conditions related to the Company’s net leverage ratio are satisfied. Management believes that the requirements for a reversion will occur before the end of calendar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year 2020. Further, upon reversion, the Company expects to make one or more distributions to its shareholders to ensure that it has distributed at least 100% of its 2020 REIT taxable income. Therefore, the Company believes that the REIT will not incur federal or state income tax related to its 2020 tax year (other than certain local income taxes) and thus no deferred income taxes related to differences between the financial statement carrying amounts of existing assets and liabilities and their respective tax bases at the REIT should be recorded as of December 31, 2019.</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unrecognized tax benefits of $1.7 million recorded in deferred incomes taxes on our Consolidated Balance Sheet.</w:t>
      </w:r>
    </w:p>
    <w:p>
      <w:pPr>
        <w:spacing w:after="0" w:line="12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Company will be subject to a federal corporate level tax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15" w:lineRule="exact"/>
        <w:rPr>
          <w:sz w:val="20"/>
          <w:szCs w:val="20"/>
          <w:color w:val="auto"/>
        </w:rPr>
      </w:pPr>
    </w:p>
    <w:p>
      <w:pPr>
        <w:ind w:right="100"/>
        <w:spacing w:after="0" w:line="280" w:lineRule="auto"/>
        <w:rPr>
          <w:sz w:val="20"/>
          <w:szCs w:val="20"/>
          <w:color w:val="auto"/>
        </w:rPr>
      </w:pPr>
      <w:r>
        <w:rPr>
          <w:rFonts w:ascii="Arial" w:cs="Arial" w:eastAsia="Arial" w:hAnsi="Arial"/>
          <w:sz w:val="11"/>
          <w:szCs w:val="11"/>
          <w:u w:val="single" w:color="auto"/>
          <w:color w:val="auto"/>
        </w:rPr>
        <w:t>Business Combinations and Asset Acquisitions</w:t>
      </w:r>
      <w:r>
        <w:rPr>
          <w:rFonts w:ascii="Arial" w:cs="Arial" w:eastAsia="Arial" w:hAnsi="Arial"/>
          <w:sz w:val="11"/>
          <w:szCs w:val="11"/>
          <w:color w:val="auto"/>
        </w:rPr>
        <w:t xml:space="preserve">—In accordance with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For acquisitions meeting the definition of a business combination, any excess of the purchase price paid by the Company over the amounts recognized for assets acquired and liabilities assumed is recorded as goodwill.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u w:val="single" w:color="auto"/>
          <w:color w:val="auto"/>
        </w:rPr>
        <w:t>Noncontrolling Interest</w:t>
      </w:r>
      <w:r>
        <w:rPr>
          <w:rFonts w:ascii="Arial" w:cs="Arial" w:eastAsia="Arial" w:hAnsi="Arial"/>
          <w:sz w:val="12"/>
          <w:szCs w:val="12"/>
          <w:color w:val="auto"/>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Income, we allocate net income (loss) attributable to noncontrolling interests to arrive at net income (loss) attributable to shareholders based on their proportionate share.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transactions that result in changes to the Company's ownership interest in our operating partnership, the carrying amount of noncontrolling interests is adjusted to reflect such changes. The difference between the fair value of the consideration received or paid and the amount by which the noncontrolling interest is adjusted is reflected as an adjustment to additional paid-in capital on the Consolidated Balance Sheets.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u w:val="single" w:color="auto"/>
          <w:color w:val="auto"/>
        </w:rPr>
        <w:t>Goodwill</w:t>
      </w:r>
      <w:r>
        <w:rPr>
          <w:rFonts w:ascii="Arial" w:cs="Arial" w:eastAsia="Arial" w:hAnsi="Arial"/>
          <w:sz w:val="12"/>
          <w:szCs w:val="12"/>
          <w:color w:val="auto"/>
        </w:rPr>
        <w:t xml:space="preserve">—As of December 31, 2019 and 2018, all of our goodwill is included our Fiber Infrastructure segment. Goodwill is recognized for the excess of purchase price over the fair value of net assets of businesses acquired. Goodwill is reviewed for impairment at least annually. In accordance with ASC 350-20, </w:t>
      </w:r>
      <w:r>
        <w:rPr>
          <w:rFonts w:ascii="Arial" w:cs="Arial" w:eastAsia="Arial" w:hAnsi="Arial"/>
          <w:sz w:val="12"/>
          <w:szCs w:val="12"/>
          <w:i w:val="1"/>
          <w:iCs w:val="1"/>
          <w:color w:val="auto"/>
        </w:rPr>
        <w:t>Intangibles-Goodwill and Other</w:t>
      </w:r>
      <w:r>
        <w:rPr>
          <w:rFonts w:ascii="Arial" w:cs="Arial" w:eastAsia="Arial" w:hAnsi="Arial"/>
          <w:sz w:val="12"/>
          <w:szCs w:val="12"/>
          <w:color w:val="auto"/>
        </w:rPr>
        <w:t>,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We performed our goodwill impairment analysis during the fourth quarter, and we concluded the implied fair value of our Fiber Infrastructure reporting unit was in excess of its carrying value by less than 2%. During the years ended December 31, 2019, 2018 and 2017, no impairment losses were recognized.</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Income not to exceed the carrying value of goodwill.</w:t>
      </w:r>
    </w:p>
    <w:p>
      <w:pPr>
        <w:spacing w:after="0" w:line="124" w:lineRule="exact"/>
        <w:rPr>
          <w:sz w:val="20"/>
          <w:szCs w:val="20"/>
          <w:color w:val="auto"/>
        </w:rPr>
      </w:pPr>
    </w:p>
    <w:p>
      <w:pPr>
        <w:ind w:right="40"/>
        <w:spacing w:after="0" w:line="309" w:lineRule="auto"/>
        <w:rPr>
          <w:sz w:val="20"/>
          <w:szCs w:val="20"/>
          <w:color w:val="auto"/>
        </w:rPr>
      </w:pPr>
      <w:r>
        <w:rPr>
          <w:rFonts w:ascii="Arial" w:cs="Arial" w:eastAsia="Arial" w:hAnsi="Arial"/>
          <w:sz w:val="10"/>
          <w:szCs w:val="10"/>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As our concluded fair value of our Fiber Infrastructure reporting unit slightly exceeds carrying value,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decrease by 4.0%, average projected EBITDA margin percentage decrease by 1.2% and/or average projected capital expenditures as a percentage of revenue increase by 3.9%, we may experience future impairment to goodwill (while other assumptions remain constant). Should we experience a deterioration in market factors such as stock prices or increased interest rates, a cost of capital increase in excess of 1.3% may result in future impairment. The market approach uses market data of comparable business and acquisition multiples paid in recent transactions to estimate fair value. Declines in acquisitions multiples of approximately 1.8% could affect the likelihood and amount of potential impairment.</w:t>
      </w:r>
    </w:p>
    <w:p>
      <w:pPr>
        <w:spacing w:after="0" w:line="103"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u w:val="single" w:color="auto"/>
          <w:color w:val="auto"/>
        </w:rPr>
        <w:t>Earnings per Share</w:t>
      </w:r>
      <w:r>
        <w:rPr>
          <w:rFonts w:ascii="Arial" w:cs="Arial" w:eastAsia="Arial" w:hAnsi="Arial"/>
          <w:sz w:val="12"/>
          <w:szCs w:val="12"/>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Basic earnings per share includes only the weighted average number of common shares outstanding during the period. Dilutive earnings per share includes the weighted average number of common shares and the dilutive effect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3" w:lineRule="exact"/>
        <w:rPr>
          <w:sz w:val="20"/>
          <w:szCs w:val="20"/>
          <w:color w:val="auto"/>
        </w:rPr>
      </w:pPr>
    </w:p>
    <w:p>
      <w:pPr>
        <w:spacing w:after="0"/>
        <w:rPr>
          <w:rFonts w:ascii="Arial" w:cs="Arial" w:eastAsia="Arial" w:hAnsi="Arial"/>
          <w:sz w:val="12"/>
          <w:szCs w:val="12"/>
          <w:color w:val="auto"/>
        </w:rPr>
      </w:pPr>
      <w:r>
        <w:rPr>
          <w:rFonts w:ascii="Arial" w:cs="Arial" w:eastAsia="Arial" w:hAnsi="Arial"/>
          <w:sz w:val="12"/>
          <w:szCs w:val="12"/>
          <w:color w:val="auto"/>
        </w:rPr>
        <w:t xml:space="preserve">of restricted stock and performance-based awards outstanding during the period, when such awards are dilutive. See </w:t>
      </w:r>
      <w:r>
        <w:rPr>
          <w:rFonts w:ascii="Arial" w:cs="Arial" w:eastAsia="Arial" w:hAnsi="Arial"/>
          <w:sz w:val="14"/>
          <w:szCs w:val="14"/>
          <w:color w:val="auto"/>
        </w:rPr>
        <w:t>Note 1</w:t>
      </w:r>
      <w:hyperlink w:anchor="page2">
        <w:r>
          <w:rPr>
            <w:rFonts w:ascii="Arial" w:cs="Arial" w:eastAsia="Arial" w:hAnsi="Arial"/>
            <w:sz w:val="14"/>
            <w:szCs w:val="14"/>
            <w:u w:val="single" w:color="auto"/>
            <w:color w:val="0000EE"/>
          </w:rPr>
          <w:t>3</w:t>
        </w:r>
      </w:hyperlink>
      <w:hyperlink w:anchor="page114">
        <w:r>
          <w:rPr>
            <w:rFonts w:ascii="Arial" w:cs="Arial" w:eastAsia="Arial" w:hAnsi="Arial"/>
            <w:sz w:val="12"/>
            <w:szCs w:val="12"/>
            <w:u w:val="single" w:color="auto"/>
            <w:color w:val="0000EE"/>
          </w:rPr>
          <w:t>.</w:t>
        </w:r>
      </w:hyperlink>
    </w:p>
    <w:p>
      <w:pPr>
        <w:spacing w:after="0" w:line="150"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u w:val="single" w:color="auto"/>
          <w:color w:val="auto"/>
        </w:rPr>
        <w:t>Concentration of Credit Risks</w:t>
      </w:r>
      <w:r>
        <w:rPr>
          <w:rFonts w:ascii="Arial" w:cs="Arial" w:eastAsia="Arial" w:hAnsi="Arial"/>
          <w:sz w:val="11"/>
          <w:szCs w:val="11"/>
          <w:color w:val="auto"/>
        </w:rPr>
        <w:t>—We are party to a Master Lease with Windstream from which substantially all of Uniti’s leasing revenues and operating cash flows are currently derived. Revenue under the Master Lease provided 65.0% of our revenue for the year ended December 31, 2019, 68.2% of our revenue for the year ended December 31, 2018, and 74.8% of our revenue for the year ended December 31, 2017.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multiple times over the past 12 months. In addition, Windstream has been involved in litigation with an entity who acquired certain Windstream debt securities and thereafter issued a notice of default as to such securities relating to our spin-off from Windstream. On December 7, 2017, the entity issued a notice of acceleration to Windstream claiming that the alleged default had matured into an “event of default” and that the principal amount, along with accrued interest, of such securities was due and payable immediately.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In response to the adverse outcome, on February 25, 2019, Windstream filed a voluntary petition for relief under Chapter 11 of the Bankruptcy Code in the U.S. Bankruptcy Court for the Southern District of New York.</w:t>
      </w:r>
    </w:p>
    <w:p>
      <w:pPr>
        <w:spacing w:after="0" w:line="162" w:lineRule="exact"/>
        <w:rPr>
          <w:sz w:val="20"/>
          <w:szCs w:val="20"/>
          <w:color w:val="auto"/>
        </w:rPr>
      </w:pPr>
    </w:p>
    <w:p>
      <w:pPr>
        <w:ind w:right="100"/>
        <w:spacing w:after="0" w:line="285" w:lineRule="auto"/>
        <w:rPr>
          <w:sz w:val="20"/>
          <w:szCs w:val="20"/>
          <w:color w:val="auto"/>
        </w:rPr>
      </w:pPr>
      <w:r>
        <w:rPr>
          <w:rFonts w:ascii="Arial" w:cs="Arial" w:eastAsia="Arial" w:hAnsi="Arial"/>
          <w:sz w:val="11"/>
          <w:szCs w:val="11"/>
          <w:color w:val="auto"/>
        </w:rPr>
        <w:t xml:space="preserve">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w:t>
      </w:r>
      <w:r>
        <w:rPr>
          <w:rFonts w:ascii="Arial" w:cs="Arial" w:eastAsia="Arial" w:hAnsi="Arial"/>
          <w:sz w:val="11"/>
          <w:szCs w:val="11"/>
          <w:u w:val="single" w:color="auto"/>
          <w:color w:val="0000EE"/>
        </w:rPr>
        <w:t>Note 2</w:t>
      </w:r>
      <w:r>
        <w:rPr>
          <w:rFonts w:ascii="Arial" w:cs="Arial" w:eastAsia="Arial" w:hAnsi="Arial"/>
          <w:sz w:val="11"/>
          <w:szCs w:val="11"/>
          <w:color w:val="auto"/>
        </w:rPr>
        <w:t>. A rejection by Windstream of the Master Lease or its inability or unwillingness to meet its rent and other obligations under the Master Lease could materially adversely affect our consolidated results of operations, liquidity, and financial condition, including our ability to service debt, comply with debt covenants and pay dividends to our stockholders as required to maintain our status as a REIT. See Note 2.</w:t>
      </w:r>
    </w:p>
    <w:p>
      <w:pPr>
        <w:spacing w:after="0" w:line="11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Windstream’s stock is quoted on the OTC Markets under the ticker symbol “WINMQ.” Windstream is subject to the periodic filing requirements of the Securities Exchange Act of 1934, as amended, but Windstream is not current in its reporting obligations. Windstream filings can be found at www.sec.gov. Windstream filings are not incorporated by reference in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Recently Issued Accounting Standards</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u w:val="single" w:color="auto"/>
          <w:color w:val="auto"/>
        </w:rPr>
        <w:t>Leases</w:t>
      </w:r>
      <w:r>
        <w:rPr>
          <w:rFonts w:ascii="Arial" w:cs="Arial" w:eastAsia="Arial" w:hAnsi="Arial"/>
          <w:sz w:val="10"/>
          <w:szCs w:val="10"/>
          <w:color w:val="auto"/>
        </w:rPr>
        <w:t>—Effective January 1, 2019, we account for leases in accordance with ASC 842. The standard requires lessees to apply a dual approach, classifying leases as either finance or operating leases based on the principle of whether or not the lease is effectively a financed purchase by the lessee. This classification will determine whether lease expense is comprised of amortization on the right-of-use (“ROU”) asset and interest expense recognized based on an effective interest method, or as a single lease cost recognized on a straight-line basis over the term of the lease, respectively. A lessee is also required to record an ROU asset and a lease liability for all leases with a term of greater than 12 months regardless of their classification. The accounting for lessors remains largely unchanged. Leases with a term of 12 months or less will be accounted for consistent with existing guidance for operating leases today.</w:t>
      </w:r>
    </w:p>
    <w:p>
      <w:pPr>
        <w:spacing w:after="0" w:line="9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land or a depreciable asset (i.e., property, plant, and equipment), and (ii) the customer has the right to control the use of the identified asset.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Consolidated Statements of Income.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From time to time we may enter into direct financing lease arrangements that include (i) a lessee obligation to purchase the leased equipment at the end of the lease term, (ii) 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inception.</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ROU assets and lease liabilities related to operating leases where we are the lessee are included in other assets and accounts payable, accrued expenses and other liabilities, respectively, on our Consolidated Balance Sheets. The lease liabilities are initially and subsequently measured at the present value of the unpaid lease payments at the lease commencement date.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ROU assets and lease liabilities related to finance leases where we are the lessee are included in property, plant and equipment, net and finance lease obligations, respectively, on our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Key estimates and judgments include how we determined (i) the discount rate we use to discount the unpaid lease payments to present value, (ii) lease term and (iii) lease payments.</w:t>
      </w:r>
    </w:p>
    <w:p>
      <w:pPr>
        <w:spacing w:after="0" w:line="150" w:lineRule="exact"/>
        <w:rPr>
          <w:sz w:val="20"/>
          <w:szCs w:val="20"/>
          <w:color w:val="auto"/>
        </w:rPr>
      </w:pPr>
    </w:p>
    <w:p>
      <w:pPr>
        <w:jc w:val="both"/>
        <w:ind w:left="860" w:hanging="436"/>
        <w:spacing w:after="0" w:line="259" w:lineRule="auto"/>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24" w:lineRule="exact"/>
        <w:rPr>
          <w:rFonts w:ascii="Arial" w:cs="Arial" w:eastAsia="Arial" w:hAnsi="Arial"/>
          <w:sz w:val="12"/>
          <w:szCs w:val="12"/>
          <w:color w:val="auto"/>
        </w:rPr>
      </w:pPr>
    </w:p>
    <w:p>
      <w:pPr>
        <w:ind w:left="860" w:right="20" w:hanging="436"/>
        <w:spacing w:after="0" w:line="276" w:lineRule="auto"/>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14" w:lineRule="exact"/>
        <w:rPr>
          <w:rFonts w:ascii="Arial" w:cs="Arial" w:eastAsia="Arial" w:hAnsi="Arial"/>
          <w:sz w:val="12"/>
          <w:szCs w:val="12"/>
          <w:color w:val="auto"/>
        </w:rPr>
      </w:pPr>
    </w:p>
    <w:p>
      <w:pPr>
        <w:ind w:left="860" w:hanging="436"/>
        <w:spacing w:after="0" w:line="276" w:lineRule="auto"/>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the lessee is placed on non-accrual status and Leasing revenue is recognized when cash payments are received.</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Where we are the lessee, 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8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general and administrative and operating expense in our Consolidated Statements of Income.</w:t>
      </w:r>
    </w:p>
    <w:p>
      <w:pPr>
        <w:spacing w:after="0" w:line="8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the practical expedient in ASC Topic 842 has been applied to all combined components.</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have elected to exclude sales taxes from lease payments in arrangements where we are a lessor.</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We adopted ASC 842 using a modified retrospective transition approach as of the effective date as permitted by the amendments in ASU 2018-11, </w:t>
      </w:r>
      <w:r>
        <w:rPr>
          <w:rFonts w:ascii="Arial" w:cs="Arial" w:eastAsia="Arial" w:hAnsi="Arial"/>
          <w:sz w:val="12"/>
          <w:szCs w:val="12"/>
          <w:i w:val="1"/>
          <w:iCs w:val="1"/>
          <w:color w:val="auto"/>
        </w:rPr>
        <w:t>Leases (Topic 842): Target Improvements</w:t>
      </w:r>
      <w:r>
        <w:rPr>
          <w:rFonts w:ascii="Arial" w:cs="Arial" w:eastAsia="Arial" w:hAnsi="Arial"/>
          <w:sz w:val="12"/>
          <w:szCs w:val="12"/>
          <w:color w:val="auto"/>
        </w:rPr>
        <w:t xml:space="preserve">, which provides an alternative modified retrospective transition method. As a result, we were not required to adjust our comparative 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 </w:t>
      </w:r>
      <w:r>
        <w:rPr>
          <w:rFonts w:ascii="Arial" w:cs="Arial" w:eastAsia="Arial" w:hAnsi="Arial"/>
          <w:sz w:val="12"/>
          <w:szCs w:val="12"/>
          <w:i w:val="1"/>
          <w:iCs w:val="1"/>
          <w:color w:val="auto"/>
        </w:rPr>
        <w:t>Land Easement Practical Expedient for Transition to Topic 842</w:t>
      </w:r>
      <w:r>
        <w:rPr>
          <w:rFonts w:ascii="Arial" w:cs="Arial" w:eastAsia="Arial" w:hAnsi="Arial"/>
          <w:sz w:val="12"/>
          <w:szCs w:val="12"/>
          <w:color w:val="auto"/>
        </w:rPr>
        <w:t xml:space="preserve">, which permits an entity to elect an optional transaction practical expedient to not evaluate land easements that exist or expire before the Company’s adoption of ASC 842 and that were not previously accounted for as leases under ASC 840, </w:t>
      </w:r>
      <w:r>
        <w:rPr>
          <w:rFonts w:ascii="Arial" w:cs="Arial" w:eastAsia="Arial" w:hAnsi="Arial"/>
          <w:sz w:val="12"/>
          <w:szCs w:val="12"/>
          <w:i w:val="1"/>
          <w:iCs w:val="1"/>
          <w:color w:val="auto"/>
        </w:rPr>
        <w:t>Leases</w:t>
      </w:r>
      <w:r>
        <w:rPr>
          <w:rFonts w:ascii="Arial" w:cs="Arial" w:eastAsia="Arial" w:hAnsi="Arial"/>
          <w:sz w:val="12"/>
          <w:szCs w:val="12"/>
          <w:color w:val="auto"/>
        </w:rPr>
        <w:t xml:space="preserve"> (“ASC 840”).</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connection with the adoption of ASC 842, we have recorded an adjustment to equity of $63.2 million, net of tax for the cumulative effect from a change in accounting standard. Of this amount, $61.5 million related to the write-off of the Master Lease straight-line revenue receivable, and $1.7 million relates to the establishment of the ROU assets and lease liabilities.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Revenues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 xml:space="preserve">Adoption of ASC Topic 606, </w:t>
      </w:r>
      <w:r>
        <w:rPr>
          <w:rFonts w:ascii="Arial" w:cs="Arial" w:eastAsia="Arial" w:hAnsi="Arial"/>
          <w:sz w:val="12"/>
          <w:szCs w:val="12"/>
          <w:i w:val="1"/>
          <w:iCs w:val="1"/>
          <w:u w:val="single" w:color="auto"/>
          <w:color w:val="auto"/>
        </w:rPr>
        <w:t>Revenue from Contracts with Customers</w:t>
      </w:r>
    </w:p>
    <w:p>
      <w:pPr>
        <w:spacing w:after="0" w:line="150" w:lineRule="exact"/>
        <w:rPr>
          <w:sz w:val="20"/>
          <w:szCs w:val="20"/>
          <w:color w:val="auto"/>
        </w:rPr>
      </w:pPr>
    </w:p>
    <w:p>
      <w:pPr>
        <w:jc w:val="both"/>
        <w:ind w:right="200"/>
        <w:spacing w:after="0" w:line="298" w:lineRule="auto"/>
        <w:rPr>
          <w:sz w:val="20"/>
          <w:szCs w:val="20"/>
          <w:color w:val="auto"/>
        </w:rPr>
      </w:pPr>
      <w:r>
        <w:rPr>
          <w:rFonts w:ascii="Arial" w:cs="Arial" w:eastAsia="Arial" w:hAnsi="Arial"/>
          <w:sz w:val="11"/>
          <w:szCs w:val="11"/>
          <w:color w:val="auto"/>
        </w:rPr>
        <w:t xml:space="preserve">On January 1, 2018, we adopted Topic 606 using the modified retrospective method, whereby the cumulative effect of initially applying Topic 606 is recognized as an adjustment to the opening balance of equity at January 1, 2018. Therefore, comparative information has not been adjusted and continues to be reported under ASC 605, </w:t>
      </w:r>
      <w:r>
        <w:rPr>
          <w:rFonts w:ascii="Arial" w:cs="Arial" w:eastAsia="Arial" w:hAnsi="Arial"/>
          <w:sz w:val="11"/>
          <w:szCs w:val="11"/>
          <w:i w:val="1"/>
          <w:iCs w:val="1"/>
          <w:color w:val="auto"/>
        </w:rPr>
        <w:t>Revenue Recognition</w:t>
      </w:r>
      <w:r>
        <w:rPr>
          <w:rFonts w:ascii="Arial" w:cs="Arial" w:eastAsia="Arial" w:hAnsi="Arial"/>
          <w:sz w:val="11"/>
          <w:szCs w:val="11"/>
          <w:color w:val="auto"/>
        </w:rPr>
        <w:t>. We recorded a net increase to opening retained earnings of $1.9 million as of January 1, 2018 due to the cumulative impact of adopting Topic 606, with the impact primarily related to commission costs that are capitalized under Topic 606 which were previously expensed.</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The details of the significant changes and quantitative impact of the changes are set out below. We have applied this guidance only to contracts that were not completed as of January 1, 2018, the date of initial application.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Commissions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 xml:space="preserve">We previously recognized commission fees related to obtaining a contract as selling expenses when incurred. Under Topic 606 and Topic 340, </w:t>
      </w:r>
      <w:r>
        <w:rPr>
          <w:rFonts w:ascii="Arial" w:cs="Arial" w:eastAsia="Arial" w:hAnsi="Arial"/>
          <w:sz w:val="12"/>
          <w:szCs w:val="12"/>
          <w:i w:val="1"/>
          <w:iCs w:val="1"/>
          <w:color w:val="auto"/>
        </w:rPr>
        <w:t>Other Assets and Deferred Costs</w:t>
      </w:r>
      <w:r>
        <w:rPr>
          <w:rFonts w:ascii="Arial" w:cs="Arial" w:eastAsia="Arial" w:hAnsi="Arial"/>
          <w:sz w:val="12"/>
          <w:szCs w:val="12"/>
          <w:color w:val="auto"/>
        </w:rPr>
        <w:t>, when they are incremental or expected to be recovered, we capitalize those commission fees as costs of obtaining a contract and amortize them consistently with the pattern of transfer of the product or service to which the asset relates. These amortized costs are included in general and administrative expense on the Consolidated Statements of Income. These deferred balances were $2.5 million and $4.9 million at January 1, 2018 and December 31, 2018, respectively, and included in Other Assets on the Consolidated Balance Sheets; Other Assets would have been lower by those amounts under revenue recognition and cost guidance applicable to us prior to the adoption of Topic 606 and Topic 340. For the year ended December 31, 2018, the impact to costs as a result of applying Topic 606 was a decrease of $2.4 million, as compared to what the general and administrative expense would have been under previous revenue and cost recognition guidance. There would have been no other differences in our Consolidated Balance Sheets as of December 31, 2018 or Consolidated Statements of Income for the year ended December 31, 2018 under previous revenue and cost recognition guidance as compared to Topic 606 and Topic 340.</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Nature of goods and services</w:t>
      </w:r>
    </w:p>
    <w:p>
      <w:pPr>
        <w:spacing w:after="0" w:line="150" w:lineRule="exact"/>
        <w:rPr>
          <w:sz w:val="20"/>
          <w:szCs w:val="20"/>
          <w:color w:val="auto"/>
        </w:rPr>
      </w:pPr>
    </w:p>
    <w:p>
      <w:pPr>
        <w:spacing w:after="0"/>
        <w:rPr>
          <w:rFonts w:ascii="Arial" w:cs="Arial" w:eastAsia="Arial" w:hAnsi="Arial"/>
          <w:sz w:val="12"/>
          <w:szCs w:val="12"/>
          <w:color w:val="auto"/>
        </w:rPr>
      </w:pPr>
      <w:r>
        <w:rPr>
          <w:rFonts w:ascii="Arial" w:cs="Arial" w:eastAsia="Arial" w:hAnsi="Arial"/>
          <w:sz w:val="12"/>
          <w:szCs w:val="12"/>
          <w:color w:val="auto"/>
        </w:rPr>
        <w:t>The following is a description of principal activities, separated by reportable segments (</w:t>
      </w:r>
      <w:hyperlink w:anchor="page115">
        <w:r>
          <w:rPr>
            <w:rFonts w:ascii="Arial" w:cs="Arial" w:eastAsia="Arial" w:hAnsi="Arial"/>
            <w:sz w:val="12"/>
            <w:szCs w:val="12"/>
            <w:u w:val="single" w:color="auto"/>
            <w:color w:val="0000EE"/>
          </w:rPr>
          <w:t>see Note 14</w:t>
        </w:r>
      </w:hyperlink>
      <w:r>
        <w:rPr>
          <w:rFonts w:ascii="Arial" w:cs="Arial" w:eastAsia="Arial" w:hAnsi="Arial"/>
          <w:sz w:val="12"/>
          <w:szCs w:val="12"/>
          <w:color w:val="auto"/>
        </w:rPr>
        <w:t>), from which the Company generates its revenues.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Leasing</w:t>
      </w:r>
    </w:p>
    <w:p>
      <w:pPr>
        <w:spacing w:after="0" w:line="150" w:lineRule="exact"/>
        <w:rPr>
          <w:sz w:val="20"/>
          <w:szCs w:val="20"/>
          <w:color w:val="auto"/>
        </w:rPr>
      </w:pPr>
    </w:p>
    <w:p>
      <w:pPr>
        <w:jc w:val="both"/>
        <w:spacing w:after="0" w:line="263" w:lineRule="auto"/>
        <w:rPr>
          <w:rFonts w:ascii="Arial" w:cs="Arial" w:eastAsia="Arial" w:hAnsi="Arial"/>
          <w:sz w:val="12"/>
          <w:szCs w:val="12"/>
          <w:color w:val="auto"/>
        </w:rPr>
      </w:pPr>
      <w:r>
        <w:rPr>
          <w:rFonts w:ascii="Arial" w:cs="Arial" w:eastAsia="Arial" w:hAnsi="Arial"/>
          <w:sz w:val="12"/>
          <w:szCs w:val="12"/>
          <w:color w:val="auto"/>
        </w:rPr>
        <w:t>Leasing revenue represents the results from our leasing program, Uniti Leasing, which is engaged in the acquisition of mission-critical communications assets and leasing them back to anchor customers on either an exclusive or shared-</w:t>
      </w:r>
      <w:hyperlink w:anchor="page90">
        <w:r>
          <w:rPr>
            <w:rFonts w:ascii="Arial" w:cs="Arial" w:eastAsia="Arial" w:hAnsi="Arial"/>
            <w:sz w:val="12"/>
            <w:szCs w:val="12"/>
            <w:color w:val="auto"/>
          </w:rPr>
          <w:t>tenant basis. Due to the nature of these activities, they are outside the scope of the guidance of Topic 606, and are recognized under other applicable guidance, including ASC 842, and for periods prior to January 1, 2019 ASC 840. See</w:t>
        </w:r>
      </w:hyperlink>
      <w:r>
        <w:rPr>
          <w:rFonts w:ascii="Arial" w:cs="Arial" w:eastAsia="Arial" w:hAnsi="Arial"/>
          <w:sz w:val="12"/>
          <w:szCs w:val="12"/>
          <w:color w:val="auto"/>
        </w:rPr>
        <w:t xml:space="preserve"> </w:t>
      </w:r>
      <w:hyperlink w:anchor="page90">
        <w:r>
          <w:rPr>
            <w:rFonts w:ascii="Arial" w:cs="Arial" w:eastAsia="Arial" w:hAnsi="Arial"/>
            <w:sz w:val="12"/>
            <w:szCs w:val="12"/>
            <w:color w:val="auto"/>
          </w:rPr>
          <w:t>Note 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-116205</wp:posOffset>
            </wp:positionV>
            <wp:extent cx="10985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098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20510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5105" cy="571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Fiber Infrastructure</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15" w:lineRule="exact"/>
        <w:rPr>
          <w:sz w:val="20"/>
          <w:szCs w:val="20"/>
          <w:color w:val="auto"/>
        </w:rPr>
      </w:pPr>
    </w:p>
    <w:p>
      <w:pPr>
        <w:ind w:left="1280" w:right="40" w:hanging="856"/>
        <w:spacing w:after="0" w:line="263"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jc w:val="both"/>
        <w:ind w:left="1280" w:hanging="856"/>
        <w:spacing w:after="0" w:line="263"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22" w:lineRule="exact"/>
        <w:rPr>
          <w:rFonts w:ascii="Arial" w:cs="Arial" w:eastAsia="Arial" w:hAnsi="Arial"/>
          <w:sz w:val="12"/>
          <w:szCs w:val="12"/>
          <w:color w:val="auto"/>
        </w:rPr>
      </w:pPr>
    </w:p>
    <w:p>
      <w:pPr>
        <w:jc w:val="both"/>
        <w:ind w:left="1280" w:right="120" w:hanging="856"/>
        <w:spacing w:after="0" w:line="340" w:lineRule="auto"/>
        <w:tabs>
          <w:tab w:leader="none" w:pos="1280" w:val="left"/>
        </w:tabs>
        <w:numPr>
          <w:ilvl w:val="0"/>
          <w:numId w:val="13"/>
        </w:numPr>
        <w:rPr>
          <w:rFonts w:ascii="Arial" w:cs="Arial" w:eastAsia="Arial" w:hAnsi="Arial"/>
          <w:sz w:val="10"/>
          <w:szCs w:val="10"/>
          <w:color w:val="auto"/>
        </w:rPr>
      </w:pPr>
      <w:r>
        <w:rPr>
          <w:rFonts w:ascii="Arial" w:cs="Arial" w:eastAsia="Arial" w:hAnsi="Arial"/>
          <w:sz w:val="10"/>
          <w:szCs w:val="10"/>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87" w:lineRule="exact"/>
        <w:rPr>
          <w:rFonts w:ascii="Arial" w:cs="Arial" w:eastAsia="Arial" w:hAnsi="Arial"/>
          <w:sz w:val="10"/>
          <w:szCs w:val="10"/>
          <w:color w:val="auto"/>
        </w:rPr>
      </w:pPr>
    </w:p>
    <w:p>
      <w:pPr>
        <w:ind w:left="1280" w:right="100" w:hanging="856"/>
        <w:spacing w:after="0" w:line="298" w:lineRule="auto"/>
        <w:tabs>
          <w:tab w:leader="none" w:pos="12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04" w:lineRule="exact"/>
        <w:rPr>
          <w:rFonts w:ascii="Arial" w:cs="Arial" w:eastAsia="Arial" w:hAnsi="Arial"/>
          <w:sz w:val="11"/>
          <w:szCs w:val="11"/>
          <w:color w:val="auto"/>
        </w:rPr>
      </w:pPr>
    </w:p>
    <w:p>
      <w:pPr>
        <w:ind w:left="1280" w:right="40" w:hanging="856"/>
        <w:spacing w:after="0" w:line="263"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Dark fiber arrangements represent operating leases under ASC 842, and ASC 840 for periods prior to January 1, 2019, and is outside the scope of Topic 606.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22" w:lineRule="exact"/>
        <w:rPr>
          <w:rFonts w:ascii="Arial" w:cs="Arial" w:eastAsia="Arial" w:hAnsi="Arial"/>
          <w:sz w:val="12"/>
          <w:szCs w:val="12"/>
          <w:color w:val="auto"/>
        </w:rPr>
      </w:pPr>
    </w:p>
    <w:p>
      <w:pPr>
        <w:ind w:left="1280" w:right="160" w:hanging="856"/>
        <w:spacing w:after="0" w:line="245" w:lineRule="auto"/>
        <w:tabs>
          <w:tab w:leader="none" w:pos="1280" w:val="left"/>
        </w:tabs>
        <w:numPr>
          <w:ilvl w:val="0"/>
          <w:numId w:val="13"/>
        </w:numPr>
        <w:rPr>
          <w:rFonts w:ascii="Arial" w:cs="Arial" w:eastAsia="Arial" w:hAnsi="Arial"/>
          <w:sz w:val="14"/>
          <w:szCs w:val="14"/>
          <w:color w:val="auto"/>
        </w:rPr>
      </w:pPr>
      <w:r>
        <w:rPr>
          <w:rFonts w:ascii="Arial" w:cs="Arial" w:eastAsia="Arial" w:hAnsi="Arial"/>
          <w:sz w:val="12"/>
          <w:szCs w:val="12"/>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Towers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Towers segment represents the operations of our towers business, Uniti Towers, through which we acquire and construct tower and tower-related real estate, which we then lease to our customers in the United States. Revenue from our towers business qualifies as a lease under ASC 842, and ASC 840 for periods prior to January 1, 2019, and is outside the scope of Topic 606.</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CLEC</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Disaggregation of Revenue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our revenues disaggregated by revenue stream.</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91" w:name="page92"/>
    <w:bookmarkEnd w:id="91"/>
    <w:tbl>
      <w:tblPr>
        <w:tblLayout w:type="fixed"/>
        <w:tblInd w:w="8" w:type="dxa"/>
        <w:tblCellMar>
          <w:top w:w="0" w:type="dxa"/>
          <w:left w:w="0" w:type="dxa"/>
          <w:bottom w:w="0" w:type="dxa"/>
          <w:right w:w="0" w:type="dxa"/>
        </w:tblCellMar>
      </w:tblPr>
      <w:tr>
        <w:trPr>
          <w:trHeight w:val="138"/>
        </w:trPr>
        <w:tc>
          <w:tcPr>
            <w:tcW w:w="59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32"/>
        </w:trPr>
        <w:tc>
          <w:tcPr>
            <w:tcW w:w="840" w:type="dxa"/>
            <w:vAlign w:val="bottom"/>
            <w:tcBorders>
              <w:top w:val="single" w:sz="8" w:color="0000EE"/>
            </w:tcBorders>
          </w:tcPr>
          <w:p>
            <w:pPr>
              <w:spacing w:after="0"/>
              <w:rPr>
                <w:sz w:val="20"/>
                <w:szCs w:val="20"/>
                <w:color w:val="auto"/>
              </w:rPr>
            </w:pPr>
          </w:p>
        </w:tc>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4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(Thousands)</w:t>
            </w:r>
          </w:p>
        </w:tc>
        <w:tc>
          <w:tcPr>
            <w:tcW w:w="2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r>
              <w:rPr>
                <w:rFonts w:ascii="Arial" w:cs="Arial" w:eastAsia="Arial" w:hAnsi="Arial"/>
                <w:sz w:val="10"/>
                <w:szCs w:val="10"/>
                <w:b w:val="1"/>
                <w:bCs w:val="1"/>
                <w:color w:val="auto"/>
              </w:rPr>
              <w:t>(1)</w:t>
            </w:r>
          </w:p>
        </w:tc>
        <w:tc>
          <w:tcPr>
            <w:tcW w:w="120" w:type="dxa"/>
            <w:vAlign w:val="bottom"/>
            <w:tcBorders>
              <w:bottom w:val="single" w:sz="8" w:color="CFF0FC"/>
            </w:tcBorders>
          </w:tcPr>
          <w:p>
            <w:pPr>
              <w:spacing w:after="0"/>
              <w:rPr>
                <w:sz w:val="12"/>
                <w:szCs w:val="12"/>
                <w:color w:val="auto"/>
              </w:rPr>
            </w:pPr>
          </w:p>
        </w:tc>
      </w:tr>
      <w:tr>
        <w:trPr>
          <w:trHeight w:val="142"/>
        </w:trPr>
        <w:tc>
          <w:tcPr>
            <w:tcW w:w="5900" w:type="dxa"/>
            <w:vAlign w:val="bottom"/>
            <w:gridSpan w:val="3"/>
            <w:shd w:val="clear" w:color="auto" w:fill="CFF0FC"/>
          </w:tcPr>
          <w:p>
            <w:pPr>
              <w:spacing w:after="0"/>
              <w:rPr>
                <w:sz w:val="20"/>
                <w:szCs w:val="20"/>
                <w:color w:val="auto"/>
              </w:rPr>
            </w:pPr>
            <w:r>
              <w:rPr>
                <w:rFonts w:ascii="Arial" w:cs="Arial" w:eastAsia="Arial" w:hAnsi="Arial"/>
                <w:sz w:val="12"/>
                <w:szCs w:val="12"/>
                <w:i w:val="1"/>
                <w:iCs w:val="1"/>
                <w:color w:val="auto"/>
              </w:rPr>
              <w:t>Revenue disaggregated by revenue stream</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900" w:type="dxa"/>
            <w:vAlign w:val="bottom"/>
            <w:gridSpan w:val="3"/>
          </w:tcPr>
          <w:p>
            <w:pPr>
              <w:spacing w:after="0"/>
              <w:rPr>
                <w:sz w:val="20"/>
                <w:szCs w:val="20"/>
                <w:color w:val="auto"/>
              </w:rPr>
            </w:pPr>
            <w:r>
              <w:rPr>
                <w:rFonts w:ascii="Arial" w:cs="Arial" w:eastAsia="Arial" w:hAnsi="Arial"/>
                <w:sz w:val="12"/>
                <w:szCs w:val="12"/>
                <w:color w:val="auto"/>
              </w:rPr>
              <w:t>Revenue from contracts with customers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9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Fiber Infrastructure</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900" w:type="dxa"/>
            <w:vAlign w:val="bottom"/>
            <w:gridSpan w:val="3"/>
          </w:tcPr>
          <w:p>
            <w:pPr>
              <w:ind w:left="240"/>
              <w:spacing w:after="0"/>
              <w:rPr>
                <w:sz w:val="20"/>
                <w:szCs w:val="20"/>
                <w:color w:val="auto"/>
              </w:rPr>
            </w:pPr>
            <w:r>
              <w:rPr>
                <w:rFonts w:ascii="Arial" w:cs="Arial" w:eastAsia="Arial" w:hAnsi="Arial"/>
                <w:sz w:val="12"/>
                <w:szCs w:val="12"/>
                <w:color w:val="auto"/>
              </w:rPr>
              <w:t>Lit backhaul</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125,983</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132,361</w:t>
            </w:r>
          </w:p>
        </w:tc>
        <w:tc>
          <w:tcPr>
            <w:tcW w:w="3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117,574</w:t>
            </w:r>
          </w:p>
        </w:tc>
        <w:tc>
          <w:tcPr>
            <w:tcW w:w="120" w:type="dxa"/>
            <w:vAlign w:val="bottom"/>
          </w:tcPr>
          <w:p>
            <w:pPr>
              <w:spacing w:after="0"/>
              <w:rPr>
                <w:sz w:val="13"/>
                <w:szCs w:val="13"/>
                <w:color w:val="auto"/>
              </w:rPr>
            </w:pPr>
          </w:p>
        </w:tc>
      </w:tr>
      <w:tr>
        <w:trPr>
          <w:trHeight w:val="153"/>
        </w:trPr>
        <w:tc>
          <w:tcPr>
            <w:tcW w:w="590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Enterprise and wholesale</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66,545</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63,519</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36,542</w:t>
            </w:r>
          </w:p>
        </w:tc>
        <w:tc>
          <w:tcPr>
            <w:tcW w:w="120" w:type="dxa"/>
            <w:vAlign w:val="bottom"/>
            <w:shd w:val="clear" w:color="auto" w:fill="CFF0FC"/>
          </w:tcPr>
          <w:p>
            <w:pPr>
              <w:spacing w:after="0"/>
              <w:rPr>
                <w:sz w:val="13"/>
                <w:szCs w:val="13"/>
                <w:color w:val="auto"/>
              </w:rPr>
            </w:pPr>
          </w:p>
        </w:tc>
      </w:tr>
      <w:tr>
        <w:trPr>
          <w:trHeight w:val="153"/>
        </w:trPr>
        <w:tc>
          <w:tcPr>
            <w:tcW w:w="5900" w:type="dxa"/>
            <w:vAlign w:val="bottom"/>
            <w:gridSpan w:val="3"/>
          </w:tcPr>
          <w:p>
            <w:pPr>
              <w:ind w:left="240"/>
              <w:spacing w:after="0"/>
              <w:rPr>
                <w:sz w:val="20"/>
                <w:szCs w:val="20"/>
                <w:color w:val="auto"/>
              </w:rPr>
            </w:pPr>
            <w:r>
              <w:rPr>
                <w:rFonts w:ascii="Arial" w:cs="Arial" w:eastAsia="Arial" w:hAnsi="Arial"/>
                <w:sz w:val="12"/>
                <w:szCs w:val="12"/>
                <w:color w:val="auto"/>
              </w:rPr>
              <w:t>E-Rate and government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89,430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74,752</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43,021</w:t>
            </w:r>
          </w:p>
        </w:tc>
        <w:tc>
          <w:tcPr>
            <w:tcW w:w="120" w:type="dxa"/>
            <w:vAlign w:val="bottom"/>
          </w:tcPr>
          <w:p>
            <w:pPr>
              <w:spacing w:after="0"/>
              <w:rPr>
                <w:sz w:val="13"/>
                <w:szCs w:val="13"/>
                <w:color w:val="auto"/>
              </w:rPr>
            </w:pPr>
          </w:p>
        </w:tc>
      </w:tr>
      <w:tr>
        <w:trPr>
          <w:trHeight w:val="153"/>
        </w:trPr>
        <w:tc>
          <w:tcPr>
            <w:tcW w:w="590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2,402</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4,492</w:t>
            </w:r>
          </w:p>
        </w:tc>
        <w:tc>
          <w:tcPr>
            <w:tcW w:w="3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454</w:t>
            </w:r>
          </w:p>
        </w:tc>
        <w:tc>
          <w:tcPr>
            <w:tcW w:w="120" w:type="dxa"/>
            <w:vAlign w:val="bottom"/>
            <w:shd w:val="clear" w:color="auto" w:fill="CFF0FC"/>
          </w:tcPr>
          <w:p>
            <w:pPr>
              <w:spacing w:after="0"/>
              <w:rPr>
                <w:sz w:val="13"/>
                <w:szCs w:val="13"/>
                <w:color w:val="auto"/>
              </w:rPr>
            </w:pPr>
          </w:p>
        </w:tc>
      </w:tr>
      <w:tr>
        <w:trPr>
          <w:trHeight w:val="142"/>
        </w:trPr>
        <w:tc>
          <w:tcPr>
            <w:tcW w:w="5900" w:type="dxa"/>
            <w:vAlign w:val="bottom"/>
            <w:gridSpan w:val="3"/>
          </w:tcPr>
          <w:p>
            <w:pPr>
              <w:ind w:left="80"/>
              <w:spacing w:after="0"/>
              <w:rPr>
                <w:sz w:val="20"/>
                <w:szCs w:val="20"/>
                <w:color w:val="auto"/>
              </w:rPr>
            </w:pPr>
            <w:r>
              <w:rPr>
                <w:rFonts w:ascii="Arial" w:cs="Arial" w:eastAsia="Arial" w:hAnsi="Arial"/>
                <w:sz w:val="12"/>
                <w:szCs w:val="12"/>
                <w:color w:val="auto"/>
              </w:rPr>
              <w:t>Fiber Infrastructure</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284,360</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275,124</w:t>
            </w:r>
          </w:p>
        </w:tc>
        <w:tc>
          <w:tcPr>
            <w:tcW w:w="30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197,591</w:t>
            </w:r>
          </w:p>
        </w:tc>
        <w:tc>
          <w:tcPr>
            <w:tcW w:w="120" w:type="dxa"/>
            <w:vAlign w:val="bottom"/>
          </w:tcPr>
          <w:p>
            <w:pPr>
              <w:spacing w:after="0"/>
              <w:rPr>
                <w:sz w:val="12"/>
                <w:szCs w:val="12"/>
                <w:color w:val="auto"/>
              </w:rPr>
            </w:pPr>
          </w:p>
        </w:tc>
      </w:tr>
      <w:tr>
        <w:trPr>
          <w:trHeight w:val="153"/>
        </w:trPr>
        <w:tc>
          <w:tcPr>
            <w:tcW w:w="59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Consumer CLEC</w:t>
            </w: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10,673</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3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120" w:type="dxa"/>
            <w:vAlign w:val="bottom"/>
            <w:shd w:val="clear" w:color="auto" w:fill="CFF0FC"/>
          </w:tcPr>
          <w:p>
            <w:pPr>
              <w:spacing w:after="0"/>
              <w:rPr>
                <w:sz w:val="13"/>
                <w:szCs w:val="13"/>
                <w:color w:val="auto"/>
              </w:rPr>
            </w:pPr>
          </w:p>
        </w:tc>
      </w:tr>
      <w:tr>
        <w:trPr>
          <w:trHeight w:val="142"/>
        </w:trPr>
        <w:tc>
          <w:tcPr>
            <w:tcW w:w="5900" w:type="dxa"/>
            <w:vAlign w:val="bottom"/>
            <w:gridSpan w:val="3"/>
          </w:tcPr>
          <w:p>
            <w:pPr>
              <w:spacing w:after="0"/>
              <w:rPr>
                <w:sz w:val="20"/>
                <w:szCs w:val="20"/>
                <w:color w:val="auto"/>
              </w:rPr>
            </w:pPr>
            <w:r>
              <w:rPr>
                <w:rFonts w:ascii="Arial" w:cs="Arial" w:eastAsia="Arial" w:hAnsi="Arial"/>
                <w:sz w:val="12"/>
                <w:szCs w:val="12"/>
                <w:color w:val="auto"/>
              </w:rPr>
              <w:t>Total revenue from contracts with customers</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295,033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289,055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215,678</w:t>
            </w:r>
          </w:p>
        </w:tc>
        <w:tc>
          <w:tcPr>
            <w:tcW w:w="120" w:type="dxa"/>
            <w:vAlign w:val="bottom"/>
          </w:tcPr>
          <w:p>
            <w:pPr>
              <w:spacing w:after="0"/>
              <w:rPr>
                <w:sz w:val="12"/>
                <w:szCs w:val="12"/>
                <w:color w:val="auto"/>
              </w:rPr>
            </w:pPr>
          </w:p>
        </w:tc>
      </w:tr>
      <w:tr>
        <w:trPr>
          <w:trHeight w:val="153"/>
        </w:trPr>
        <w:tc>
          <w:tcPr>
            <w:tcW w:w="59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Revenue accounted for under other applicable guidance</w:t>
            </w: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762,578</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728,579</w:t>
            </w:r>
          </w:p>
        </w:tc>
        <w:tc>
          <w:tcPr>
            <w:tcW w:w="3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700,354</w:t>
            </w:r>
          </w:p>
        </w:tc>
        <w:tc>
          <w:tcPr>
            <w:tcW w:w="120" w:type="dxa"/>
            <w:vAlign w:val="bottom"/>
            <w:shd w:val="clear" w:color="auto" w:fill="CFF0FC"/>
          </w:tcPr>
          <w:p>
            <w:pPr>
              <w:spacing w:after="0"/>
              <w:rPr>
                <w:sz w:val="13"/>
                <w:szCs w:val="13"/>
                <w:color w:val="auto"/>
              </w:rPr>
            </w:pPr>
          </w:p>
        </w:tc>
      </w:tr>
      <w:tr>
        <w:trPr>
          <w:trHeight w:val="149"/>
        </w:trPr>
        <w:tc>
          <w:tcPr>
            <w:tcW w:w="5900" w:type="dxa"/>
            <w:vAlign w:val="bottom"/>
            <w:gridSpan w:val="3"/>
          </w:tcPr>
          <w:p>
            <w:pPr>
              <w:spacing w:after="0"/>
              <w:rPr>
                <w:sz w:val="20"/>
                <w:szCs w:val="20"/>
                <w:color w:val="auto"/>
              </w:rPr>
            </w:pPr>
            <w:r>
              <w:rPr>
                <w:rFonts w:ascii="Arial" w:cs="Arial" w:eastAsia="Arial" w:hAnsi="Arial"/>
                <w:sz w:val="12"/>
                <w:szCs w:val="12"/>
                <w:color w:val="auto"/>
              </w:rPr>
              <w:t>Total revenue</w:t>
            </w: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1,057,611</w:t>
            </w:r>
          </w:p>
        </w:tc>
        <w:tc>
          <w:tcPr>
            <w:tcW w:w="2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1,017,634</w:t>
            </w:r>
          </w:p>
        </w:tc>
        <w:tc>
          <w:tcPr>
            <w:tcW w:w="30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916,032</w:t>
            </w:r>
          </w:p>
        </w:tc>
        <w:tc>
          <w:tcPr>
            <w:tcW w:w="120" w:type="dxa"/>
            <w:vAlign w:val="bottom"/>
          </w:tcPr>
          <w:p>
            <w:pPr>
              <w:spacing w:after="0"/>
              <w:rPr>
                <w:sz w:val="12"/>
                <w:szCs w:val="12"/>
                <w:color w:val="auto"/>
              </w:rPr>
            </w:pPr>
          </w:p>
        </w:tc>
      </w:tr>
    </w:tbl>
    <w:p>
      <w:pPr>
        <w:spacing w:after="0" w:line="24" w:lineRule="exact"/>
        <w:rPr>
          <w:sz w:val="20"/>
          <w:szCs w:val="20"/>
          <w:color w:val="auto"/>
        </w:rPr>
      </w:pPr>
    </w:p>
    <w:p>
      <w:pPr>
        <w:ind w:left="428" w:hanging="428"/>
        <w:spacing w:after="0"/>
        <w:tabs>
          <w:tab w:leader="none" w:pos="428" w:val="left"/>
        </w:tabs>
        <w:numPr>
          <w:ilvl w:val="0"/>
          <w:numId w:val="14"/>
        </w:numPr>
        <w:rPr>
          <w:rFonts w:ascii="Arial" w:cs="Arial" w:eastAsia="Arial" w:hAnsi="Arial"/>
          <w:sz w:val="10"/>
          <w:szCs w:val="10"/>
          <w:color w:val="auto"/>
        </w:rPr>
      </w:pPr>
      <w:r>
        <w:rPr>
          <w:rFonts w:ascii="Arial" w:cs="Arial" w:eastAsia="Arial" w:hAnsi="Arial"/>
          <w:sz w:val="10"/>
          <w:szCs w:val="10"/>
          <w:color w:val="auto"/>
        </w:rPr>
        <w:t>As noted above, periods prior to January 1, 2018 have not been adjusted under the modified retrospective method.</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December 31, 2019 and 2018, lease receivables were $28.8 million and $45.5 million, respectively, and receivables from contracts with customers were $48.6 million and $57.1 million,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Contract Assets (Unbilled Revenue) and Liabilities (Deferred Revenue)</w:t>
      </w:r>
    </w:p>
    <w:p>
      <w:pPr>
        <w:spacing w:after="0" w:line="150" w:lineRule="exact"/>
        <w:rPr>
          <w:sz w:val="20"/>
          <w:szCs w:val="20"/>
          <w:color w:val="auto"/>
        </w:rPr>
      </w:pPr>
    </w:p>
    <w:p>
      <w:pPr>
        <w:ind w:left="8" w:right="60"/>
        <w:spacing w:after="0" w:line="283" w:lineRule="auto"/>
        <w:rPr>
          <w:sz w:val="20"/>
          <w:szCs w:val="20"/>
          <w:color w:val="auto"/>
        </w:rPr>
      </w:pPr>
      <w:r>
        <w:rPr>
          <w:rFonts w:ascii="Arial" w:cs="Arial" w:eastAsia="Arial" w:hAnsi="Arial"/>
          <w:sz w:val="11"/>
          <w:szCs w:val="11"/>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year ended December 31, 2019 and 2018, we recognized revenues of $4.7 and $14.7 million, respectively that was included in the December 31, 2018 and January 1, 2018 contract liabilities balance, respectively.</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080" w:type="dxa"/>
            <w:vAlign w:val="bottom"/>
            <w:gridSpan w:val="2"/>
          </w:tcPr>
          <w:p>
            <w:pPr>
              <w:spacing w:after="0"/>
              <w:rPr>
                <w:sz w:val="20"/>
                <w:szCs w:val="20"/>
                <w:color w:val="auto"/>
              </w:rPr>
            </w:pPr>
            <w:r>
              <w:rPr>
                <w:rFonts w:ascii="Arial" w:cs="Arial" w:eastAsia="Arial" w:hAnsi="Arial"/>
                <w:sz w:val="12"/>
                <w:szCs w:val="12"/>
                <w:color w:val="auto"/>
              </w:rPr>
              <w:t>The following table provides information about contract assets and contract liabilities accounted for under Topic 606.</w:t>
            </w: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6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(Thousands)</w:t>
            </w:r>
          </w:p>
        </w:tc>
        <w:tc>
          <w:tcPr>
            <w:tcW w:w="2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b w:val="1"/>
                <w:bCs w:val="1"/>
                <w:color w:val="auto"/>
              </w:rPr>
              <w:t>Contract Assets</w:t>
            </w: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Contract Liabilities</w:t>
            </w:r>
          </w:p>
        </w:tc>
        <w:tc>
          <w:tcPr>
            <w:tcW w:w="120" w:type="dxa"/>
            <w:vAlign w:val="bottom"/>
            <w:tcBorders>
              <w:bottom w:val="single" w:sz="8" w:color="CFF0FC"/>
            </w:tcBorders>
          </w:tcPr>
          <w:p>
            <w:pPr>
              <w:spacing w:after="0"/>
              <w:rPr>
                <w:sz w:val="24"/>
                <w:szCs w:val="24"/>
                <w:color w:val="auto"/>
              </w:rPr>
            </w:pPr>
          </w:p>
        </w:tc>
      </w:tr>
      <w:tr>
        <w:trPr>
          <w:trHeight w:val="142"/>
        </w:trPr>
        <w:tc>
          <w:tcPr>
            <w:tcW w:w="7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at December 31, 2018</w:t>
            </w:r>
          </w:p>
        </w:tc>
        <w:tc>
          <w:tcPr>
            <w:tcW w:w="1440" w:type="dxa"/>
            <w:vAlign w:val="bottom"/>
            <w:tcBorders>
              <w:bottom w:val="single" w:sz="8" w:color="auto"/>
            </w:tcBorders>
            <w:shd w:val="clear" w:color="auto" w:fill="CFF0FC"/>
          </w:tcPr>
          <w:p>
            <w:pPr>
              <w:jc w:val="right"/>
              <w:ind w:right="132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5,540</w:t>
            </w:r>
          </w:p>
        </w:tc>
        <w:tc>
          <w:tcPr>
            <w:tcW w:w="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15,473</w:t>
            </w:r>
          </w:p>
        </w:tc>
        <w:tc>
          <w:tcPr>
            <w:tcW w:w="120" w:type="dxa"/>
            <w:vAlign w:val="bottom"/>
            <w:shd w:val="clear" w:color="auto" w:fill="CFF0FC"/>
          </w:tcPr>
          <w:p>
            <w:pPr>
              <w:spacing w:after="0"/>
              <w:rPr>
                <w:sz w:val="12"/>
                <w:szCs w:val="12"/>
                <w:color w:val="auto"/>
              </w:rPr>
            </w:pPr>
          </w:p>
        </w:tc>
      </w:tr>
      <w:tr>
        <w:trPr>
          <w:trHeight w:val="149"/>
        </w:trPr>
        <w:tc>
          <w:tcPr>
            <w:tcW w:w="7080" w:type="dxa"/>
            <w:vAlign w:val="bottom"/>
            <w:gridSpan w:val="2"/>
          </w:tcPr>
          <w:p>
            <w:pPr>
              <w:spacing w:after="0"/>
              <w:rPr>
                <w:sz w:val="20"/>
                <w:szCs w:val="20"/>
                <w:color w:val="auto"/>
              </w:rPr>
            </w:pPr>
            <w:r>
              <w:rPr>
                <w:rFonts w:ascii="Arial" w:cs="Arial" w:eastAsia="Arial" w:hAnsi="Arial"/>
                <w:sz w:val="12"/>
                <w:szCs w:val="12"/>
                <w:color w:val="auto"/>
              </w:rPr>
              <w:t>Balance at December 31, 2019</w:t>
            </w:r>
          </w:p>
        </w:tc>
        <w:tc>
          <w:tcPr>
            <w:tcW w:w="1440" w:type="dxa"/>
            <w:vAlign w:val="bottom"/>
            <w:tcBorders>
              <w:bottom w:val="single" w:sz="8" w:color="auto"/>
            </w:tcBorders>
          </w:tcPr>
          <w:p>
            <w:pPr>
              <w:jc w:val="right"/>
              <w:ind w:right="132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11,535</w:t>
            </w:r>
          </w:p>
        </w:tc>
        <w:tc>
          <w:tcPr>
            <w:tcW w:w="34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12,717</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Transaction Price Allocated to Remaining Performance Obligations</w:t>
      </w:r>
    </w:p>
    <w:p>
      <w:pPr>
        <w:spacing w:after="0" w:line="150" w:lineRule="exact"/>
        <w:rPr>
          <w:sz w:val="20"/>
          <w:szCs w:val="20"/>
          <w:color w:val="auto"/>
        </w:rPr>
      </w:pPr>
    </w:p>
    <w:p>
      <w:pPr>
        <w:ind w:left="8" w:right="140"/>
        <w:spacing w:after="0" w:line="326" w:lineRule="auto"/>
        <w:rPr>
          <w:sz w:val="20"/>
          <w:szCs w:val="20"/>
          <w:color w:val="auto"/>
        </w:rPr>
      </w:pPr>
      <w:r>
        <w:rPr>
          <w:rFonts w:ascii="Arial" w:cs="Arial" w:eastAsia="Arial" w:hAnsi="Arial"/>
          <w:sz w:val="10"/>
          <w:szCs w:val="10"/>
          <w:color w:val="auto"/>
        </w:rPr>
        <w:t>Performance obligations within contracts to stand ready to provide services are typically satisfied over time or as those services are provided. Contract assets primarily relate to costs incremental to obtaining contracts and contract liabilities primarily relate to deferred revenue from non-recurring charges. The deferred revenue is recognized, and the liability reduced, over the contract term as the Company completes the performance obligation. As of December 31, 2019, our future revenues (i.e. transaction price related to remaining performance obligations) under contract accounted for under Topic 606 totaled $565.5 million, of which $467.2 million is related to contracts that are currently being invoiced and have an average remaining contract term of 2.2 years, while $98.3 million represents our backlog for sales bookings which have yet to be installed and have an average remaining contract term of 4.9 years.</w:t>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92" w:name="page93"/>
    <w:bookmarkEnd w:id="9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Practical Expedients and Exemptions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do not disclose the value of unsatisfied performance obligations for contracts that have an original expected duration of one year or less.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exclude from the transaction price any amounts collected from customers for sales taxes and therefore, they are not included in revenue.</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5. Leases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Lessor Accounting</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lease communications towers, ground, communications equipment, and dark fiber to tenants under operating leases. Our leases have initial lease terms ranging from five to 20 years, most of which include options to extend or renew the leases for five to 80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lease income for the year ended December 31, 2019 is as follows:</w:t>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7"/>
              </w:rPr>
              <w:t>Year Ended</w:t>
            </w:r>
          </w:p>
        </w:tc>
      </w:tr>
      <w:tr>
        <w:trPr>
          <w:trHeight w:val="113"/>
        </w:trPr>
        <w:tc>
          <w:tcPr>
            <w:tcW w:w="85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220" w:type="dxa"/>
            <w:vAlign w:val="bottom"/>
            <w:tcBorders>
              <w:bottom w:val="single" w:sz="8" w:color="CFF0FC"/>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jc w:val="center"/>
              <w:ind w:right="408"/>
              <w:spacing w:after="0" w:line="114" w:lineRule="exact"/>
              <w:rPr>
                <w:sz w:val="20"/>
                <w:szCs w:val="20"/>
                <w:color w:val="auto"/>
              </w:rPr>
            </w:pPr>
            <w:r>
              <w:rPr>
                <w:rFonts w:ascii="Arial" w:cs="Arial" w:eastAsia="Arial" w:hAnsi="Arial"/>
                <w:sz w:val="10"/>
                <w:szCs w:val="10"/>
                <w:b w:val="1"/>
                <w:bCs w:val="1"/>
                <w:color w:val="auto"/>
                <w:w w:val="86"/>
              </w:rPr>
              <w:t>December 31, 2019</w:t>
            </w:r>
          </w:p>
        </w:tc>
        <w:tc>
          <w:tcPr>
            <w:tcW w:w="120" w:type="dxa"/>
            <w:vAlign w:val="bottom"/>
            <w:tcBorders>
              <w:bottom w:val="single" w:sz="8" w:color="CFF0FC"/>
            </w:tcBorders>
          </w:tcPr>
          <w:p>
            <w:pPr>
              <w:spacing w:after="0"/>
              <w:rPr>
                <w:sz w:val="9"/>
                <w:szCs w:val="9"/>
                <w:color w:val="auto"/>
              </w:rPr>
            </w:pPr>
          </w:p>
        </w:tc>
      </w:tr>
      <w:tr>
        <w:trPr>
          <w:trHeight w:val="142"/>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Lease income - operating leases</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762,578</w:t>
            </w:r>
          </w:p>
        </w:tc>
        <w:tc>
          <w:tcPr>
            <w:tcW w:w="120" w:type="dxa"/>
            <w:vAlign w:val="bottom"/>
            <w:shd w:val="clear" w:color="auto" w:fill="CFF0FC"/>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Lease payments to be received under non-cancellable operating leases where we are the lessor for the remainder of the lease terms are as follows: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6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20" w:type="dxa"/>
            <w:vAlign w:val="bottom"/>
            <w:gridSpan w:val="3"/>
          </w:tcPr>
          <w:p>
            <w:pPr>
              <w:jc w:val="right"/>
              <w:ind w:right="112"/>
              <w:spacing w:after="0"/>
              <w:rPr>
                <w:sz w:val="20"/>
                <w:szCs w:val="20"/>
                <w:color w:val="auto"/>
              </w:rPr>
            </w:pPr>
            <w:r>
              <w:rPr>
                <w:rFonts w:ascii="Arial" w:cs="Arial" w:eastAsia="Arial" w:hAnsi="Arial"/>
                <w:sz w:val="10"/>
                <w:szCs w:val="10"/>
                <w:b w:val="1"/>
                <w:bCs w:val="1"/>
                <w:color w:val="auto"/>
              </w:rPr>
              <w:t>Operating Leases</w:t>
            </w: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2"/>
        </w:trPr>
        <w:tc>
          <w:tcPr>
            <w:tcW w:w="698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300" w:type="dxa"/>
            <w:vAlign w:val="bottom"/>
          </w:tcPr>
          <w:p>
            <w:pPr>
              <w:spacing w:after="0"/>
              <w:rPr>
                <w:sz w:val="13"/>
                <w:szCs w:val="13"/>
                <w:color w:val="auto"/>
              </w:rPr>
            </w:pPr>
          </w:p>
        </w:tc>
        <w:tc>
          <w:tcPr>
            <w:tcW w:w="1940" w:type="dxa"/>
            <w:vAlign w:val="bottom"/>
            <w:gridSpan w:val="2"/>
          </w:tcPr>
          <w:p>
            <w:pPr>
              <w:ind w:left="240"/>
              <w:spacing w:after="0"/>
              <w:rPr>
                <w:sz w:val="20"/>
                <w:szCs w:val="20"/>
                <w:color w:val="auto"/>
              </w:rPr>
            </w:pPr>
            <w:r>
              <w:rPr>
                <w:rFonts w:ascii="Arial" w:cs="Arial" w:eastAsia="Arial" w:hAnsi="Arial"/>
                <w:sz w:val="10"/>
                <w:szCs w:val="10"/>
                <w:b w:val="1"/>
                <w:bCs w:val="1"/>
                <w:color w:val="auto"/>
              </w:rPr>
              <w:t xml:space="preserve">December 31, 2019 </w:t>
            </w:r>
            <w:r>
              <w:rPr>
                <w:rFonts w:ascii="Arial" w:cs="Arial" w:eastAsia="Arial" w:hAnsi="Arial"/>
                <w:sz w:val="8"/>
                <w:szCs w:val="8"/>
                <w:b w:val="1"/>
                <w:bCs w:val="1"/>
                <w:color w:val="auto"/>
              </w:rPr>
              <w:t>(1)</w:t>
            </w:r>
          </w:p>
        </w:tc>
        <w:tc>
          <w:tcPr>
            <w:tcW w:w="380" w:type="dxa"/>
            <w:vAlign w:val="bottom"/>
          </w:tcPr>
          <w:p>
            <w:pPr>
              <w:spacing w:after="0"/>
              <w:rPr>
                <w:sz w:val="13"/>
                <w:szCs w:val="13"/>
                <w:color w:val="auto"/>
              </w:rPr>
            </w:pPr>
          </w:p>
        </w:tc>
        <w:tc>
          <w:tcPr>
            <w:tcW w:w="1700" w:type="dxa"/>
            <w:vAlign w:val="bottom"/>
            <w:gridSpan w:val="2"/>
          </w:tcPr>
          <w:p>
            <w:pPr>
              <w:ind w:left="160"/>
              <w:spacing w:after="0"/>
              <w:rPr>
                <w:sz w:val="20"/>
                <w:szCs w:val="20"/>
                <w:color w:val="auto"/>
              </w:rPr>
            </w:pPr>
            <w:r>
              <w:rPr>
                <w:rFonts w:ascii="Arial" w:cs="Arial" w:eastAsia="Arial" w:hAnsi="Arial"/>
                <w:sz w:val="10"/>
                <w:szCs w:val="10"/>
                <w:b w:val="1"/>
                <w:bCs w:val="1"/>
                <w:color w:val="auto"/>
              </w:rPr>
              <w:t xml:space="preserve">December 31, 2018 </w:t>
            </w:r>
            <w:r>
              <w:rPr>
                <w:rFonts w:ascii="Arial" w:cs="Arial" w:eastAsia="Arial" w:hAnsi="Arial"/>
                <w:sz w:val="8"/>
                <w:szCs w:val="8"/>
                <w:b w:val="1"/>
                <w:bCs w:val="1"/>
                <w:color w:val="auto"/>
              </w:rPr>
              <w:t>(2)</w:t>
            </w:r>
          </w:p>
        </w:tc>
      </w:tr>
      <w:tr>
        <w:trPr>
          <w:trHeight w:val="142"/>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2020</w:t>
            </w:r>
          </w:p>
        </w:tc>
        <w:tc>
          <w:tcPr>
            <w:tcW w:w="1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734,978</w:t>
            </w:r>
          </w:p>
        </w:tc>
        <w:tc>
          <w:tcPr>
            <w:tcW w:w="28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693,596</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729,380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696,713</w:t>
            </w:r>
          </w:p>
        </w:tc>
        <w:tc>
          <w:tcPr>
            <w:tcW w:w="120" w:type="dxa"/>
            <w:vAlign w:val="bottom"/>
          </w:tcPr>
          <w:p>
            <w:pPr>
              <w:spacing w:after="0"/>
              <w:rPr>
                <w:sz w:val="13"/>
                <w:szCs w:val="13"/>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731,674</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699,561</w:t>
            </w:r>
          </w:p>
        </w:tc>
        <w:tc>
          <w:tcPr>
            <w:tcW w:w="120" w:type="dxa"/>
            <w:vAlign w:val="bottom"/>
            <w:shd w:val="clear" w:color="auto" w:fill="CFF0FC"/>
          </w:tcPr>
          <w:p>
            <w:pPr>
              <w:spacing w:after="0"/>
              <w:rPr>
                <w:sz w:val="13"/>
                <w:szCs w:val="13"/>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2023</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734,804</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702,663</w:t>
            </w:r>
          </w:p>
        </w:tc>
        <w:tc>
          <w:tcPr>
            <w:tcW w:w="120" w:type="dxa"/>
            <w:vAlign w:val="bottom"/>
          </w:tcPr>
          <w:p>
            <w:pPr>
              <w:spacing w:after="0"/>
              <w:rPr>
                <w:sz w:val="13"/>
                <w:szCs w:val="13"/>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737,919</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705,800</w:t>
            </w:r>
          </w:p>
        </w:tc>
        <w:tc>
          <w:tcPr>
            <w:tcW w:w="120" w:type="dxa"/>
            <w:vAlign w:val="bottom"/>
            <w:shd w:val="clear" w:color="auto" w:fill="CFF0FC"/>
          </w:tcPr>
          <w:p>
            <w:pPr>
              <w:spacing w:after="0"/>
              <w:rPr>
                <w:sz w:val="13"/>
                <w:szCs w:val="13"/>
                <w:color w:val="auto"/>
              </w:rPr>
            </w:pPr>
          </w:p>
        </w:tc>
      </w:tr>
      <w:tr>
        <w:trPr>
          <w:trHeight w:val="153"/>
        </w:trPr>
        <w:tc>
          <w:tcPr>
            <w:tcW w:w="69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4,305,079</w:t>
            </w: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4,001,151</w:t>
            </w:r>
          </w:p>
        </w:tc>
        <w:tc>
          <w:tcPr>
            <w:tcW w:w="120" w:type="dxa"/>
            <w:vAlign w:val="bottom"/>
            <w:tcBorders>
              <w:bottom w:val="single" w:sz="8" w:color="CFF0FC"/>
            </w:tcBorders>
          </w:tcPr>
          <w:p>
            <w:pPr>
              <w:spacing w:after="0"/>
              <w:rPr>
                <w:sz w:val="13"/>
                <w:szCs w:val="13"/>
                <w:color w:val="auto"/>
              </w:rPr>
            </w:pPr>
          </w:p>
        </w:tc>
      </w:tr>
      <w:tr>
        <w:trPr>
          <w:trHeight w:val="149"/>
        </w:trPr>
        <w:tc>
          <w:tcPr>
            <w:tcW w:w="6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lease receivables</w:t>
            </w:r>
          </w:p>
        </w:tc>
        <w:tc>
          <w:tcPr>
            <w:tcW w:w="30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7,973,834</w:t>
            </w:r>
          </w:p>
        </w:tc>
        <w:tc>
          <w:tcPr>
            <w:tcW w:w="28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7,499,484</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72" w:lineRule="exact"/>
        <w:rPr>
          <w:sz w:val="20"/>
          <w:szCs w:val="20"/>
          <w:color w:val="auto"/>
        </w:rPr>
      </w:pPr>
    </w:p>
    <w:p>
      <w:pPr>
        <w:ind w:left="148" w:hanging="148"/>
        <w:spacing w:after="0"/>
        <w:tabs>
          <w:tab w:leader="none" w:pos="148" w:val="left"/>
        </w:tabs>
        <w:numPr>
          <w:ilvl w:val="0"/>
          <w:numId w:val="15"/>
        </w:numPr>
        <w:rPr>
          <w:rFonts w:ascii="Arial" w:cs="Arial" w:eastAsia="Arial" w:hAnsi="Arial"/>
          <w:sz w:val="10"/>
          <w:szCs w:val="10"/>
          <w:color w:val="auto"/>
        </w:rPr>
      </w:pPr>
      <w:r>
        <w:rPr>
          <w:rFonts w:ascii="Arial" w:cs="Arial" w:eastAsia="Arial" w:hAnsi="Arial"/>
          <w:sz w:val="12"/>
          <w:szCs w:val="12"/>
          <w:color w:val="auto"/>
        </w:rPr>
        <w:t>Total future minimum lease payments to be received include $7.0 billion relating to the Master Lease with Windstream.</w:t>
      </w:r>
    </w:p>
    <w:p>
      <w:pPr>
        <w:spacing w:after="0" w:line="87" w:lineRule="exact"/>
        <w:rPr>
          <w:rFonts w:ascii="Arial" w:cs="Arial" w:eastAsia="Arial" w:hAnsi="Arial"/>
          <w:sz w:val="10"/>
          <w:szCs w:val="10"/>
          <w:color w:val="auto"/>
        </w:rPr>
      </w:pPr>
    </w:p>
    <w:p>
      <w:pPr>
        <w:ind w:left="148" w:hanging="148"/>
        <w:spacing w:after="0"/>
        <w:tabs>
          <w:tab w:leader="none" w:pos="148" w:val="left"/>
        </w:tabs>
        <w:numPr>
          <w:ilvl w:val="0"/>
          <w:numId w:val="15"/>
        </w:numPr>
        <w:rPr>
          <w:rFonts w:ascii="Arial" w:cs="Arial" w:eastAsia="Arial" w:hAnsi="Arial"/>
          <w:sz w:val="10"/>
          <w:szCs w:val="10"/>
          <w:color w:val="auto"/>
        </w:rPr>
      </w:pPr>
      <w:r>
        <w:rPr>
          <w:rFonts w:ascii="Arial" w:cs="Arial" w:eastAsia="Arial" w:hAnsi="Arial"/>
          <w:sz w:val="12"/>
          <w:szCs w:val="12"/>
          <w:color w:val="auto"/>
        </w:rPr>
        <w:t>Prior period amounts have not been adjusted under the modified retrospective transition approach.</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underlying assets under operating leases where we are the lessor as of December 31, 2019 are summarized as follows: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20" w:type="dxa"/>
            <w:vAlign w:val="bottom"/>
            <w:tcBorders>
              <w:bottom w:val="single" w:sz="8" w:color="CFF0FC"/>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jc w:val="center"/>
              <w:ind w:right="402"/>
              <w:spacing w:after="0"/>
              <w:rPr>
                <w:sz w:val="20"/>
                <w:szCs w:val="20"/>
                <w:color w:val="auto"/>
              </w:rPr>
            </w:pPr>
            <w:r>
              <w:rPr>
                <w:rFonts w:ascii="Arial" w:cs="Arial" w:eastAsia="Arial" w:hAnsi="Arial"/>
                <w:sz w:val="10"/>
                <w:szCs w:val="10"/>
                <w:b w:val="1"/>
                <w:bCs w:val="1"/>
                <w:color w:val="auto"/>
                <w:w w:val="86"/>
              </w:rPr>
              <w:t>December 31, 2019</w:t>
            </w:r>
          </w:p>
        </w:tc>
        <w:tc>
          <w:tcPr>
            <w:tcW w:w="120" w:type="dxa"/>
            <w:vAlign w:val="bottom"/>
            <w:tcBorders>
              <w:bottom w:val="single" w:sz="8" w:color="CFF0FC"/>
            </w:tcBorders>
          </w:tcPr>
          <w:p>
            <w:pPr>
              <w:spacing w:after="0"/>
              <w:rPr>
                <w:sz w:val="10"/>
                <w:szCs w:val="10"/>
                <w:color w:val="auto"/>
              </w:rPr>
            </w:pPr>
          </w:p>
        </w:tc>
      </w:tr>
      <w:tr>
        <w:trPr>
          <w:trHeight w:val="142"/>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27,392</w:t>
            </w:r>
          </w:p>
        </w:tc>
        <w:tc>
          <w:tcPr>
            <w:tcW w:w="120" w:type="dxa"/>
            <w:vAlign w:val="bottom"/>
            <w:shd w:val="clear" w:color="auto" w:fill="CFF0FC"/>
          </w:tcPr>
          <w:p>
            <w:pPr>
              <w:spacing w:after="0"/>
              <w:rPr>
                <w:sz w:val="12"/>
                <w:szCs w:val="12"/>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Building and improvements</w:t>
            </w: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341,096</w:t>
            </w:r>
          </w:p>
        </w:tc>
        <w:tc>
          <w:tcPr>
            <w:tcW w:w="120" w:type="dxa"/>
            <w:vAlign w:val="bottom"/>
          </w:tcPr>
          <w:p>
            <w:pPr>
              <w:spacing w:after="0"/>
              <w:rPr>
                <w:sz w:val="13"/>
                <w:szCs w:val="13"/>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Real property interest</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Poles</w:t>
            </w: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258,535</w:t>
            </w:r>
          </w:p>
        </w:tc>
        <w:tc>
          <w:tcPr>
            <w:tcW w:w="120" w:type="dxa"/>
            <w:vAlign w:val="bottom"/>
          </w:tcPr>
          <w:p>
            <w:pPr>
              <w:spacing w:after="0"/>
              <w:rPr>
                <w:sz w:val="13"/>
                <w:szCs w:val="13"/>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Fiber</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2,836,939</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Equipment</w:t>
            </w: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419</w:t>
            </w:r>
          </w:p>
        </w:tc>
        <w:tc>
          <w:tcPr>
            <w:tcW w:w="120" w:type="dxa"/>
            <w:vAlign w:val="bottom"/>
          </w:tcPr>
          <w:p>
            <w:pPr>
              <w:spacing w:after="0"/>
              <w:rPr>
                <w:sz w:val="13"/>
                <w:szCs w:val="13"/>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Copper</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3,792,366</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Conduit</w:t>
            </w: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89,770</w:t>
            </w:r>
          </w:p>
        </w:tc>
        <w:tc>
          <w:tcPr>
            <w:tcW w:w="120" w:type="dxa"/>
            <w:vAlign w:val="bottom"/>
          </w:tcPr>
          <w:p>
            <w:pPr>
              <w:spacing w:after="0"/>
              <w:rPr>
                <w:sz w:val="13"/>
                <w:szCs w:val="13"/>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Tower assets</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168,453</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Finance lease assets</w:t>
            </w: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10,279</w:t>
            </w:r>
          </w:p>
        </w:tc>
        <w:tc>
          <w:tcPr>
            <w:tcW w:w="120" w:type="dxa"/>
            <w:vAlign w:val="bottom"/>
          </w:tcPr>
          <w:p>
            <w:pPr>
              <w:spacing w:after="0"/>
              <w:rPr>
                <w:sz w:val="13"/>
                <w:szCs w:val="13"/>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460" w:type="dxa"/>
            <w:vAlign w:val="bottom"/>
            <w:tcBorders>
              <w:bottom w:val="single" w:sz="8" w:color="auto"/>
            </w:tcBorders>
            <w:shd w:val="clear" w:color="auto" w:fill="CFF0FC"/>
          </w:tcPr>
          <w:p>
            <w:pPr>
              <w:spacing w:after="0"/>
              <w:rPr>
                <w:sz w:val="13"/>
                <w:szCs w:val="13"/>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32,660</w:t>
            </w:r>
          </w:p>
        </w:tc>
        <w:tc>
          <w:tcPr>
            <w:tcW w:w="120" w:type="dxa"/>
            <w:vAlign w:val="bottom"/>
            <w:shd w:val="clear" w:color="auto" w:fill="CFF0FC"/>
          </w:tcPr>
          <w:p>
            <w:pPr>
              <w:spacing w:after="0"/>
              <w:rPr>
                <w:sz w:val="13"/>
                <w:szCs w:val="13"/>
                <w:color w:val="auto"/>
              </w:rPr>
            </w:pPr>
          </w:p>
        </w:tc>
      </w:tr>
      <w:tr>
        <w:trPr>
          <w:trHeight w:val="142"/>
        </w:trPr>
        <w:tc>
          <w:tcPr>
            <w:tcW w:w="8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7,557,909</w:t>
            </w:r>
          </w:p>
        </w:tc>
        <w:tc>
          <w:tcPr>
            <w:tcW w:w="120" w:type="dxa"/>
            <w:vAlign w:val="bottom"/>
          </w:tcPr>
          <w:p>
            <w:pPr>
              <w:spacing w:after="0"/>
              <w:rPr>
                <w:sz w:val="12"/>
                <w:szCs w:val="12"/>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460" w:type="dxa"/>
            <w:vAlign w:val="bottom"/>
            <w:shd w:val="clear" w:color="auto" w:fill="CFF0FC"/>
          </w:tcPr>
          <w:p>
            <w:pPr>
              <w:spacing w:after="0"/>
              <w:rPr>
                <w:sz w:val="13"/>
                <w:szCs w:val="13"/>
                <w:color w:val="auto"/>
              </w:rPr>
            </w:pPr>
          </w:p>
        </w:tc>
        <w:tc>
          <w:tcPr>
            <w:tcW w:w="2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(5,033,080)</w:t>
            </w:r>
          </w:p>
        </w:tc>
      </w:tr>
      <w:tr>
        <w:trPr>
          <w:trHeight w:val="149"/>
        </w:trPr>
        <w:tc>
          <w:tcPr>
            <w:tcW w:w="8720" w:type="dxa"/>
            <w:vAlign w:val="bottom"/>
            <w:gridSpan w:val="2"/>
          </w:tcPr>
          <w:p>
            <w:pPr>
              <w:spacing w:after="0"/>
              <w:rPr>
                <w:sz w:val="20"/>
                <w:szCs w:val="20"/>
                <w:color w:val="auto"/>
              </w:rPr>
            </w:pPr>
            <w:r>
              <w:rPr>
                <w:rFonts w:ascii="Arial" w:cs="Arial" w:eastAsia="Arial" w:hAnsi="Arial"/>
                <w:sz w:val="12"/>
                <w:szCs w:val="12"/>
                <w:color w:val="auto"/>
              </w:rPr>
              <w:t>Underlying assets under operating leases, net</w:t>
            </w:r>
          </w:p>
        </w:tc>
        <w:tc>
          <w:tcPr>
            <w:tcW w:w="4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2,524,829</w:t>
            </w:r>
          </w:p>
        </w:tc>
        <w:tc>
          <w:tcPr>
            <w:tcW w:w="120" w:type="dxa"/>
            <w:vAlign w:val="bottom"/>
          </w:tcPr>
          <w:p>
            <w:pPr>
              <w:spacing w:after="0"/>
              <w:rPr>
                <w:sz w:val="12"/>
                <w:szCs w:val="12"/>
                <w:color w:val="auto"/>
              </w:rPr>
            </w:pPr>
          </w:p>
        </w:tc>
      </w:tr>
      <w:tr>
        <w:trPr>
          <w:trHeight w:val="288"/>
        </w:trPr>
        <w:tc>
          <w:tcPr>
            <w:tcW w:w="8720" w:type="dxa"/>
            <w:vAlign w:val="bottom"/>
            <w:gridSpan w:val="2"/>
          </w:tcPr>
          <w:p>
            <w:pPr>
              <w:spacing w:after="0"/>
              <w:rPr>
                <w:sz w:val="20"/>
                <w:szCs w:val="20"/>
                <w:color w:val="auto"/>
              </w:rPr>
            </w:pPr>
            <w:r>
              <w:rPr>
                <w:rFonts w:ascii="Arial" w:cs="Arial" w:eastAsia="Arial" w:hAnsi="Arial"/>
                <w:sz w:val="12"/>
                <w:szCs w:val="12"/>
                <w:color w:val="auto"/>
              </w:rPr>
              <w:t>Depreciation expense for the underlying assets under operating leases where we are the lessor for the year ended December 31, 2019 is summarized as follows:</w:t>
            </w: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8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7"/>
              </w:rPr>
              <w:t>Year Ended</w:t>
            </w:r>
          </w:p>
        </w:tc>
      </w:tr>
      <w:tr>
        <w:trPr>
          <w:trHeight w:val="113"/>
        </w:trPr>
        <w:tc>
          <w:tcPr>
            <w:tcW w:w="85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220" w:type="dxa"/>
            <w:vAlign w:val="bottom"/>
            <w:tcBorders>
              <w:bottom w:val="single" w:sz="8" w:color="CFF0FC"/>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jc w:val="center"/>
              <w:ind w:right="402"/>
              <w:spacing w:after="0" w:line="114" w:lineRule="exact"/>
              <w:rPr>
                <w:sz w:val="20"/>
                <w:szCs w:val="20"/>
                <w:color w:val="auto"/>
              </w:rPr>
            </w:pPr>
            <w:r>
              <w:rPr>
                <w:rFonts w:ascii="Arial" w:cs="Arial" w:eastAsia="Arial" w:hAnsi="Arial"/>
                <w:sz w:val="10"/>
                <w:szCs w:val="10"/>
                <w:b w:val="1"/>
                <w:bCs w:val="1"/>
                <w:color w:val="auto"/>
                <w:w w:val="86"/>
              </w:rPr>
              <w:t>December 31, 2019</w:t>
            </w:r>
          </w:p>
        </w:tc>
        <w:tc>
          <w:tcPr>
            <w:tcW w:w="120" w:type="dxa"/>
            <w:vAlign w:val="bottom"/>
            <w:tcBorders>
              <w:bottom w:val="single" w:sz="8" w:color="CFF0FC"/>
            </w:tcBorders>
          </w:tcPr>
          <w:p>
            <w:pPr>
              <w:spacing w:after="0"/>
              <w:rPr>
                <w:sz w:val="9"/>
                <w:szCs w:val="9"/>
                <w:color w:val="auto"/>
              </w:rPr>
            </w:pPr>
          </w:p>
        </w:tc>
      </w:tr>
      <w:tr>
        <w:trPr>
          <w:trHeight w:val="142"/>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expense for underlying assets under operating leases</w:t>
            </w: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293,899</w:t>
            </w:r>
          </w:p>
        </w:tc>
        <w:tc>
          <w:tcPr>
            <w:tcW w:w="120" w:type="dxa"/>
            <w:vAlign w:val="bottom"/>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Lessee Accounting</w:t>
      </w:r>
    </w:p>
    <w:p>
      <w:pPr>
        <w:spacing w:after="0" w:line="150"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We have commitments under operating leases for communications towers, ground, colocation and dark fiber lease arrangements. We also have finance leases for dark fiber lease arrangements and other communications equipment. Our leases have initial lease terms ranging from less than one year to 30 years, most of which includes options to extend or renew the leases for less than one year to 85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we have short term lease commitments amounting to approximately $1.2 million, for colocation and dark fiber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lease cost are presented within general and administrative expense and operating expense in our Consolidated Statements of Income for the year ended December 31, 2019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gridSpan w:val="2"/>
          </w:tcPr>
          <w:p>
            <w:pPr>
              <w:jc w:val="right"/>
              <w:ind w:right="1120"/>
              <w:spacing w:after="0"/>
              <w:rPr>
                <w:sz w:val="20"/>
                <w:szCs w:val="20"/>
                <w:color w:val="auto"/>
              </w:rPr>
            </w:pPr>
            <w:r>
              <w:rPr>
                <w:rFonts w:ascii="Arial" w:cs="Arial" w:eastAsia="Arial" w:hAnsi="Arial"/>
                <w:sz w:val="10"/>
                <w:szCs w:val="10"/>
                <w:b w:val="1"/>
                <w:bCs w:val="1"/>
                <w:color w:val="auto"/>
              </w:rPr>
              <w:t>Year Ended</w:t>
            </w:r>
          </w:p>
        </w:tc>
      </w:tr>
      <w:tr>
        <w:trPr>
          <w:trHeight w:val="113"/>
        </w:trPr>
        <w:tc>
          <w:tcPr>
            <w:tcW w:w="85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220" w:type="dxa"/>
            <w:vAlign w:val="bottom"/>
            <w:tcBorders>
              <w:bottom w:val="single" w:sz="8" w:color="CFF0FC"/>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jc w:val="right"/>
              <w:ind w:right="782"/>
              <w:spacing w:after="0" w:line="114" w:lineRule="exact"/>
              <w:rPr>
                <w:sz w:val="20"/>
                <w:szCs w:val="20"/>
                <w:color w:val="auto"/>
              </w:rPr>
            </w:pPr>
            <w:r>
              <w:rPr>
                <w:rFonts w:ascii="Arial" w:cs="Arial" w:eastAsia="Arial" w:hAnsi="Arial"/>
                <w:sz w:val="10"/>
                <w:szCs w:val="10"/>
                <w:b w:val="1"/>
                <w:bCs w:val="1"/>
                <w:color w:val="auto"/>
              </w:rPr>
              <w:t>December 31, 2019</w:t>
            </w:r>
          </w:p>
        </w:tc>
        <w:tc>
          <w:tcPr>
            <w:tcW w:w="120" w:type="dxa"/>
            <w:vAlign w:val="bottom"/>
            <w:tcBorders>
              <w:bottom w:val="single" w:sz="8" w:color="CFF0FC"/>
            </w:tcBorders>
          </w:tcPr>
          <w:p>
            <w:pPr>
              <w:spacing w:after="0"/>
              <w:rPr>
                <w:sz w:val="9"/>
                <w:szCs w:val="9"/>
                <w:color w:val="auto"/>
              </w:rPr>
            </w:pPr>
          </w:p>
        </w:tc>
      </w:tr>
      <w:tr>
        <w:trPr>
          <w:trHeight w:val="142"/>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Finance lease cost</w:t>
            </w:r>
          </w:p>
        </w:tc>
        <w:tc>
          <w:tcPr>
            <w:tcW w:w="460" w:type="dxa"/>
            <w:vAlign w:val="bottom"/>
            <w:shd w:val="clear" w:color="auto" w:fill="CFF0FC"/>
          </w:tcPr>
          <w:p>
            <w:pPr>
              <w:spacing w:after="0"/>
              <w:rPr>
                <w:sz w:val="12"/>
                <w:szCs w:val="12"/>
                <w:color w:val="auto"/>
              </w:rPr>
            </w:pP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Amortization of ROU assets</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4,257</w:t>
            </w:r>
          </w:p>
        </w:tc>
        <w:tc>
          <w:tcPr>
            <w:tcW w:w="120" w:type="dxa"/>
            <w:vAlign w:val="bottom"/>
          </w:tcPr>
          <w:p>
            <w:pPr>
              <w:spacing w:after="0"/>
              <w:rPr>
                <w:sz w:val="13"/>
                <w:szCs w:val="13"/>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on lease liabilities</w:t>
            </w:r>
          </w:p>
        </w:tc>
        <w:tc>
          <w:tcPr>
            <w:tcW w:w="460" w:type="dxa"/>
            <w:vAlign w:val="bottom"/>
            <w:tcBorders>
              <w:bottom w:val="single" w:sz="8" w:color="auto"/>
            </w:tcBorders>
            <w:shd w:val="clear" w:color="auto" w:fill="CFF0FC"/>
          </w:tcPr>
          <w:p>
            <w:pPr>
              <w:spacing w:after="0"/>
              <w:rPr>
                <w:sz w:val="13"/>
                <w:szCs w:val="13"/>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4,209</w:t>
            </w:r>
          </w:p>
        </w:tc>
        <w:tc>
          <w:tcPr>
            <w:tcW w:w="120" w:type="dxa"/>
            <w:vAlign w:val="bottom"/>
            <w:shd w:val="clear" w:color="auto" w:fill="CFF0FC"/>
          </w:tcPr>
          <w:p>
            <w:pPr>
              <w:spacing w:after="0"/>
              <w:rPr>
                <w:sz w:val="13"/>
                <w:szCs w:val="13"/>
                <w:color w:val="auto"/>
              </w:rPr>
            </w:pPr>
          </w:p>
        </w:tc>
      </w:tr>
      <w:tr>
        <w:trPr>
          <w:trHeight w:val="142"/>
        </w:trPr>
        <w:tc>
          <w:tcPr>
            <w:tcW w:w="8720" w:type="dxa"/>
            <w:vAlign w:val="bottom"/>
            <w:gridSpan w:val="2"/>
          </w:tcPr>
          <w:p>
            <w:pPr>
              <w:ind w:left="140"/>
              <w:spacing w:after="0"/>
              <w:rPr>
                <w:sz w:val="20"/>
                <w:szCs w:val="20"/>
                <w:color w:val="auto"/>
              </w:rPr>
            </w:pPr>
            <w:r>
              <w:rPr>
                <w:rFonts w:ascii="Arial" w:cs="Arial" w:eastAsia="Arial" w:hAnsi="Arial"/>
                <w:sz w:val="12"/>
                <w:szCs w:val="12"/>
                <w:color w:val="auto"/>
              </w:rPr>
              <w:t>Total finance lease cost</w:t>
            </w:r>
          </w:p>
        </w:tc>
        <w:tc>
          <w:tcPr>
            <w:tcW w:w="46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8,466</w:t>
            </w:r>
          </w:p>
        </w:tc>
        <w:tc>
          <w:tcPr>
            <w:tcW w:w="120" w:type="dxa"/>
            <w:vAlign w:val="bottom"/>
          </w:tcPr>
          <w:p>
            <w:pPr>
              <w:spacing w:after="0"/>
              <w:rPr>
                <w:sz w:val="12"/>
                <w:szCs w:val="12"/>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26,446</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Short-term lease cost</w:t>
            </w: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1,894</w:t>
            </w:r>
          </w:p>
        </w:tc>
        <w:tc>
          <w:tcPr>
            <w:tcW w:w="120" w:type="dxa"/>
            <w:vAlign w:val="bottom"/>
          </w:tcPr>
          <w:p>
            <w:pPr>
              <w:spacing w:after="0"/>
              <w:rPr>
                <w:sz w:val="13"/>
                <w:szCs w:val="13"/>
                <w:color w:val="auto"/>
              </w:rPr>
            </w:pPr>
          </w:p>
        </w:tc>
      </w:tr>
      <w:tr>
        <w:trPr>
          <w:trHeight w:val="153"/>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Variable lease cost</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Less sublease income</w:t>
            </w:r>
          </w:p>
        </w:tc>
        <w:tc>
          <w:tcPr>
            <w:tcW w:w="460" w:type="dxa"/>
            <w:vAlign w:val="bottom"/>
          </w:tcPr>
          <w:p>
            <w:pPr>
              <w:spacing w:after="0"/>
              <w:rPr>
                <w:sz w:val="13"/>
                <w:szCs w:val="13"/>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2"/>
                <w:szCs w:val="12"/>
                <w:color w:val="auto"/>
              </w:rPr>
              <w:t>(12,354)</w:t>
            </w:r>
          </w:p>
        </w:tc>
      </w:tr>
      <w:tr>
        <w:trPr>
          <w:trHeight w:val="149"/>
        </w:trPr>
        <w:tc>
          <w:tcPr>
            <w:tcW w:w="8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lease cost</w:t>
            </w:r>
          </w:p>
        </w:tc>
        <w:tc>
          <w:tcPr>
            <w:tcW w:w="460" w:type="dxa"/>
            <w:vAlign w:val="bottom"/>
            <w:tcBorders>
              <w:top w:val="single" w:sz="8" w:color="auto"/>
              <w:bottom w:val="single" w:sz="8" w:color="auto"/>
            </w:tcBorders>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24,768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Amounts reported in the Consolidated Balance Sheets for leases where we are the lessee as of December 31, 2019 were as follows:</w:t>
      </w: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80" w:type="dxa"/>
            <w:vAlign w:val="bottom"/>
            <w:tcBorders>
              <w:bottom w:val="single" w:sz="8" w:color="CFF0FC"/>
            </w:tcBorders>
          </w:tcPr>
          <w:p>
            <w:pPr>
              <w:spacing w:after="0"/>
              <w:rPr>
                <w:sz w:val="10"/>
                <w:szCs w:val="10"/>
                <w:color w:val="auto"/>
              </w:rPr>
            </w:pPr>
          </w:p>
        </w:tc>
        <w:tc>
          <w:tcPr>
            <w:tcW w:w="2720" w:type="dxa"/>
            <w:vAlign w:val="bottom"/>
            <w:tcBorders>
              <w:bottom w:val="single" w:sz="8" w:color="auto"/>
            </w:tcBorders>
            <w:gridSpan w:val="3"/>
          </w:tcPr>
          <w:p>
            <w:pPr>
              <w:ind w:left="880"/>
              <w:spacing w:after="0"/>
              <w:rPr>
                <w:sz w:val="20"/>
                <w:szCs w:val="20"/>
                <w:color w:val="auto"/>
              </w:rPr>
            </w:pPr>
            <w:r>
              <w:rPr>
                <w:rFonts w:ascii="Arial" w:cs="Arial" w:eastAsia="Arial" w:hAnsi="Arial"/>
                <w:sz w:val="10"/>
                <w:szCs w:val="10"/>
                <w:b w:val="1"/>
                <w:bCs w:val="1"/>
                <w:color w:val="auto"/>
                <w:w w:val="91"/>
              </w:rPr>
              <w:t>Location on Consolidated Balance Sheets</w:t>
            </w: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Borders>
              <w:bottom w:val="single" w:sz="8" w:color="CFF0FC"/>
            </w:tcBorders>
          </w:tcPr>
          <w:p>
            <w:pPr>
              <w:spacing w:after="0"/>
              <w:rPr>
                <w:sz w:val="10"/>
                <w:szCs w:val="10"/>
                <w:color w:val="auto"/>
              </w:rPr>
            </w:pPr>
          </w:p>
        </w:tc>
      </w:tr>
      <w:tr>
        <w:trPr>
          <w:trHeight w:val="142"/>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Operating leases</w:t>
            </w:r>
          </w:p>
        </w:tc>
        <w:tc>
          <w:tcPr>
            <w:tcW w:w="10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ROU asset, net</w:t>
            </w:r>
          </w:p>
        </w:tc>
        <w:tc>
          <w:tcPr>
            <w:tcW w:w="2720" w:type="dxa"/>
            <w:vAlign w:val="bottom"/>
            <w:gridSpan w:val="3"/>
          </w:tcPr>
          <w:p>
            <w:pPr>
              <w:spacing w:after="0"/>
              <w:rPr>
                <w:sz w:val="20"/>
                <w:szCs w:val="20"/>
                <w:color w:val="auto"/>
              </w:rPr>
            </w:pPr>
            <w:r>
              <w:rPr>
                <w:rFonts w:ascii="Arial" w:cs="Arial" w:eastAsia="Arial" w:hAnsi="Arial"/>
                <w:sz w:val="12"/>
                <w:szCs w:val="12"/>
                <w:color w:val="auto"/>
              </w:rPr>
              <w:t>Other assets, net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127,490</w:t>
            </w: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ROU liability</w:t>
            </w:r>
          </w:p>
        </w:tc>
        <w:tc>
          <w:tcPr>
            <w:tcW w:w="344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 net</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127,879</w:t>
            </w:r>
          </w:p>
        </w:tc>
        <w:tc>
          <w:tcPr>
            <w:tcW w:w="120" w:type="dxa"/>
            <w:vAlign w:val="bottom"/>
            <w:shd w:val="clear" w:color="auto" w:fill="CFF0FC"/>
          </w:tcPr>
          <w:p>
            <w:pPr>
              <w:spacing w:after="0"/>
              <w:rPr>
                <w:sz w:val="13"/>
                <w:szCs w:val="13"/>
                <w:color w:val="auto"/>
              </w:rPr>
            </w:pPr>
          </w:p>
        </w:tc>
      </w:tr>
      <w:tr>
        <w:trPr>
          <w:trHeight w:val="153"/>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Finance leases</w:t>
            </w: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ROU asset, gross</w:t>
            </w:r>
          </w:p>
        </w:tc>
        <w:tc>
          <w:tcPr>
            <w:tcW w:w="2720" w:type="dxa"/>
            <w:vAlign w:val="bottom"/>
            <w:gridSpan w:val="3"/>
          </w:tcPr>
          <w:p>
            <w:pPr>
              <w:spacing w:after="0"/>
              <w:rPr>
                <w:sz w:val="20"/>
                <w:szCs w:val="20"/>
                <w:color w:val="auto"/>
              </w:rPr>
            </w:pPr>
            <w:r>
              <w:rPr>
                <w:rFonts w:ascii="Arial" w:cs="Arial" w:eastAsia="Arial" w:hAnsi="Arial"/>
                <w:sz w:val="12"/>
                <w:szCs w:val="12"/>
                <w:color w:val="auto"/>
              </w:rPr>
              <w:t>Property, plant and equipment, net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129,900</w:t>
            </w: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ROU liability</w:t>
            </w:r>
          </w:p>
        </w:tc>
        <w:tc>
          <w:tcPr>
            <w:tcW w:w="272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Finance lease obligations</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52,994</w:t>
            </w:r>
          </w:p>
        </w:tc>
        <w:tc>
          <w:tcPr>
            <w:tcW w:w="120" w:type="dxa"/>
            <w:vAlign w:val="bottom"/>
            <w:shd w:val="clear" w:color="auto" w:fill="CFF0FC"/>
          </w:tcPr>
          <w:p>
            <w:pPr>
              <w:spacing w:after="0"/>
              <w:rPr>
                <w:sz w:val="13"/>
                <w:szCs w:val="13"/>
                <w:color w:val="auto"/>
              </w:rPr>
            </w:pPr>
          </w:p>
        </w:tc>
      </w:tr>
      <w:tr>
        <w:trPr>
          <w:trHeight w:val="153"/>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Weighted-average remaining lease term</w:t>
            </w: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Operating leases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2"/>
                <w:szCs w:val="12"/>
                <w:color w:val="auto"/>
              </w:rPr>
              <w:t>11.8 years</w:t>
            </w: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leases</w:t>
            </w: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13.9 years</w:t>
            </w:r>
          </w:p>
        </w:tc>
      </w:tr>
      <w:tr>
        <w:trPr>
          <w:trHeight w:val="153"/>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Weighted-average discount rate</w:t>
            </w: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Operating leases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2"/>
                <w:szCs w:val="12"/>
                <w:color w:val="auto"/>
              </w:rPr>
              <w:t>9.7%</w:t>
            </w:r>
          </w:p>
        </w:tc>
      </w:tr>
      <w:tr>
        <w:trPr>
          <w:trHeight w:val="153"/>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leases</w:t>
            </w: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8.0%</w:t>
            </w:r>
          </w:p>
        </w:tc>
      </w:tr>
      <w:tr>
        <w:trPr>
          <w:trHeight w:val="288"/>
        </w:trPr>
        <w:tc>
          <w:tcPr>
            <w:tcW w:w="5780" w:type="dxa"/>
            <w:vAlign w:val="bottom"/>
            <w:gridSpan w:val="2"/>
          </w:tcPr>
          <w:p>
            <w:pPr>
              <w:spacing w:after="0"/>
              <w:rPr>
                <w:sz w:val="20"/>
                <w:szCs w:val="20"/>
                <w:color w:val="auto"/>
              </w:rPr>
            </w:pPr>
            <w:r>
              <w:rPr>
                <w:rFonts w:ascii="Arial" w:cs="Arial" w:eastAsia="Arial" w:hAnsi="Arial"/>
                <w:sz w:val="12"/>
                <w:szCs w:val="12"/>
                <w:color w:val="auto"/>
              </w:rPr>
              <w:t>Other information related to leases as of December 31, 2019 are as follows: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0"/>
                <w:szCs w:val="10"/>
                <w:b w:val="1"/>
                <w:bCs w:val="1"/>
                <w:color w:val="auto"/>
              </w:rPr>
              <w:t>Year Ended</w:t>
            </w:r>
          </w:p>
        </w:tc>
      </w:tr>
      <w:tr>
        <w:trPr>
          <w:trHeight w:val="113"/>
        </w:trPr>
        <w:tc>
          <w:tcPr>
            <w:tcW w:w="578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tcPr>
          <w:p>
            <w:pPr>
              <w:jc w:val="right"/>
              <w:ind w:right="960"/>
              <w:spacing w:after="0" w:line="114" w:lineRule="exact"/>
              <w:rPr>
                <w:sz w:val="20"/>
                <w:szCs w:val="20"/>
                <w:color w:val="auto"/>
              </w:rPr>
            </w:pPr>
            <w:r>
              <w:rPr>
                <w:rFonts w:ascii="Arial" w:cs="Arial" w:eastAsia="Arial" w:hAnsi="Arial"/>
                <w:sz w:val="10"/>
                <w:szCs w:val="10"/>
                <w:b w:val="1"/>
                <w:bCs w:val="1"/>
                <w:color w:val="auto"/>
                <w:w w:val="88"/>
              </w:rPr>
              <w:t>December 31, 2019</w:t>
            </w:r>
          </w:p>
        </w:tc>
      </w:tr>
      <w:tr>
        <w:trPr>
          <w:trHeight w:val="142"/>
        </w:trPr>
        <w:tc>
          <w:tcPr>
            <w:tcW w:w="57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10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780" w:type="dxa"/>
            <w:vAlign w:val="bottom"/>
            <w:gridSpan w:val="2"/>
          </w:tcPr>
          <w:p>
            <w:pPr>
              <w:ind w:left="80"/>
              <w:spacing w:after="0"/>
              <w:rPr>
                <w:sz w:val="20"/>
                <w:szCs w:val="20"/>
                <w:color w:val="auto"/>
              </w:rPr>
            </w:pPr>
            <w:r>
              <w:rPr>
                <w:rFonts w:ascii="Arial" w:cs="Arial" w:eastAsia="Arial" w:hAnsi="Arial"/>
                <w:sz w:val="12"/>
                <w:szCs w:val="12"/>
                <w:color w:val="auto"/>
              </w:rPr>
              <w:t>Operating cash flows from finance leases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4,209</w:t>
            </w: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Operating cash flows from operating leases</w:t>
            </w: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27,835</w:t>
            </w:r>
          </w:p>
        </w:tc>
        <w:tc>
          <w:tcPr>
            <w:tcW w:w="120" w:type="dxa"/>
            <w:vAlign w:val="bottom"/>
            <w:shd w:val="clear" w:color="auto" w:fill="CFF0FC"/>
          </w:tcPr>
          <w:p>
            <w:pPr>
              <w:spacing w:after="0"/>
              <w:rPr>
                <w:sz w:val="13"/>
                <w:szCs w:val="13"/>
                <w:color w:val="auto"/>
              </w:rPr>
            </w:pPr>
          </w:p>
        </w:tc>
      </w:tr>
      <w:tr>
        <w:trPr>
          <w:trHeight w:val="153"/>
        </w:trPr>
        <w:tc>
          <w:tcPr>
            <w:tcW w:w="5780" w:type="dxa"/>
            <w:vAlign w:val="bottom"/>
            <w:gridSpan w:val="2"/>
          </w:tcPr>
          <w:p>
            <w:pPr>
              <w:ind w:left="80"/>
              <w:spacing w:after="0"/>
              <w:rPr>
                <w:sz w:val="20"/>
                <w:szCs w:val="20"/>
                <w:color w:val="auto"/>
              </w:rPr>
            </w:pPr>
            <w:r>
              <w:rPr>
                <w:rFonts w:ascii="Arial" w:cs="Arial" w:eastAsia="Arial" w:hAnsi="Arial"/>
                <w:sz w:val="12"/>
                <w:szCs w:val="12"/>
                <w:color w:val="auto"/>
              </w:rPr>
              <w:t>Financing cash flows from finance leases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4,257</w:t>
            </w: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Non-cash items: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New operating leases</w:t>
            </w: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43,593</w:t>
            </w:r>
          </w:p>
        </w:tc>
        <w:tc>
          <w:tcPr>
            <w:tcW w:w="120" w:type="dxa"/>
            <w:vAlign w:val="bottom"/>
            <w:shd w:val="clear" w:color="auto" w:fill="CFF0FC"/>
          </w:tcPr>
          <w:p>
            <w:pPr>
              <w:spacing w:after="0"/>
              <w:rPr>
                <w:sz w:val="13"/>
                <w:szCs w:val="13"/>
                <w:color w:val="auto"/>
              </w:rPr>
            </w:pPr>
          </w:p>
        </w:tc>
      </w:tr>
      <w:tr>
        <w:trPr>
          <w:trHeight w:val="153"/>
        </w:trPr>
        <w:tc>
          <w:tcPr>
            <w:tcW w:w="5780" w:type="dxa"/>
            <w:vAlign w:val="bottom"/>
            <w:gridSpan w:val="2"/>
          </w:tcPr>
          <w:p>
            <w:pPr>
              <w:ind w:left="80"/>
              <w:spacing w:after="0"/>
              <w:rPr>
                <w:sz w:val="20"/>
                <w:szCs w:val="20"/>
                <w:color w:val="auto"/>
              </w:rPr>
            </w:pPr>
            <w:r>
              <w:rPr>
                <w:rFonts w:ascii="Arial" w:cs="Arial" w:eastAsia="Arial" w:hAnsi="Arial"/>
                <w:sz w:val="12"/>
                <w:szCs w:val="12"/>
                <w:color w:val="auto"/>
              </w:rPr>
              <w:t>New finance leases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3,432</w:t>
            </w:r>
          </w:p>
        </w:tc>
        <w:tc>
          <w:tcPr>
            <w:tcW w:w="120" w:type="dxa"/>
            <w:vAlign w:val="bottom"/>
          </w:tcPr>
          <w:p>
            <w:pPr>
              <w:spacing w:after="0"/>
              <w:rPr>
                <w:sz w:val="13"/>
                <w:szCs w:val="13"/>
                <w:color w:val="auto"/>
              </w:rPr>
            </w:pPr>
          </w:p>
        </w:tc>
      </w:tr>
      <w:tr>
        <w:trPr>
          <w:trHeight w:val="288"/>
        </w:trPr>
        <w:tc>
          <w:tcPr>
            <w:tcW w:w="5780" w:type="dxa"/>
            <w:vAlign w:val="bottom"/>
            <w:gridSpan w:val="2"/>
          </w:tcPr>
          <w:p>
            <w:pPr>
              <w:spacing w:after="0"/>
              <w:rPr>
                <w:sz w:val="20"/>
                <w:szCs w:val="20"/>
                <w:color w:val="auto"/>
              </w:rPr>
            </w:pPr>
            <w:r>
              <w:rPr>
                <w:rFonts w:ascii="Arial" w:cs="Arial" w:eastAsia="Arial" w:hAnsi="Arial"/>
                <w:sz w:val="12"/>
                <w:szCs w:val="12"/>
                <w:color w:val="auto"/>
              </w:rPr>
              <w:t>Future lease payments under non-cancellable leases as of December 31, 2019 are as follows: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rPr>
              <w:t>Operating Leases</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Finance Leases</w:t>
            </w:r>
          </w:p>
        </w:tc>
        <w:tc>
          <w:tcPr>
            <w:tcW w:w="120" w:type="dxa"/>
            <w:vAlign w:val="bottom"/>
            <w:tcBorders>
              <w:bottom w:val="single" w:sz="8" w:color="CFF0FC"/>
            </w:tcBorders>
          </w:tcPr>
          <w:p>
            <w:pPr>
              <w:spacing w:after="0"/>
              <w:rPr>
                <w:sz w:val="18"/>
                <w:szCs w:val="18"/>
                <w:color w:val="auto"/>
              </w:rPr>
            </w:pPr>
          </w:p>
        </w:tc>
      </w:tr>
      <w:tr>
        <w:trPr>
          <w:trHeight w:val="142"/>
        </w:trPr>
        <w:tc>
          <w:tcPr>
            <w:tcW w:w="560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180" w:type="dxa"/>
            <w:vAlign w:val="bottom"/>
            <w:shd w:val="clear" w:color="auto" w:fill="CFF0FC"/>
          </w:tcPr>
          <w:p>
            <w:pPr>
              <w:spacing w:after="0"/>
              <w:rPr>
                <w:sz w:val="12"/>
                <w:szCs w:val="12"/>
                <w:color w:val="auto"/>
              </w:rPr>
            </w:pPr>
          </w:p>
        </w:tc>
        <w:tc>
          <w:tcPr>
            <w:tcW w:w="2720" w:type="dxa"/>
            <w:vAlign w:val="bottom"/>
            <w:gridSpan w:val="3"/>
            <w:shd w:val="clear" w:color="auto" w:fill="CFF0FC"/>
          </w:tcPr>
          <w:p>
            <w:pPr>
              <w:ind w:left="120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26,620</w:t>
            </w:r>
          </w:p>
        </w:tc>
        <w:tc>
          <w:tcPr>
            <w:tcW w:w="2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7,627</w:t>
            </w:r>
          </w:p>
        </w:tc>
        <w:tc>
          <w:tcPr>
            <w:tcW w:w="120" w:type="dxa"/>
            <w:vAlign w:val="bottom"/>
            <w:shd w:val="clear" w:color="auto" w:fill="CFF0FC"/>
          </w:tcPr>
          <w:p>
            <w:pPr>
              <w:spacing w:after="0"/>
              <w:rPr>
                <w:sz w:val="12"/>
                <w:szCs w:val="12"/>
                <w:color w:val="auto"/>
              </w:rPr>
            </w:pPr>
          </w:p>
        </w:tc>
      </w:tr>
      <w:tr>
        <w:trPr>
          <w:trHeight w:val="153"/>
        </w:trPr>
        <w:tc>
          <w:tcPr>
            <w:tcW w:w="5600" w:type="dxa"/>
            <w:vAlign w:val="bottom"/>
          </w:tcPr>
          <w:p>
            <w:pPr>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24,530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6,868</w:t>
            </w:r>
          </w:p>
        </w:tc>
        <w:tc>
          <w:tcPr>
            <w:tcW w:w="120" w:type="dxa"/>
            <w:vAlign w:val="bottom"/>
          </w:tcPr>
          <w:p>
            <w:pPr>
              <w:spacing w:after="0"/>
              <w:rPr>
                <w:sz w:val="13"/>
                <w:szCs w:val="13"/>
                <w:color w:val="auto"/>
              </w:rPr>
            </w:pPr>
          </w:p>
        </w:tc>
      </w:tr>
      <w:tr>
        <w:trPr>
          <w:trHeight w:val="153"/>
        </w:trPr>
        <w:tc>
          <w:tcPr>
            <w:tcW w:w="560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22,035</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6,737</w:t>
            </w:r>
          </w:p>
        </w:tc>
        <w:tc>
          <w:tcPr>
            <w:tcW w:w="120" w:type="dxa"/>
            <w:vAlign w:val="bottom"/>
            <w:shd w:val="clear" w:color="auto" w:fill="CFF0FC"/>
          </w:tcPr>
          <w:p>
            <w:pPr>
              <w:spacing w:after="0"/>
              <w:rPr>
                <w:sz w:val="13"/>
                <w:szCs w:val="13"/>
                <w:color w:val="auto"/>
              </w:rPr>
            </w:pPr>
          </w:p>
        </w:tc>
      </w:tr>
      <w:tr>
        <w:trPr>
          <w:trHeight w:val="153"/>
        </w:trPr>
        <w:tc>
          <w:tcPr>
            <w:tcW w:w="5600" w:type="dxa"/>
            <w:vAlign w:val="bottom"/>
          </w:tcPr>
          <w:p>
            <w:pPr>
              <w:spacing w:after="0"/>
              <w:rPr>
                <w:sz w:val="20"/>
                <w:szCs w:val="20"/>
                <w:color w:val="auto"/>
              </w:rPr>
            </w:pPr>
            <w:r>
              <w:rPr>
                <w:rFonts w:ascii="Arial" w:cs="Arial" w:eastAsia="Arial" w:hAnsi="Arial"/>
                <w:sz w:val="12"/>
                <w:szCs w:val="12"/>
                <w:color w:val="auto"/>
              </w:rPr>
              <w:t>2023</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19,815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6,717</w:t>
            </w:r>
          </w:p>
        </w:tc>
        <w:tc>
          <w:tcPr>
            <w:tcW w:w="120" w:type="dxa"/>
            <w:vAlign w:val="bottom"/>
          </w:tcPr>
          <w:p>
            <w:pPr>
              <w:spacing w:after="0"/>
              <w:rPr>
                <w:sz w:val="13"/>
                <w:szCs w:val="13"/>
                <w:color w:val="auto"/>
              </w:rPr>
            </w:pPr>
          </w:p>
        </w:tc>
      </w:tr>
      <w:tr>
        <w:trPr>
          <w:trHeight w:val="153"/>
        </w:trPr>
        <w:tc>
          <w:tcPr>
            <w:tcW w:w="560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15,628</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6,352</w:t>
            </w:r>
          </w:p>
        </w:tc>
        <w:tc>
          <w:tcPr>
            <w:tcW w:w="120" w:type="dxa"/>
            <w:vAlign w:val="bottom"/>
            <w:shd w:val="clear" w:color="auto" w:fill="CFF0FC"/>
          </w:tcPr>
          <w:p>
            <w:pPr>
              <w:spacing w:after="0"/>
              <w:rPr>
                <w:sz w:val="13"/>
                <w:szCs w:val="13"/>
                <w:color w:val="auto"/>
              </w:rPr>
            </w:pPr>
          </w:p>
        </w:tc>
      </w:tr>
      <w:tr>
        <w:trPr>
          <w:trHeight w:val="153"/>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10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2"/>
              </w:rPr>
              <w:t>122,505</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50,960</w:t>
            </w:r>
          </w:p>
        </w:tc>
        <w:tc>
          <w:tcPr>
            <w:tcW w:w="120" w:type="dxa"/>
            <w:vAlign w:val="bottom"/>
            <w:tcBorders>
              <w:bottom w:val="single" w:sz="8" w:color="CFF0FC"/>
            </w:tcBorders>
          </w:tcPr>
          <w:p>
            <w:pPr>
              <w:spacing w:after="0"/>
              <w:rPr>
                <w:sz w:val="13"/>
                <w:szCs w:val="13"/>
                <w:color w:val="auto"/>
              </w:rPr>
            </w:pPr>
          </w:p>
        </w:tc>
      </w:tr>
      <w:tr>
        <w:trPr>
          <w:trHeight w:val="142"/>
        </w:trPr>
        <w:tc>
          <w:tcPr>
            <w:tcW w:w="57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undiscounted lease payments</w:t>
            </w:r>
          </w:p>
        </w:tc>
        <w:tc>
          <w:tcPr>
            <w:tcW w:w="2720" w:type="dxa"/>
            <w:vAlign w:val="bottom"/>
            <w:gridSpan w:val="3"/>
            <w:shd w:val="clear" w:color="auto" w:fill="CFF0FC"/>
          </w:tcPr>
          <w:p>
            <w:pPr>
              <w:ind w:left="120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92"/>
              </w:rPr>
              <w:t>231,133</w:t>
            </w:r>
          </w:p>
        </w:tc>
        <w:tc>
          <w:tcPr>
            <w:tcW w:w="2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85,261</w:t>
            </w:r>
          </w:p>
        </w:tc>
        <w:tc>
          <w:tcPr>
            <w:tcW w:w="120" w:type="dxa"/>
            <w:vAlign w:val="bottom"/>
            <w:shd w:val="clear" w:color="auto" w:fill="CFF0FC"/>
          </w:tcPr>
          <w:p>
            <w:pPr>
              <w:spacing w:after="0"/>
              <w:rPr>
                <w:sz w:val="12"/>
                <w:szCs w:val="12"/>
                <w:color w:val="auto"/>
              </w:rPr>
            </w:pPr>
          </w:p>
        </w:tc>
      </w:tr>
      <w:tr>
        <w:trPr>
          <w:trHeight w:val="153"/>
        </w:trPr>
        <w:tc>
          <w:tcPr>
            <w:tcW w:w="5780" w:type="dxa"/>
            <w:vAlign w:val="bottom"/>
            <w:gridSpan w:val="2"/>
          </w:tcPr>
          <w:p>
            <w:pPr>
              <w:spacing w:after="0"/>
              <w:rPr>
                <w:sz w:val="20"/>
                <w:szCs w:val="20"/>
                <w:color w:val="auto"/>
              </w:rPr>
            </w:pPr>
            <w:r>
              <w:rPr>
                <w:rFonts w:ascii="Arial" w:cs="Arial" w:eastAsia="Arial" w:hAnsi="Arial"/>
                <w:sz w:val="12"/>
                <w:szCs w:val="12"/>
                <w:color w:val="auto"/>
              </w:rPr>
              <w:t>Less:  imputed interest</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2"/>
                <w:szCs w:val="12"/>
                <w:color w:val="auto"/>
                <w:w w:val="89"/>
              </w:rPr>
              <w:t>(103,254)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color w:val="auto"/>
              </w:rPr>
              <w:t>(32,267)</w:t>
            </w:r>
          </w:p>
        </w:tc>
      </w:tr>
      <w:tr>
        <w:trPr>
          <w:trHeight w:val="149"/>
        </w:trPr>
        <w:tc>
          <w:tcPr>
            <w:tcW w:w="5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lease liabilities</w:t>
            </w:r>
          </w:p>
        </w:tc>
        <w:tc>
          <w:tcPr>
            <w:tcW w:w="120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15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92"/>
              </w:rPr>
              <w:t>127,879</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52,994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Future minimum rental payments under non-cancellable operating leases as of December 31, 2018</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were as follows:</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5" w:name="page96"/>
    <w:bookmarkEnd w:id="9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7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1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8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2019</w:t>
            </w:r>
          </w:p>
        </w:tc>
        <w:tc>
          <w:tcPr>
            <w:tcW w:w="22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10,585</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2020</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7,543</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4,815</w:t>
            </w:r>
          </w:p>
        </w:tc>
        <w:tc>
          <w:tcPr>
            <w:tcW w:w="120" w:type="dxa"/>
            <w:vAlign w:val="bottom"/>
            <w:shd w:val="clear" w:color="auto" w:fill="CFF0FC"/>
          </w:tcPr>
          <w:p>
            <w:pPr>
              <w:spacing w:after="0"/>
              <w:rPr>
                <w:sz w:val="13"/>
                <w:szCs w:val="13"/>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2022</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3,186</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2,382</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1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15,269</w:t>
            </w:r>
          </w:p>
        </w:tc>
        <w:tc>
          <w:tcPr>
            <w:tcW w:w="120" w:type="dxa"/>
            <w:vAlign w:val="bottom"/>
            <w:tcBorders>
              <w:bottom w:val="single" w:sz="8" w:color="CFF0FC"/>
            </w:tcBorders>
          </w:tcPr>
          <w:p>
            <w:pPr>
              <w:spacing w:after="0"/>
              <w:rPr>
                <w:sz w:val="13"/>
                <w:szCs w:val="13"/>
                <w:color w:val="auto"/>
              </w:rPr>
            </w:pPr>
          </w:p>
        </w:tc>
      </w:tr>
      <w:tr>
        <w:trPr>
          <w:trHeight w:val="149"/>
        </w:trPr>
        <w:tc>
          <w:tcPr>
            <w:tcW w:w="8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1100" w:type="dxa"/>
            <w:vAlign w:val="bottom"/>
            <w:tcBorders>
              <w:bottom w:val="single" w:sz="8" w:color="auto"/>
            </w:tcBorders>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43,780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9" w:lineRule="exact"/>
        <w:rPr>
          <w:sz w:val="20"/>
          <w:szCs w:val="20"/>
          <w:color w:val="auto"/>
        </w:rPr>
      </w:pPr>
    </w:p>
    <w:p>
      <w:pPr>
        <w:ind w:left="8" w:right="6160" w:hanging="8"/>
        <w:spacing w:after="0" w:line="477" w:lineRule="auto"/>
        <w:tabs>
          <w:tab w:leader="none" w:pos="157" w:val="left"/>
        </w:tabs>
        <w:numPr>
          <w:ilvl w:val="0"/>
          <w:numId w:val="16"/>
        </w:numPr>
        <w:rPr>
          <w:rFonts w:ascii="Arial" w:cs="Arial" w:eastAsia="Arial" w:hAnsi="Arial"/>
          <w:sz w:val="9"/>
          <w:szCs w:val="9"/>
          <w:color w:val="auto"/>
        </w:rPr>
      </w:pPr>
      <w:r>
        <w:rPr>
          <w:rFonts w:ascii="Arial" w:cs="Arial" w:eastAsia="Arial" w:hAnsi="Arial"/>
          <w:sz w:val="10"/>
          <w:szCs w:val="10"/>
          <w:color w:val="auto"/>
        </w:rPr>
        <w:t>Prior period amounts have not been adjusted under the modified retrospective transition approach. Future minimum rental payments under capital leases in effect as of December 31, 2018</w:t>
      </w:r>
      <w:r>
        <w:rPr>
          <w:rFonts w:ascii="Arial" w:cs="Arial" w:eastAsia="Arial" w:hAnsi="Arial"/>
          <w:sz w:val="14"/>
          <w:szCs w:val="14"/>
          <w:color w:val="auto"/>
          <w:vertAlign w:val="superscript"/>
        </w:rPr>
        <w:t>(1)</w:t>
      </w:r>
      <w:r>
        <w:rPr>
          <w:rFonts w:ascii="Arial" w:cs="Arial" w:eastAsia="Arial" w:hAnsi="Arial"/>
          <w:sz w:val="10"/>
          <w:szCs w:val="10"/>
          <w:color w:val="auto"/>
        </w:rPr>
        <w:t xml:space="preserve"> were as follows:</w:t>
      </w:r>
    </w:p>
    <w:tbl>
      <w:tblPr>
        <w:tblLayout w:type="fixed"/>
        <w:tblInd w:w="8" w:type="dxa"/>
        <w:tblCellMar>
          <w:top w:w="0" w:type="dxa"/>
          <w:left w:w="0" w:type="dxa"/>
          <w:bottom w:w="0" w:type="dxa"/>
          <w:right w:w="0" w:type="dxa"/>
        </w:tblCellMar>
      </w:tblPr>
      <w:tr>
        <w:trPr>
          <w:trHeight w:val="142"/>
        </w:trPr>
        <w:tc>
          <w:tcPr>
            <w:tcW w:w="8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2019</w:t>
            </w:r>
          </w:p>
        </w:tc>
        <w:tc>
          <w:tcPr>
            <w:tcW w:w="2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CFF0FC"/>
            </w:tcBorders>
            <w:shd w:val="clear" w:color="auto" w:fill="CFF0FC"/>
          </w:tcPr>
          <w:p>
            <w:pPr>
              <w:jc w:val="right"/>
              <w:ind w:right="9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8,683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2020</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7,357</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6,638</w:t>
            </w:r>
          </w:p>
        </w:tc>
        <w:tc>
          <w:tcPr>
            <w:tcW w:w="120" w:type="dxa"/>
            <w:vAlign w:val="bottom"/>
            <w:shd w:val="clear" w:color="auto" w:fill="CFF0FC"/>
          </w:tcPr>
          <w:p>
            <w:pPr>
              <w:spacing w:after="0"/>
              <w:rPr>
                <w:sz w:val="13"/>
                <w:szCs w:val="13"/>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2022</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6,484</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6,457</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10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52,533</w:t>
            </w:r>
          </w:p>
        </w:tc>
        <w:tc>
          <w:tcPr>
            <w:tcW w:w="120" w:type="dxa"/>
            <w:vAlign w:val="bottom"/>
            <w:tcBorders>
              <w:bottom w:val="single" w:sz="8" w:color="CFF0FC"/>
            </w:tcBorders>
          </w:tcPr>
          <w:p>
            <w:pPr>
              <w:spacing w:after="0"/>
              <w:rPr>
                <w:sz w:val="13"/>
                <w:szCs w:val="13"/>
                <w:color w:val="auto"/>
              </w:rPr>
            </w:pPr>
          </w:p>
        </w:tc>
      </w:tr>
      <w:tr>
        <w:trPr>
          <w:trHeight w:val="142"/>
        </w:trPr>
        <w:tc>
          <w:tcPr>
            <w:tcW w:w="8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minimum payments</w:t>
            </w:r>
          </w:p>
        </w:tc>
        <w:tc>
          <w:tcPr>
            <w:tcW w:w="10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88,152</w:t>
            </w:r>
          </w:p>
        </w:tc>
        <w:tc>
          <w:tcPr>
            <w:tcW w:w="120" w:type="dxa"/>
            <w:vAlign w:val="bottom"/>
            <w:shd w:val="clear" w:color="auto" w:fill="CFF0FC"/>
          </w:tcPr>
          <w:p>
            <w:pPr>
              <w:spacing w:after="0"/>
              <w:rPr>
                <w:sz w:val="12"/>
                <w:szCs w:val="12"/>
                <w:color w:val="auto"/>
              </w:rPr>
            </w:pPr>
          </w:p>
        </w:tc>
      </w:t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Less amount representing interest</w:t>
            </w:r>
          </w:p>
        </w:tc>
        <w:tc>
          <w:tcPr>
            <w:tcW w:w="10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(32,870)</w:t>
            </w:r>
          </w:p>
        </w:tc>
      </w:tr>
      <w:tr>
        <w:trPr>
          <w:trHeight w:val="149"/>
        </w:trPr>
        <w:tc>
          <w:tcPr>
            <w:tcW w:w="8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1080" w:type="dxa"/>
            <w:vAlign w:val="bottom"/>
            <w:tcBorders>
              <w:top w:val="single" w:sz="8" w:color="auto"/>
              <w:bottom w:val="single" w:sz="8" w:color="auto"/>
            </w:tcBorders>
            <w:shd w:val="clear" w:color="auto" w:fill="CFF0FC"/>
          </w:tcPr>
          <w:p>
            <w:pPr>
              <w:jc w:val="right"/>
              <w:ind w:right="97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55,282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9" w:lineRule="exact"/>
        <w:rPr>
          <w:sz w:val="20"/>
          <w:szCs w:val="20"/>
          <w:color w:val="auto"/>
        </w:rPr>
      </w:pPr>
    </w:p>
    <w:p>
      <w:pPr>
        <w:ind w:left="148" w:hanging="148"/>
        <w:spacing w:after="0"/>
        <w:tabs>
          <w:tab w:leader="none" w:pos="148" w:val="left"/>
        </w:tabs>
        <w:numPr>
          <w:ilvl w:val="0"/>
          <w:numId w:val="17"/>
        </w:numPr>
        <w:rPr>
          <w:rFonts w:ascii="Arial" w:cs="Arial" w:eastAsia="Arial" w:hAnsi="Arial"/>
          <w:sz w:val="10"/>
          <w:szCs w:val="10"/>
          <w:color w:val="auto"/>
        </w:rPr>
      </w:pPr>
      <w:r>
        <w:rPr>
          <w:rFonts w:ascii="Arial" w:cs="Arial" w:eastAsia="Arial" w:hAnsi="Arial"/>
          <w:sz w:val="12"/>
          <w:szCs w:val="12"/>
          <w:color w:val="auto"/>
        </w:rPr>
        <w:t>Prior period amounts have not been adjusted under the modified retrospective transition approach.</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Future sublease rentals as of December 31, 2019 are as follows:</w:t>
      </w:r>
    </w:p>
    <w:p>
      <w:pPr>
        <w:spacing w:after="0" w:line="11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7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80" w:type="dxa"/>
            <w:vAlign w:val="bottom"/>
          </w:tcPr>
          <w:p>
            <w:pPr>
              <w:spacing w:after="0"/>
              <w:rPr>
                <w:sz w:val="10"/>
                <w:szCs w:val="10"/>
                <w:color w:val="auto"/>
              </w:rPr>
            </w:pPr>
          </w:p>
        </w:tc>
        <w:tc>
          <w:tcPr>
            <w:tcW w:w="2100" w:type="dxa"/>
            <w:vAlign w:val="bottom"/>
            <w:gridSpan w:val="2"/>
          </w:tcPr>
          <w:p>
            <w:pPr>
              <w:ind w:left="400"/>
              <w:spacing w:after="0"/>
              <w:rPr>
                <w:sz w:val="20"/>
                <w:szCs w:val="20"/>
                <w:color w:val="auto"/>
              </w:rPr>
            </w:pPr>
            <w:r>
              <w:rPr>
                <w:rFonts w:ascii="Arial" w:cs="Arial" w:eastAsia="Arial" w:hAnsi="Arial"/>
                <w:sz w:val="10"/>
                <w:szCs w:val="10"/>
                <w:b w:val="1"/>
                <w:bCs w:val="1"/>
                <w:color w:val="auto"/>
              </w:rPr>
              <w:t>Sublease Rentals</w:t>
            </w:r>
          </w:p>
        </w:tc>
      </w:tr>
      <w:tr>
        <w:trPr>
          <w:trHeight w:val="142"/>
        </w:trPr>
        <w:tc>
          <w:tcPr>
            <w:tcW w:w="8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2020</w:t>
            </w:r>
          </w:p>
        </w:tc>
        <w:tc>
          <w:tcPr>
            <w:tcW w:w="22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12,023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2021</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12,077</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12,143</w:t>
            </w:r>
          </w:p>
        </w:tc>
        <w:tc>
          <w:tcPr>
            <w:tcW w:w="120" w:type="dxa"/>
            <w:vAlign w:val="bottom"/>
            <w:shd w:val="clear" w:color="auto" w:fill="CFF0FC"/>
          </w:tcPr>
          <w:p>
            <w:pPr>
              <w:spacing w:after="0"/>
              <w:rPr>
                <w:sz w:val="13"/>
                <w:szCs w:val="13"/>
                <w:color w:val="auto"/>
              </w:rPr>
            </w:pPr>
          </w:p>
        </w:tc>
      </w:tr>
      <w:tr>
        <w:trPr>
          <w:trHeight w:val="153"/>
        </w:trPr>
        <w:tc>
          <w:tcPr>
            <w:tcW w:w="8500" w:type="dxa"/>
            <w:vAlign w:val="bottom"/>
          </w:tcPr>
          <w:p>
            <w:pPr>
              <w:spacing w:after="0"/>
              <w:rPr>
                <w:sz w:val="20"/>
                <w:szCs w:val="20"/>
                <w:color w:val="auto"/>
              </w:rPr>
            </w:pPr>
            <w:r>
              <w:rPr>
                <w:rFonts w:ascii="Arial" w:cs="Arial" w:eastAsia="Arial" w:hAnsi="Arial"/>
                <w:sz w:val="12"/>
                <w:szCs w:val="12"/>
                <w:color w:val="auto"/>
              </w:rPr>
              <w:t>2023</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12,304</w:t>
            </w:r>
          </w:p>
        </w:tc>
        <w:tc>
          <w:tcPr>
            <w:tcW w:w="120" w:type="dxa"/>
            <w:vAlign w:val="bottom"/>
          </w:tcPr>
          <w:p>
            <w:pPr>
              <w:spacing w:after="0"/>
              <w:rPr>
                <w:sz w:val="13"/>
                <w:szCs w:val="13"/>
                <w:color w:val="auto"/>
              </w:rPr>
            </w:pPr>
          </w:p>
        </w:tc>
      </w:tr>
      <w:tr>
        <w:trPr>
          <w:trHeight w:val="153"/>
        </w:trPr>
        <w:tc>
          <w:tcPr>
            <w:tcW w:w="850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12,495</w:t>
            </w:r>
          </w:p>
        </w:tc>
        <w:tc>
          <w:tcPr>
            <w:tcW w:w="120" w:type="dxa"/>
            <w:vAlign w:val="bottom"/>
            <w:shd w:val="clear" w:color="auto" w:fill="CFF0FC"/>
          </w:tcPr>
          <w:p>
            <w:pPr>
              <w:spacing w:after="0"/>
              <w:rPr>
                <w:sz w:val="13"/>
                <w:szCs w:val="13"/>
                <w:color w:val="auto"/>
              </w:rPr>
            </w:pPr>
          </w:p>
        </w:tc>
      </w:tr>
      <w:tr>
        <w:trPr>
          <w:trHeight w:val="153"/>
        </w:trPr>
        <w:tc>
          <w:tcPr>
            <w:tcW w:w="8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4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129,903</w:t>
            </w:r>
          </w:p>
        </w:tc>
        <w:tc>
          <w:tcPr>
            <w:tcW w:w="120" w:type="dxa"/>
            <w:vAlign w:val="bottom"/>
            <w:tcBorders>
              <w:bottom w:val="single" w:sz="8" w:color="CFF0FC"/>
            </w:tcBorders>
          </w:tcPr>
          <w:p>
            <w:pPr>
              <w:spacing w:after="0"/>
              <w:rPr>
                <w:sz w:val="13"/>
                <w:szCs w:val="13"/>
                <w:color w:val="auto"/>
              </w:rPr>
            </w:pPr>
          </w:p>
        </w:tc>
      </w:tr>
      <w:tr>
        <w:trPr>
          <w:trHeight w:val="149"/>
        </w:trPr>
        <w:tc>
          <w:tcPr>
            <w:tcW w:w="8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CFF0FC"/>
          </w:tcPr>
          <w:p>
            <w:pPr>
              <w:jc w:val="right"/>
              <w:ind w:right="372"/>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190,945</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6. Business Combinations, Asset Acquisitions and Dispositions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2019 Transactions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Bluebird Network, LLC</w:t>
      </w:r>
    </w:p>
    <w:p>
      <w:pPr>
        <w:spacing w:after="0" w:line="150" w:lineRule="exact"/>
        <w:rPr>
          <w:sz w:val="20"/>
          <w:szCs w:val="20"/>
          <w:color w:val="auto"/>
        </w:rPr>
      </w:pPr>
    </w:p>
    <w:p>
      <w:pPr>
        <w:ind w:left="8" w:right="40"/>
        <w:spacing w:after="0" w:line="283" w:lineRule="auto"/>
        <w:rPr>
          <w:sz w:val="20"/>
          <w:szCs w:val="20"/>
          <w:color w:val="auto"/>
        </w:rPr>
      </w:pPr>
      <w:r>
        <w:rPr>
          <w:rFonts w:ascii="Arial" w:cs="Arial" w:eastAsia="Arial" w:hAnsi="Arial"/>
          <w:sz w:val="11"/>
          <w:szCs w:val="11"/>
          <w:color w:val="auto"/>
        </w:rPr>
        <w:t>On August 30, 2019, the Company closed on its operating company/property company (“OpCo-PropCo”) transaction with Macquarie Infrastructure Partners (“MIP”) to acquire Bluebird Network, LLC (“Bluebird”). MIP operates within the Macquarie Infrastructure and Real Assets division of Macquarie Group. Bluebird’s network consists of approximately 178,000 fiber strand miles in the Midwest across Missouri, Kansas, Illinois and Oklahoma. In the transaction, Uniti purchased the Bluebird fiber network and MIP purchased the Bluebird operations. In addition, Uniti sold Uniti Fiber’s Midwest operations to MIP, while Uniti retains its existing Midwest fiber network. Uniti acquired the fiber network of Bluebird for $320.8 million, which included transaction costs of $1.8 million. Uniti funded $175 million in cash and $144 million from pre-paid rent received from MIP at closing. The pre-paid rent is recorded within deferred revenue on our Consolidated Balance Sheet. In connection with the sale of the Company’s Midwest operations, we received total upfront cash of approximately $37 million, including related pre-paid rent received from MIP at closing. Concurrently with the closing of these transactions, Uniti has leased the Bluebird fiber network and its Midwest fiber network on a combined basis to MIP, under a long-term</w:t>
      </w:r>
    </w:p>
    <w:p>
      <w:pPr>
        <w:spacing w:after="0" w:line="1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triple net lease (the “Bluebird Lease”). The Bluebird Lease is reported within the results of our Leasing segment.  The Midwest operations that was sold to MIP was previously reported in our Fiber Infrastructure segment.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acquisition of the Bluebird network was accounted for as an asset acquisition.  The following is a summary of the estimated fair values of the assets acquired and liabilities assumed as of the acquisition date: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ind w:right="902"/>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139,566</w:t>
            </w:r>
          </w:p>
        </w:tc>
        <w:tc>
          <w:tcPr>
            <w:tcW w:w="120" w:type="dxa"/>
            <w:vAlign w:val="bottom"/>
            <w:shd w:val="clear" w:color="auto" w:fill="CFF0FC"/>
          </w:tcPr>
          <w:p>
            <w:pPr>
              <w:spacing w:after="0"/>
              <w:rPr>
                <w:sz w:val="13"/>
                <w:szCs w:val="13"/>
                <w:color w:val="auto"/>
              </w:rPr>
            </w:pP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175,401</w:t>
            </w:r>
          </w:p>
        </w:tc>
        <w:tc>
          <w:tcPr>
            <w:tcW w:w="120" w:type="dxa"/>
            <w:vAlign w:val="bottom"/>
          </w:tcPr>
          <w:p>
            <w:pPr>
              <w:spacing w:after="0"/>
              <w:rPr>
                <w:sz w:val="13"/>
                <w:szCs w:val="13"/>
                <w:color w:val="auto"/>
              </w:rPr>
            </w:pPr>
          </w:p>
        </w:tc>
      </w:tr>
      <w:tr>
        <w:trPr>
          <w:trHeight w:val="153"/>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50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8,946</w:t>
            </w:r>
          </w:p>
        </w:tc>
        <w:tc>
          <w:tcPr>
            <w:tcW w:w="120" w:type="dxa"/>
            <w:vAlign w:val="bottom"/>
            <w:shd w:val="clear" w:color="auto" w:fill="CFF0FC"/>
          </w:tcPr>
          <w:p>
            <w:pPr>
              <w:spacing w:after="0"/>
              <w:rPr>
                <w:sz w:val="13"/>
                <w:szCs w:val="13"/>
                <w:color w:val="auto"/>
              </w:rPr>
            </w:pP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(3,095)</w:t>
            </w:r>
          </w:p>
        </w:tc>
      </w:tr>
      <w:tr>
        <w:trPr>
          <w:trHeight w:val="149"/>
        </w:trPr>
        <w:tc>
          <w:tcPr>
            <w:tcW w:w="8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320,818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During the fourth quarter of 2019, the Company re-evaluated the estimated fair value of the assets acquired and associated useful lives, which resulted in a decrease in the fair value of property, plant and equipment and an increase in the fair value of intangible assets of approximately $3.8 million compared to the amounts reported at September 30, 2019. In addition, the Company capitalized approximately $1.8 million of asset acquisition costs that had been previously been expensed in transaction related and other costs on our Consolidated Statements of Income.</w:t>
      </w:r>
    </w:p>
    <w:p>
      <w:pPr>
        <w:spacing w:after="0" w:line="122"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Acquired right of use assets and liabilities of $8.9 million and $3.1 million are recorded within other assets, net and accounts payable, accrued expenses and other liabilities, net on our Consolidated Balance Sheets, respectively. Of the $175.4 million of intangible assets acquired, $124.7 million is related to rights of way (30 year life) and $50.7 million is related to an in-place lease (20 year life). The Company determined the useful life of the rights of way intangible asset by aligning the useful life of the intangible with that of the underlying fiber assets acquired. The in-place lease will be amortized over the initial 20-year lease term.</w:t>
      </w:r>
    </w:p>
    <w:p>
      <w:pPr>
        <w:spacing w:after="0" w:line="105"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Upon the sale of our Midwest operations, we recognized an approximately $2.2 million net loss, which is recorded within other (income) expense on the Consolidated Statements of Income. This loss included the allocation of approximately $2.2 million of goodwill. See Note 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 of Ground Lease Portfolio</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On May 23, 2019, the Company completed the sale of substantially all of its U.S. ground lease business. During second quarter, we received cash consideration of $30.7 million resulting in a pre-tax gain of $5.0 million. We sold an additional ground lease during the third quarter, receiving cash consideration of $2.9 million.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 of Latin American Tower Portfolio</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On April 2, 2019, the Company completed the sale of the Uniti Towers’ Latin America business (“LATAM”) to an entity controlled by Phoenix Towers International for cash consideration of $101.6 million resulting in a pre-tax gain of $23.8 million.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JKM Consulting Inc. (M2 Connections)</w:t>
      </w:r>
    </w:p>
    <w:p>
      <w:pPr>
        <w:spacing w:after="0" w:line="150" w:lineRule="exact"/>
        <w:rPr>
          <w:sz w:val="20"/>
          <w:szCs w:val="20"/>
          <w:color w:val="auto"/>
        </w:rPr>
      </w:pPr>
    </w:p>
    <w:p>
      <w:pPr>
        <w:ind w:right="160"/>
        <w:spacing w:after="0" w:line="234" w:lineRule="auto"/>
        <w:rPr>
          <w:rFonts w:ascii="Arial" w:cs="Arial" w:eastAsia="Arial" w:hAnsi="Arial"/>
          <w:sz w:val="11"/>
          <w:szCs w:val="11"/>
          <w:color w:val="auto"/>
        </w:rPr>
      </w:pPr>
      <w:r>
        <w:rPr>
          <w:rFonts w:ascii="Arial" w:cs="Arial" w:eastAsia="Arial" w:hAnsi="Arial"/>
          <w:sz w:val="11"/>
          <w:szCs w:val="11"/>
          <w:color w:val="auto"/>
        </w:rPr>
        <w:t>On March 25, 2019, we acquired 100% of the outstanding equity of JKM Consulting Inc. d/b/a M</w:t>
      </w:r>
      <w:r>
        <w:rPr>
          <w:rFonts w:ascii="Arial" w:cs="Arial" w:eastAsia="Arial" w:hAnsi="Arial"/>
          <w:sz w:val="16"/>
          <w:szCs w:val="16"/>
          <w:color w:val="auto"/>
          <w:vertAlign w:val="superscript"/>
        </w:rPr>
        <w:t>2</w:t>
      </w:r>
      <w:r>
        <w:rPr>
          <w:rFonts w:ascii="Arial" w:cs="Arial" w:eastAsia="Arial" w:hAnsi="Arial"/>
          <w:sz w:val="11"/>
          <w:szCs w:val="11"/>
          <w:color w:val="auto"/>
        </w:rPr>
        <w:t xml:space="preserve"> Connections (“M</w:t>
      </w:r>
      <w:r>
        <w:rPr>
          <w:rFonts w:ascii="Arial" w:cs="Arial" w:eastAsia="Arial" w:hAnsi="Arial"/>
          <w:sz w:val="16"/>
          <w:szCs w:val="16"/>
          <w:color w:val="auto"/>
          <w:vertAlign w:val="superscript"/>
        </w:rPr>
        <w:t>2</w:t>
      </w:r>
      <w:r>
        <w:rPr>
          <w:rFonts w:ascii="Arial" w:cs="Arial" w:eastAsia="Arial" w:hAnsi="Arial"/>
          <w:sz w:val="11"/>
          <w:szCs w:val="11"/>
          <w:color w:val="auto"/>
        </w:rPr>
        <w:t>”) for cash consideration of $5.5 million. M</w:t>
      </w:r>
      <w:r>
        <w:rPr>
          <w:rFonts w:ascii="Arial" w:cs="Arial" w:eastAsia="Arial" w:hAnsi="Arial"/>
          <w:sz w:val="16"/>
          <w:szCs w:val="16"/>
          <w:color w:val="auto"/>
          <w:vertAlign w:val="superscript"/>
        </w:rPr>
        <w:t>2</w:t>
      </w:r>
      <w:r>
        <w:rPr>
          <w:rFonts w:ascii="Arial" w:cs="Arial" w:eastAsia="Arial" w:hAnsi="Arial"/>
          <w:sz w:val="11"/>
          <w:szCs w:val="11"/>
          <w:color w:val="auto"/>
        </w:rPr>
        <w:t xml:space="preserve"> is a dark fiber and internet access provider primarily to educational institutions in Alabama. This acquisition strengthens Uniti Fiber’s relationships with new E-Rate customers. The acquisition was recorded by allocating the costs of the assets acquired based on their estimated fair values at the acquisition date. The excess of the cost of the acquisition over the fair value of the assets acquired is recorded as goodwill of $1.7 million within our Fiber Infrastructure segment. </w:t>
      </w:r>
      <w:hyperlink r:id="rId122">
        <w:r>
          <w:rPr>
            <w:rFonts w:ascii="Arial" w:cs="Arial" w:eastAsia="Arial" w:hAnsi="Arial"/>
            <w:sz w:val="11"/>
            <w:szCs w:val="11"/>
            <w:u w:val="single" w:color="auto"/>
            <w:color w:val="0000EE"/>
          </w:rPr>
          <w:t>See Note 1</w:t>
        </w:r>
      </w:hyperlink>
      <w:r>
        <w:rPr>
          <w:rFonts w:ascii="Arial" w:cs="Arial" w:eastAsia="Arial" w:hAnsi="Arial"/>
          <w:sz w:val="11"/>
          <w:szCs w:val="11"/>
          <w:color w:val="auto"/>
        </w:rPr>
        <w:t>4. For federal income tax purposes, the transaction was treated as a taxable acquisition. Thus, all of the goodwill is expected to be deductible for tax purposes. The financial results of M</w:t>
      </w:r>
      <w:r>
        <w:rPr>
          <w:rFonts w:ascii="Arial" w:cs="Arial" w:eastAsia="Arial" w:hAnsi="Arial"/>
          <w:sz w:val="16"/>
          <w:szCs w:val="16"/>
          <w:color w:val="auto"/>
          <w:vertAlign w:val="superscript"/>
        </w:rPr>
        <w:t>2</w:t>
      </w:r>
      <w:r>
        <w:rPr>
          <w:rFonts w:ascii="Arial" w:cs="Arial" w:eastAsia="Arial" w:hAnsi="Arial"/>
          <w:sz w:val="11"/>
          <w:szCs w:val="11"/>
          <w:color w:val="auto"/>
        </w:rPr>
        <w:t xml:space="preserve"> are included in the Fiber Infrastructure segment from the date of acquisition and were not material, individually or in the aggregate, to our results of operations and therefore, pro forma financial information has not been presented.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2018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Transport Solutions, Inc.</w:t>
      </w:r>
    </w:p>
    <w:p>
      <w:pPr>
        <w:spacing w:after="0" w:line="150" w:lineRule="exact"/>
        <w:rPr>
          <w:sz w:val="20"/>
          <w:szCs w:val="20"/>
          <w:color w:val="auto"/>
        </w:rPr>
      </w:pPr>
    </w:p>
    <w:p>
      <w:pPr>
        <w:ind w:right="20"/>
        <w:spacing w:after="0" w:line="264" w:lineRule="auto"/>
        <w:rPr>
          <w:rFonts w:ascii="Arial" w:cs="Arial" w:eastAsia="Arial" w:hAnsi="Arial"/>
          <w:sz w:val="12"/>
          <w:szCs w:val="12"/>
          <w:color w:val="auto"/>
        </w:rPr>
      </w:pPr>
      <w:r>
        <w:rPr>
          <w:rFonts w:ascii="Arial" w:cs="Arial" w:eastAsia="Arial" w:hAnsi="Arial"/>
          <w:sz w:val="12"/>
          <w:szCs w:val="12"/>
          <w:color w:val="auto"/>
        </w:rPr>
        <w:t xml:space="preserve">On October 19, 2018, we acquired 100% of the outstanding equity of Information Transport Solutions, Inc. (“ITS”) for cash consideration of $58.3 million. ITS is a full-service managed services provider of technology solutions, primarily to educational institutions in Alabama and Florida. This acquisition expands Uniti Fiber’s product offerings and strengthens relationships with new and existing E-Rate customers.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See </w:t>
      </w:r>
      <w:hyperlink w:anchor="page115">
        <w:r>
          <w:rPr>
            <w:rFonts w:ascii="Arial" w:cs="Arial" w:eastAsia="Arial" w:hAnsi="Arial"/>
            <w:sz w:val="12"/>
            <w:szCs w:val="12"/>
            <w:color w:val="auto"/>
          </w:rPr>
          <w:t>Note 14</w:t>
        </w:r>
        <w:r>
          <w:rPr>
            <w:rFonts w:ascii="Arial" w:cs="Arial" w:eastAsia="Arial" w:hAnsi="Arial"/>
            <w:sz w:val="12"/>
            <w:szCs w:val="12"/>
            <w:color w:val="0000EE"/>
          </w:rPr>
          <w:t>.</w:t>
        </w:r>
        <w:r>
          <w:rPr>
            <w:rFonts w:ascii="Arial" w:cs="Arial" w:eastAsia="Arial" w:hAnsi="Arial"/>
            <w:sz w:val="12"/>
            <w:szCs w:val="12"/>
            <w:color w:val="auto"/>
          </w:rPr>
          <w:t xml:space="preserve"> </w:t>
        </w:r>
        <w:r>
          <w:rPr>
            <w:rFonts w:ascii="Arial" w:cs="Arial" w:eastAsia="Arial" w:hAnsi="Arial"/>
            <w:sz w:val="12"/>
            <w:szCs w:val="12"/>
            <w:u w:val="single" w:color="auto"/>
            <w:color w:val="0000EE"/>
            <w:highlight w:val="white"/>
          </w:rPr>
          <w:t>During the first quarter of 2019, certain contractual working capital adjustments resulted in a $</w:t>
        </w:r>
        <w:r>
          <w:rPr>
            <w:rFonts w:ascii="Arial" w:cs="Arial" w:eastAsia="Arial" w:hAnsi="Arial"/>
            <w:sz w:val="12"/>
            <w:szCs w:val="12"/>
            <w:u w:val="single" w:color="auto"/>
            <w:color w:val="auto"/>
          </w:rPr>
          <w:t>1.3</w:t>
        </w:r>
        <w:r>
          <w:rPr>
            <w:rFonts w:ascii="Arial" w:cs="Arial" w:eastAsia="Arial" w:hAnsi="Arial"/>
            <w:sz w:val="12"/>
            <w:szCs w:val="12"/>
            <w:color w:val="auto"/>
          </w:rPr>
          <w:t xml:space="preserve"> </w:t>
        </w:r>
        <w:r>
          <w:rPr>
            <w:rFonts w:ascii="Arial" w:cs="Arial" w:eastAsia="Arial" w:hAnsi="Arial"/>
            <w:sz w:val="12"/>
            <w:szCs w:val="12"/>
            <w:u w:val="single" w:color="auto"/>
            <w:color w:val="0000EE"/>
            <w:highlight w:val="white"/>
          </w:rPr>
          <w:t>million reduction of the purchase price and goodwill.</w:t>
        </w:r>
        <w:r>
          <w:rPr>
            <w:rFonts w:ascii="Arial" w:cs="Arial" w:eastAsia="Arial" w:hAnsi="Arial"/>
            <w:sz w:val="12"/>
            <w:szCs w:val="12"/>
            <w:color w:val="auto"/>
          </w:rPr>
          <w:t xml:space="preserve"> </w:t>
        </w:r>
      </w:hyperlink>
      <w:r>
        <w:rPr>
          <w:rFonts w:ascii="Arial" w:cs="Arial" w:eastAsia="Arial" w:hAnsi="Arial"/>
          <w:sz w:val="12"/>
          <w:szCs w:val="12"/>
          <w:color w:val="auto"/>
        </w:rPr>
        <w:t>The following is a summary of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-115570</wp:posOffset>
            </wp:positionV>
            <wp:extent cx="2800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80035" cy="571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8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88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4,270</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5,931</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3,909</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7,238</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9,941</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30,254</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(2,645)</w:t>
            </w: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(567)</w:t>
            </w:r>
          </w:p>
        </w:tc>
      </w:tr>
      <w:tr>
        <w:trPr>
          <w:trHeight w:val="149"/>
        </w:trPr>
        <w:tc>
          <w:tcPr>
            <w:tcW w:w="8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58,331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97" w:lineRule="exact"/>
        <w:rPr>
          <w:sz w:val="20"/>
          <w:szCs w:val="20"/>
          <w:color w:val="auto"/>
        </w:rPr>
      </w:pPr>
    </w:p>
    <w:p>
      <w:pPr>
        <w:ind w:right="540"/>
        <w:spacing w:after="0" w:line="323" w:lineRule="auto"/>
        <w:rPr>
          <w:sz w:val="20"/>
          <w:szCs w:val="20"/>
          <w:color w:val="auto"/>
        </w:rPr>
      </w:pPr>
      <w:r>
        <w:rPr>
          <w:rFonts w:ascii="Arial" w:cs="Arial" w:eastAsia="Arial" w:hAnsi="Arial"/>
          <w:sz w:val="11"/>
          <w:szCs w:val="11"/>
          <w:color w:val="auto"/>
        </w:rPr>
        <w:t>The goodwill arising from the transaction is primarily attributable to strategic opportunities that arose from the acquisition of ITS, including strengthening relationships with new and existing E-Rate customers and anticipated incremental sales and cost savings. For federal income tax purposes, the transaction was treated as a taxable acquisition. Thus, all of the goodwill is expected to be deductible for tax purposes.</w:t>
      </w:r>
    </w:p>
    <w:p>
      <w:pPr>
        <w:spacing w:after="0" w:line="92"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We acquired an intangible asset that was assigned to customer relationships of $30.3 million (14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22"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The acquired business contributed revenue of $9.0 million and an operating income of $0.5 million, which excludes transaction related costs, to our consolidated results from the date of acquisition through December 31, 2018. We recorded transaction related costs related to the acquisition of ITS for the year ended December 31, 2018 of $0.3 million within transaction related and other costs on the Consolidated Statement of Income.</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following table presents the unaudited pro forma summary of our financial results as if the ITS acquisition had occurred on January 1, 2017. The pro forma results include additional amortization resulting from purchase accounting adjustments related to the intangible asset. The pro forma results do not include any synergies or other benefits of the acquisition. The pro forma results are not indicative of future results of operations, or results that might have been achieved had the acquisition been consummated on January 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4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jc w:val="center"/>
              <w:ind w:left="592"/>
              <w:spacing w:after="0"/>
              <w:rPr>
                <w:sz w:val="20"/>
                <w:szCs w:val="20"/>
                <w:color w:val="auto"/>
              </w:rPr>
            </w:pPr>
            <w:r>
              <w:rPr>
                <w:rFonts w:ascii="Arial" w:cs="Arial" w:eastAsia="Arial" w:hAnsi="Arial"/>
                <w:sz w:val="10"/>
                <w:szCs w:val="10"/>
                <w:b w:val="1"/>
                <w:bCs w:val="1"/>
                <w:color w:val="auto"/>
                <w:w w:val="87"/>
              </w:rPr>
              <w:t>Year Ended</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40" w:type="dxa"/>
            <w:vAlign w:val="bottom"/>
            <w:gridSpan w:val="2"/>
          </w:tcPr>
          <w:p>
            <w:pPr>
              <w:jc w:val="right"/>
              <w:ind w:right="1160"/>
              <w:spacing w:after="0"/>
              <w:rPr>
                <w:sz w:val="20"/>
                <w:szCs w:val="20"/>
                <w:color w:val="auto"/>
              </w:rPr>
            </w:pPr>
            <w:r>
              <w:rPr>
                <w:rFonts w:ascii="Arial" w:cs="Arial" w:eastAsia="Arial" w:hAnsi="Arial"/>
                <w:sz w:val="10"/>
                <w:szCs w:val="10"/>
                <w:b w:val="1"/>
                <w:bCs w:val="1"/>
                <w:color w:val="auto"/>
              </w:rPr>
              <w:t>Year Ended</w:t>
            </w:r>
          </w:p>
        </w:tc>
      </w:tr>
      <w:tr>
        <w:trPr>
          <w:trHeight w:val="152"/>
        </w:trPr>
        <w:tc>
          <w:tcPr>
            <w:tcW w:w="3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2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tcPr>
          <w:p>
            <w:pPr>
              <w:jc w:val="center"/>
              <w:ind w:left="572"/>
              <w:spacing w:after="0"/>
              <w:rPr>
                <w:sz w:val="20"/>
                <w:szCs w:val="20"/>
                <w:color w:val="auto"/>
              </w:rPr>
            </w:pPr>
            <w:r>
              <w:rPr>
                <w:rFonts w:ascii="Arial" w:cs="Arial" w:eastAsia="Arial" w:hAnsi="Arial"/>
                <w:sz w:val="10"/>
                <w:szCs w:val="10"/>
                <w:b w:val="1"/>
                <w:bCs w:val="1"/>
                <w:color w:val="auto"/>
                <w:w w:val="86"/>
              </w:rPr>
              <w:t>December 31, 2018</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686"/>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tcBorders>
              <w:bottom w:val="single" w:sz="8" w:color="CFF0FC"/>
            </w:tcBorders>
          </w:tcPr>
          <w:p>
            <w:pPr>
              <w:spacing w:after="0"/>
              <w:rPr>
                <w:sz w:val="13"/>
                <w:szCs w:val="13"/>
                <w:color w:val="auto"/>
              </w:rPr>
            </w:pPr>
          </w:p>
        </w:tc>
      </w:tr>
      <w:tr>
        <w:trPr>
          <w:trHeight w:val="142"/>
        </w:trPr>
        <w:tc>
          <w:tcPr>
            <w:tcW w:w="3460" w:type="dxa"/>
            <w:vAlign w:val="bottom"/>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4420" w:type="dxa"/>
            <w:vAlign w:val="bottom"/>
            <w:gridSpan w:val="3"/>
            <w:shd w:val="clear" w:color="auto" w:fill="CFF0FC"/>
          </w:tcPr>
          <w:p>
            <w:pPr>
              <w:jc w:val="right"/>
              <w:ind w:right="1532"/>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1,054,192</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967,512</w:t>
            </w:r>
          </w:p>
        </w:tc>
        <w:tc>
          <w:tcPr>
            <w:tcW w:w="280" w:type="dxa"/>
            <w:vAlign w:val="bottom"/>
            <w:shd w:val="clear" w:color="auto" w:fill="CFF0FC"/>
          </w:tcPr>
          <w:p>
            <w:pPr>
              <w:spacing w:after="0"/>
              <w:rPr>
                <w:sz w:val="12"/>
                <w:szCs w:val="12"/>
                <w:color w:val="auto"/>
              </w:rPr>
            </w:pPr>
          </w:p>
        </w:tc>
      </w:tr>
      <w:tr>
        <w:trPr>
          <w:trHeight w:val="153"/>
        </w:trPr>
        <w:tc>
          <w:tcPr>
            <w:tcW w:w="3460" w:type="dxa"/>
            <w:vAlign w:val="bottom"/>
          </w:tcPr>
          <w:p>
            <w:pPr>
              <w:spacing w:after="0"/>
              <w:rPr>
                <w:sz w:val="20"/>
                <w:szCs w:val="20"/>
                <w:color w:val="auto"/>
              </w:rPr>
            </w:pPr>
            <w:r>
              <w:rPr>
                <w:rFonts w:ascii="Arial" w:cs="Arial" w:eastAsia="Arial" w:hAnsi="Arial"/>
                <w:sz w:val="12"/>
                <w:szCs w:val="12"/>
                <w:color w:val="auto"/>
              </w:rPr>
              <w:t>Pro forma net income (loss)</w:t>
            </w: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17,727</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40" w:type="dxa"/>
            <w:vAlign w:val="bottom"/>
            <w:gridSpan w:val="2"/>
          </w:tcPr>
          <w:p>
            <w:pPr>
              <w:jc w:val="right"/>
              <w:ind w:right="240"/>
              <w:spacing w:after="0"/>
              <w:rPr>
                <w:sz w:val="20"/>
                <w:szCs w:val="20"/>
                <w:color w:val="auto"/>
              </w:rPr>
            </w:pPr>
            <w:r>
              <w:rPr>
                <w:rFonts w:ascii="Arial" w:cs="Arial" w:eastAsia="Arial" w:hAnsi="Arial"/>
                <w:sz w:val="12"/>
                <w:szCs w:val="12"/>
                <w:color w:val="auto"/>
              </w:rPr>
              <w:t>(6,763)</w:t>
            </w:r>
          </w:p>
        </w:tc>
      </w:tr>
      <w:tr>
        <w:trPr>
          <w:trHeight w:val="423"/>
        </w:trPr>
        <w:tc>
          <w:tcPr>
            <w:tcW w:w="3460" w:type="dxa"/>
            <w:vAlign w:val="bottom"/>
          </w:tcPr>
          <w:p>
            <w:pPr>
              <w:spacing w:after="0"/>
              <w:rPr>
                <w:sz w:val="24"/>
                <w:szCs w:val="24"/>
                <w:color w:val="auto"/>
              </w:rPr>
            </w:pPr>
          </w:p>
        </w:tc>
        <w:tc>
          <w:tcPr>
            <w:tcW w:w="2640" w:type="dxa"/>
            <w:vAlign w:val="bottom"/>
          </w:tcPr>
          <w:p>
            <w:pPr>
              <w:jc w:val="right"/>
              <w:ind w:right="340"/>
              <w:spacing w:after="0"/>
              <w:rPr>
                <w:sz w:val="20"/>
                <w:szCs w:val="20"/>
                <w:color w:val="auto"/>
              </w:rPr>
            </w:pPr>
            <w:r>
              <w:rPr>
                <w:rFonts w:ascii="Arial" w:cs="Arial" w:eastAsia="Arial" w:hAnsi="Arial"/>
                <w:sz w:val="12"/>
                <w:szCs w:val="12"/>
                <w:color w:val="auto"/>
              </w:rPr>
              <w:t>98</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2"/>
        </w:trPr>
        <w:tc>
          <w:tcPr>
            <w:tcW w:w="346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2017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Southern Light, LLC</w:t>
      </w:r>
    </w:p>
    <w:p>
      <w:pPr>
        <w:spacing w:after="0" w:line="150" w:lineRule="exact"/>
        <w:rPr>
          <w:sz w:val="20"/>
          <w:szCs w:val="20"/>
          <w:color w:val="auto"/>
        </w:rPr>
      </w:pPr>
    </w:p>
    <w:p>
      <w:pPr>
        <w:ind w:right="80"/>
        <w:spacing w:after="0" w:line="289" w:lineRule="auto"/>
        <w:rPr>
          <w:rFonts w:ascii="Arial" w:cs="Arial" w:eastAsia="Arial" w:hAnsi="Arial"/>
          <w:sz w:val="11"/>
          <w:szCs w:val="11"/>
          <w:color w:val="auto"/>
        </w:rPr>
      </w:pPr>
      <w:r>
        <w:rPr>
          <w:rFonts w:ascii="Arial" w:cs="Arial" w:eastAsia="Arial" w:hAnsi="Arial"/>
          <w:sz w:val="11"/>
          <w:szCs w:val="11"/>
          <w:color w:val="auto"/>
        </w:rPr>
        <w:t xml:space="preserve">On July 3, 2017, we acquired 100% of the outstanding equity of Southern Light for $638.1 million in cash and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See </w:t>
      </w:r>
      <w:hyperlink w:anchor="page115">
        <w:r>
          <w:rPr>
            <w:rFonts w:ascii="Arial" w:cs="Arial" w:eastAsia="Arial" w:hAnsi="Arial"/>
            <w:sz w:val="11"/>
            <w:szCs w:val="11"/>
            <w:color w:val="auto"/>
          </w:rPr>
          <w:t xml:space="preserve">Note 14. </w:t>
        </w:r>
      </w:hyperlink>
      <w:r>
        <w:rPr>
          <w:rFonts w:ascii="Arial" w:cs="Arial" w:eastAsia="Arial" w:hAnsi="Arial"/>
          <w:sz w:val="11"/>
          <w:szCs w:val="11"/>
          <w:color w:val="auto"/>
        </w:rPr>
        <w:t>The following is a summary of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4320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43205" cy="571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88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279,467</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1,992</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11,139</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1,287</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319,508</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160,100</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(19,846)</w:t>
            </w: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(38,134)</w:t>
            </w: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(9,892)</w:t>
            </w: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(3,189)</w:t>
            </w:r>
          </w:p>
        </w:tc>
      </w:tr>
      <w:tr>
        <w:trPr>
          <w:trHeight w:val="149"/>
        </w:trPr>
        <w:tc>
          <w:tcPr>
            <w:tcW w:w="8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702,432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During the second quarter of 2018, the purchase price allocation was adjusted to record $0.9 million of deferred tax liabilities that existed at the date of acquisition.</w:t>
      </w:r>
    </w:p>
    <w:p>
      <w:pPr>
        <w:spacing w:after="0" w:line="150"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The goodwill arising from the transaction is primarily attributable to the expansion of our fiber network through the complementary nature of Southern Light’s fiber network to our existing fiber network, including anticipated incremental sales and cost savings. For federal income tax purposes, the transaction was treated as partially taxable (for portion paid in cash) and partially non-taxable (for portion paid with common units in the Operating Partnership). The portion of the acquisition that was treated as a taxable acquisition resulted in tax deductible goodwill. No tax deductible goodwill resulted from the portion of the acquisition that was treated as non-taxable.</w:t>
      </w:r>
    </w:p>
    <w:p>
      <w:pPr>
        <w:spacing w:after="0" w:line="10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We acquired an intangible asset that was assigned to customer relationships of $160.1 million (15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22"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The acquired business contributed revenue of $45.5 million and an operating income of $4.6 million, which excludes transaction related costs, to our consolidated results from the date of acquisition through December 31, 2017. We recorded transaction related costs related to the acquisition of Southern Light for the year ended December 31, 2017 of $14.8 million within transaction related and other costs on the Consolidated Statement of Income.</w:t>
      </w:r>
    </w:p>
    <w:p>
      <w:pPr>
        <w:spacing w:after="0" w:line="9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 acquisition of Southern Light was structured in a manner such that Southern Light ended up being owned by a subsidiary of ours with a pre-existing valuation allowance primarily related to deferred tax assets associated with net operating loss carryforwards. The acquisition of Southern Light also resulted in a change to our assessment of the need for a valuation allowance against these deferred tax assets, which resulted in a decrease to the valuation allowance of $8.0 million. The decrease in valuation allowance was recorded as an income tax benefit during the year ended December 31, 2017.</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Hunt Telecommunications, LLC</w:t>
      </w:r>
    </w:p>
    <w:p>
      <w:pPr>
        <w:spacing w:after="0" w:line="150" w:lineRule="exact"/>
        <w:rPr>
          <w:sz w:val="20"/>
          <w:szCs w:val="20"/>
          <w:color w:val="auto"/>
        </w:rPr>
      </w:pPr>
    </w:p>
    <w:p>
      <w:pPr>
        <w:ind w:right="20"/>
        <w:spacing w:after="0" w:line="254" w:lineRule="auto"/>
        <w:rPr>
          <w:rFonts w:ascii="Arial" w:cs="Arial" w:eastAsia="Arial" w:hAnsi="Arial"/>
          <w:sz w:val="12"/>
          <w:szCs w:val="12"/>
          <w:u w:val="single" w:color="auto"/>
          <w:color w:val="0000EE"/>
        </w:rPr>
      </w:pPr>
      <w:r>
        <w:rPr>
          <w:rFonts w:ascii="Arial" w:cs="Arial" w:eastAsia="Arial" w:hAnsi="Arial"/>
          <w:sz w:val="12"/>
          <w:szCs w:val="12"/>
          <w:color w:val="auto"/>
        </w:rPr>
        <w:t xml:space="preserve">On July 3, 2017, we acquired 100% of the outstanding equity of Hunt for $129.3 million in cash and 1.6 million common units in the Operating Partnership with an acquisition date fair value of $41.6 million. Additional contingent </w:t>
      </w:r>
      <w:hyperlink w:anchor="page101">
        <w:r>
          <w:rPr>
            <w:rFonts w:ascii="Arial" w:cs="Arial" w:eastAsia="Arial" w:hAnsi="Arial"/>
            <w:sz w:val="12"/>
            <w:szCs w:val="12"/>
            <w:color w:val="auto"/>
          </w:rPr>
          <w:t>consideration of up to $17 million, with an acquisition date fair value of $16.4 million, may be paid upon the achievement of certain financial revenue milestones by delivering shares of our common stock. See Note 7</w:t>
        </w:r>
        <w:r>
          <w:rPr>
            <w:rFonts w:ascii="Arial" w:cs="Arial" w:eastAsia="Arial" w:hAnsi="Arial"/>
            <w:sz w:val="14"/>
            <w:szCs w:val="14"/>
            <w:color w:val="0000EE"/>
          </w:rPr>
          <w:t>.</w:t>
        </w:r>
        <w:r>
          <w:rPr>
            <w:rFonts w:ascii="Arial" w:cs="Arial" w:eastAsia="Arial" w:hAnsi="Arial"/>
            <w:sz w:val="12"/>
            <w:szCs w:val="12"/>
            <w:color w:val="auto"/>
          </w:rPr>
          <w:t xml:space="preserve"> </w:t>
        </w:r>
        <w:r>
          <w:rPr>
            <w:rFonts w:ascii="Arial" w:cs="Arial" w:eastAsia="Arial" w:hAnsi="Arial"/>
            <w:sz w:val="12"/>
            <w:szCs w:val="12"/>
            <w:color w:val="0000EE"/>
          </w:rPr>
          <w:t>Hunt is a leading</w:t>
        </w:r>
      </w:hyperlink>
      <w:r>
        <w:rPr>
          <w:rFonts w:ascii="Arial" w:cs="Arial" w:eastAsia="Arial" w:hAnsi="Arial"/>
          <w:sz w:val="12"/>
          <w:szCs w:val="12"/>
          <w:color w:val="auto"/>
        </w:rPr>
        <w:t xml:space="preserve"> </w:t>
      </w:r>
      <w:hyperlink w:anchor="page101">
        <w:r>
          <w:rPr>
            <w:rFonts w:ascii="Arial" w:cs="Arial" w:eastAsia="Arial" w:hAnsi="Arial"/>
            <w:sz w:val="12"/>
            <w:szCs w:val="12"/>
            <w:u w:val="single" w:color="auto"/>
            <w:color w:val="0000EE"/>
          </w:rPr>
          <w:t>provider of data transport to K-12 schools and government agencies with a dense fiber network in Louisiana. The acquisition was recorded by allocating the costs of the assets acquired based on their estimated fair values at the</w:t>
        </w:r>
      </w:hyperlink>
      <w:r>
        <w:rPr>
          <w:rFonts w:ascii="Arial" w:cs="Arial" w:eastAsia="Arial" w:hAnsi="Arial"/>
          <w:sz w:val="12"/>
          <w:szCs w:val="12"/>
          <w:u w:val="single" w:color="auto"/>
          <w:color w:val="0000EE"/>
        </w:rPr>
        <w:t xml:space="preserve"> </w:t>
      </w:r>
      <w:hyperlink w:anchor="page101">
        <w:r>
          <w:rPr>
            <w:rFonts w:ascii="Arial" w:cs="Arial" w:eastAsia="Arial" w:hAnsi="Arial"/>
            <w:sz w:val="12"/>
            <w:szCs w:val="12"/>
            <w:u w:val="single" w:color="auto"/>
            <w:color w:val="0000EE"/>
          </w:rPr>
          <w:t xml:space="preserve">acquisition date. The excess of the cost of the acquisition over the fair value of the assets acquired is recorded as goodwill within our Fiber Infrastructure segment. See </w:t>
        </w:r>
        <w:r>
          <w:rPr>
            <w:rFonts w:ascii="Arial" w:cs="Arial" w:eastAsia="Arial" w:hAnsi="Arial"/>
            <w:sz w:val="12"/>
            <w:szCs w:val="12"/>
            <w:u w:val="single" w:color="auto"/>
            <w:color w:val="000000"/>
          </w:rPr>
          <w:t>Note 14</w:t>
        </w:r>
        <w:r>
          <w:rPr>
            <w:rFonts w:ascii="Arial" w:cs="Arial" w:eastAsia="Arial" w:hAnsi="Arial"/>
            <w:sz w:val="12"/>
            <w:szCs w:val="12"/>
            <w:u w:val="single" w:color="auto"/>
            <w:color w:val="0000EE"/>
          </w:rPr>
          <w:t>. The following is a summary of the estimated fair values</w:t>
        </w:r>
      </w:hyperlink>
      <w:r>
        <w:rPr>
          <w:rFonts w:ascii="Arial" w:cs="Arial" w:eastAsia="Arial" w:hAnsi="Arial"/>
          <w:sz w:val="12"/>
          <w:szCs w:val="12"/>
          <w:u w:val="single" w:color="auto"/>
          <w:color w:val="0000EE"/>
        </w:rPr>
        <w:t xml:space="preserve"> </w:t>
      </w:r>
      <w:hyperlink w:anchor="page101">
        <w:r>
          <w:rPr>
            <w:rFonts w:ascii="Arial" w:cs="Arial" w:eastAsia="Arial" w:hAnsi="Arial"/>
            <w:sz w:val="12"/>
            <w:szCs w:val="12"/>
            <w:u w:val="single" w:color="auto"/>
            <w:color w:val="0000EE"/>
          </w:rPr>
          <w:t>of the assets acquired and liabilities assumed as of the acquisition date:</w:t>
        </w:r>
      </w:hyperlink>
    </w:p>
    <w:p>
      <w:pPr>
        <w:spacing w:after="0" w:line="20" w:lineRule="exact"/>
        <w:rPr>
          <w:rFonts w:ascii="Arial" w:cs="Arial" w:eastAsia="Arial" w:hAnsi="Arial"/>
          <w:sz w:val="12"/>
          <w:szCs w:val="12"/>
          <w:u w:val="single" w:color="auto"/>
          <w:color w:val="0000EE"/>
        </w:rPr>
      </w:pPr>
      <w:r>
        <w:rPr>
          <w:rFonts w:ascii="Arial" w:cs="Arial" w:eastAsia="Arial" w:hAnsi="Arial"/>
          <w:sz w:val="12"/>
          <w:szCs w:val="12"/>
          <w:u w:val="single" w:color="auto"/>
          <w:color w:val="0000EE"/>
        </w:rPr>
        <w:drawing>
          <wp:anchor simplePos="0" relativeHeight="251657728" behindDoc="1" locked="0" layoutInCell="0" allowOverlap="1">
            <wp:simplePos x="0" y="0"/>
            <wp:positionH relativeFrom="column">
              <wp:posOffset>6383020</wp:posOffset>
            </wp:positionH>
            <wp:positionV relativeFrom="paragraph">
              <wp:posOffset>-295910</wp:posOffset>
            </wp:positionV>
            <wp:extent cx="78422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84225" cy="5715"/>
                    </a:xfrm>
                    <a:prstGeom prst="rect">
                      <a:avLst/>
                    </a:prstGeom>
                    <a:noFill/>
                  </pic:spPr>
                </pic:pic>
              </a:graphicData>
            </a:graphic>
          </wp:anchor>
        </w:drawing>
      </w:r>
    </w:p>
    <w:p>
      <w:pPr>
        <w:spacing w:after="0" w:line="154" w:lineRule="exact"/>
        <w:rPr>
          <w:rFonts w:ascii="Arial" w:cs="Arial" w:eastAsia="Arial" w:hAnsi="Arial"/>
          <w:sz w:val="12"/>
          <w:szCs w:val="12"/>
          <w:u w:val="single" w:color="auto"/>
          <w:color w:val="0000EE"/>
        </w:rPr>
      </w:pPr>
    </w:p>
    <w:tbl>
      <w:tblPr>
        <w:tblLayout w:type="fixed"/>
        <w:tblInd w:w="0" w:type="dxa"/>
        <w:tblCellMar>
          <w:top w:w="0" w:type="dxa"/>
          <w:left w:w="0" w:type="dxa"/>
          <w:bottom w:w="0" w:type="dxa"/>
          <w:right w:w="0" w:type="dxa"/>
        </w:tblCellMar>
      </w:tblPr>
      <w:tr>
        <w:trPr>
          <w:trHeight w:val="115"/>
        </w:trPr>
        <w:tc>
          <w:tcPr>
            <w:tcW w:w="860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jc w:val="right"/>
              <w:ind w:right="881"/>
              <w:spacing w:after="0"/>
              <w:rPr>
                <w:sz w:val="20"/>
                <w:szCs w:val="20"/>
                <w:color w:val="auto"/>
              </w:rPr>
            </w:pPr>
            <w:r>
              <w:rPr>
                <w:rFonts w:ascii="Arial" w:cs="Arial" w:eastAsia="Arial" w:hAnsi="Arial"/>
                <w:sz w:val="10"/>
                <w:szCs w:val="10"/>
                <w:b w:val="1"/>
                <w:bCs w:val="1"/>
                <w:color w:val="auto"/>
              </w:rPr>
              <w:t>(thousands)</w:t>
            </w:r>
          </w:p>
        </w:tc>
        <w:tc>
          <w:tcPr>
            <w:tcW w:w="120" w:type="dxa"/>
            <w:vAlign w:val="bottom"/>
            <w:tcBorders>
              <w:bottom w:val="single" w:sz="8" w:color="CFF0FC"/>
            </w:tcBorders>
          </w:tcPr>
          <w:p>
            <w:pPr>
              <w:spacing w:after="0"/>
              <w:rPr>
                <w:sz w:val="10"/>
                <w:szCs w:val="10"/>
                <w:color w:val="auto"/>
              </w:rPr>
            </w:pPr>
          </w:p>
        </w:tc>
      </w:tr>
      <w:tr>
        <w:trPr>
          <w:trHeight w:val="160"/>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59,682</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3,181</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receivable</w:t>
            </w:r>
          </w:p>
        </w:tc>
        <w:tc>
          <w:tcPr>
            <w:tcW w:w="5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4,906</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413</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5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99,580</w:t>
            </w:r>
          </w:p>
        </w:tc>
        <w:tc>
          <w:tcPr>
            <w:tcW w:w="120" w:type="dxa"/>
            <w:vAlign w:val="bottom"/>
            <w:shd w:val="clear" w:color="auto" w:fill="CFF0FC"/>
          </w:tcPr>
          <w:p>
            <w:pPr>
              <w:spacing w:after="0"/>
              <w:rPr>
                <w:sz w:val="13"/>
                <w:szCs w:val="13"/>
                <w:color w:val="auto"/>
              </w:rPr>
            </w:pP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73,000</w:t>
            </w:r>
          </w:p>
        </w:tc>
        <w:tc>
          <w:tcPr>
            <w:tcW w:w="120" w:type="dxa"/>
            <w:vAlign w:val="bottom"/>
          </w:tcPr>
          <w:p>
            <w:pPr>
              <w:spacing w:after="0"/>
              <w:rPr>
                <w:sz w:val="13"/>
                <w:szCs w:val="13"/>
                <w:color w:val="auto"/>
              </w:rPr>
            </w:pP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(3,741)</w:t>
            </w: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Deferred revenue</w:t>
            </w:r>
          </w:p>
        </w:tc>
        <w:tc>
          <w:tcPr>
            <w:tcW w:w="5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(6,036)</w:t>
            </w:r>
          </w:p>
        </w:tc>
      </w:tr>
      <w:tr>
        <w:trPr>
          <w:trHeight w:val="153"/>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(43,550)</w:t>
            </w:r>
          </w:p>
        </w:tc>
      </w:tr>
      <w:tr>
        <w:trPr>
          <w:trHeight w:val="153"/>
        </w:trPr>
        <w:tc>
          <w:tcPr>
            <w:tcW w:w="8820" w:type="dxa"/>
            <w:vAlign w:val="bottom"/>
            <w:gridSpan w:val="2"/>
          </w:tcPr>
          <w:p>
            <w:pPr>
              <w:spacing w:after="0"/>
              <w:rPr>
                <w:sz w:val="20"/>
                <w:szCs w:val="20"/>
                <w:color w:val="auto"/>
              </w:rPr>
            </w:pPr>
            <w:r>
              <w:rPr>
                <w:rFonts w:ascii="Arial" w:cs="Arial" w:eastAsia="Arial" w:hAnsi="Arial"/>
                <w:sz w:val="12"/>
                <w:szCs w:val="12"/>
                <w:color w:val="auto"/>
              </w:rPr>
              <w:t>Capital lease obligations</w:t>
            </w:r>
          </w:p>
        </w:tc>
        <w:tc>
          <w:tcPr>
            <w:tcW w:w="5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(164)</w:t>
            </w:r>
          </w:p>
        </w:tc>
      </w:tr>
      <w:tr>
        <w:trPr>
          <w:trHeight w:val="149"/>
        </w:trPr>
        <w:tc>
          <w:tcPr>
            <w:tcW w:w="8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187,271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79" w:lineRule="exact"/>
        <w:rPr>
          <w:rFonts w:ascii="Arial" w:cs="Arial" w:eastAsia="Arial" w:hAnsi="Arial"/>
          <w:sz w:val="12"/>
          <w:szCs w:val="12"/>
          <w:u w:val="single" w:color="auto"/>
          <w:color w:val="0000EE"/>
        </w:rPr>
      </w:pPr>
    </w:p>
    <w:p>
      <w:pPr>
        <w:jc w:val="both"/>
        <w:ind w:right="60"/>
        <w:spacing w:after="0" w:line="276" w:lineRule="auto"/>
        <w:rPr>
          <w:sz w:val="20"/>
          <w:szCs w:val="20"/>
          <w:color w:val="auto"/>
        </w:rPr>
      </w:pPr>
      <w:r>
        <w:rPr>
          <w:rFonts w:ascii="Arial" w:cs="Arial" w:eastAsia="Arial" w:hAnsi="Arial"/>
          <w:sz w:val="12"/>
          <w:szCs w:val="12"/>
          <w:color w:val="auto"/>
        </w:rPr>
        <w:t>During the first quarter of 2018, the purchase price allocation was adjusted to record certain deferred revenues and accrued liabilities that existed at the date of acquisition. Deferred revenue and accrued liabilities increased $2.2 million and $1.2 million, respectively.</w:t>
      </w:r>
    </w:p>
    <w:p>
      <w:pPr>
        <w:spacing w:after="0" w:line="115" w:lineRule="exact"/>
        <w:rPr>
          <w:rFonts w:ascii="Arial" w:cs="Arial" w:eastAsia="Arial" w:hAnsi="Arial"/>
          <w:sz w:val="12"/>
          <w:szCs w:val="12"/>
          <w:u w:val="single" w:color="auto"/>
          <w:color w:val="0000EE"/>
        </w:rPr>
      </w:pPr>
    </w:p>
    <w:p>
      <w:pPr>
        <w:spacing w:after="0"/>
        <w:rPr>
          <w:sz w:val="20"/>
          <w:szCs w:val="20"/>
          <w:color w:val="auto"/>
        </w:rPr>
      </w:pPr>
      <w:r>
        <w:rPr>
          <w:rFonts w:ascii="Arial" w:cs="Arial" w:eastAsia="Arial" w:hAnsi="Arial"/>
          <w:sz w:val="12"/>
          <w:szCs w:val="12"/>
          <w:color w:val="auto"/>
        </w:rPr>
        <w:t>During the second quarter of 2018, the purchase price allocation was adjusted to record $3.2 million of deferred tax liabilities that existed at the date of acquisition.</w:t>
      </w:r>
    </w:p>
    <w:p>
      <w:pPr>
        <w:spacing w:after="0" w:line="150" w:lineRule="exact"/>
        <w:rPr>
          <w:rFonts w:ascii="Arial" w:cs="Arial" w:eastAsia="Arial" w:hAnsi="Arial"/>
          <w:sz w:val="12"/>
          <w:szCs w:val="12"/>
          <w:u w:val="single" w:color="auto"/>
          <w:color w:val="0000EE"/>
        </w:rPr>
      </w:pPr>
    </w:p>
    <w:p>
      <w:pPr>
        <w:ind w:right="160"/>
        <w:spacing w:after="0" w:line="276" w:lineRule="auto"/>
        <w:rPr>
          <w:sz w:val="20"/>
          <w:szCs w:val="20"/>
          <w:color w:val="auto"/>
        </w:rPr>
      </w:pPr>
      <w:r>
        <w:rPr>
          <w:rFonts w:ascii="Arial" w:cs="Arial" w:eastAsia="Arial" w:hAnsi="Arial"/>
          <w:sz w:val="12"/>
          <w:szCs w:val="12"/>
          <w:color w:val="auto"/>
        </w:rPr>
        <w:t>The goodwill arising from the transaction is primarily attributable to the expansion of our fiber network through the complementary nature of Hunt’s fiber network to our existing fiber network, including anticipated incremental sales and cost savings. The goodwill is not expected to be deductible for tax purposes.</w:t>
      </w:r>
    </w:p>
    <w:p>
      <w:pPr>
        <w:spacing w:after="0" w:line="115" w:lineRule="exact"/>
        <w:rPr>
          <w:rFonts w:ascii="Arial" w:cs="Arial" w:eastAsia="Arial" w:hAnsi="Arial"/>
          <w:sz w:val="12"/>
          <w:szCs w:val="12"/>
          <w:u w:val="single" w:color="auto"/>
          <w:color w:val="0000EE"/>
        </w:rPr>
      </w:pPr>
    </w:p>
    <w:p>
      <w:pPr>
        <w:ind w:right="80"/>
        <w:spacing w:after="0" w:line="263" w:lineRule="auto"/>
        <w:rPr>
          <w:sz w:val="20"/>
          <w:szCs w:val="20"/>
          <w:color w:val="auto"/>
        </w:rPr>
      </w:pPr>
      <w:r>
        <w:rPr>
          <w:rFonts w:ascii="Arial" w:cs="Arial" w:eastAsia="Arial" w:hAnsi="Arial"/>
          <w:sz w:val="12"/>
          <w:szCs w:val="12"/>
          <w:color w:val="auto"/>
        </w:rPr>
        <w:t>We acquired an intangible asset that was assigned to customer relationships of $73 million (18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22" w:lineRule="exact"/>
        <w:rPr>
          <w:rFonts w:ascii="Arial" w:cs="Arial" w:eastAsia="Arial" w:hAnsi="Arial"/>
          <w:sz w:val="12"/>
          <w:szCs w:val="12"/>
          <w:u w:val="single" w:color="auto"/>
          <w:color w:val="0000EE"/>
        </w:rPr>
      </w:pPr>
    </w:p>
    <w:p>
      <w:pPr>
        <w:spacing w:after="0"/>
        <w:rPr>
          <w:sz w:val="20"/>
          <w:szCs w:val="20"/>
          <w:color w:val="auto"/>
        </w:rPr>
      </w:pPr>
      <w:r>
        <w:rPr>
          <w:rFonts w:ascii="Arial" w:cs="Arial" w:eastAsia="Arial" w:hAnsi="Arial"/>
          <w:sz w:val="10"/>
          <w:szCs w:val="10"/>
          <w:color w:val="auto"/>
        </w:rPr>
        <w:t>The acquired business contributed revenue of $16.5 million and an operating income of $2.7 million, which excludes transaction and transition costs, to our consolidated results from the date of acquisition through December 31, 2017.</w:t>
      </w:r>
    </w:p>
    <w:p>
      <w:pPr>
        <w:spacing w:after="0" w:line="38" w:lineRule="exact"/>
        <w:rPr>
          <w:rFonts w:ascii="Arial" w:cs="Arial" w:eastAsia="Arial" w:hAnsi="Arial"/>
          <w:sz w:val="12"/>
          <w:szCs w:val="12"/>
          <w:u w:val="single" w:color="auto"/>
          <w:color w:val="0000EE"/>
        </w:rPr>
      </w:pPr>
    </w:p>
    <w:p>
      <w:pPr>
        <w:spacing w:after="0"/>
        <w:rPr>
          <w:sz w:val="20"/>
          <w:szCs w:val="20"/>
          <w:color w:val="auto"/>
        </w:rPr>
      </w:pPr>
      <w:r>
        <w:rPr>
          <w:rFonts w:ascii="Arial" w:cs="Arial" w:eastAsia="Arial" w:hAnsi="Arial"/>
          <w:sz w:val="12"/>
          <w:szCs w:val="12"/>
          <w:color w:val="auto"/>
        </w:rPr>
        <w:t>We recorded transaction related costs related to the acquisition of Hunt for the year ended December 31, 2017 of $5.9 million within transaction related and other costs on the Consolidated Statement of Income.</w:t>
      </w:r>
    </w:p>
    <w:p>
      <w:pPr>
        <w:spacing w:after="0" w:line="141" w:lineRule="exact"/>
        <w:rPr>
          <w:rFonts w:ascii="Arial" w:cs="Arial" w:eastAsia="Arial" w:hAnsi="Arial"/>
          <w:sz w:val="12"/>
          <w:szCs w:val="12"/>
          <w:u w:val="single" w:color="auto"/>
          <w:color w:val="0000EE"/>
        </w:rPr>
      </w:pPr>
    </w:p>
    <w:p>
      <w:pPr>
        <w:spacing w:after="0" w:line="263" w:lineRule="auto"/>
        <w:rPr>
          <w:sz w:val="20"/>
          <w:szCs w:val="20"/>
          <w:color w:val="auto"/>
        </w:rPr>
      </w:pPr>
      <w:r>
        <w:rPr>
          <w:rFonts w:ascii="Arial" w:cs="Arial" w:eastAsia="Arial" w:hAnsi="Arial"/>
          <w:sz w:val="12"/>
          <w:szCs w:val="12"/>
          <w:color w:val="auto"/>
        </w:rPr>
        <w:t>The following table presents the unaudited pro forma summary of our financial results as if the Southern Light and Hunt business combinations had occurred on January 1, 2016. The pro forma results include additional depreciation and amortization resulting from purchase accounting adjustments,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on January 1, 2016.</w:t>
      </w:r>
    </w:p>
    <w:p>
      <w:pPr>
        <w:spacing w:after="0" w:line="122" w:lineRule="exact"/>
        <w:rPr>
          <w:rFonts w:ascii="Arial" w:cs="Arial" w:eastAsia="Arial" w:hAnsi="Arial"/>
          <w:sz w:val="12"/>
          <w:szCs w:val="12"/>
          <w:u w:val="single" w:color="auto"/>
          <w:color w:val="0000EE"/>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rFonts w:ascii="Arial" w:cs="Arial" w:eastAsia="Arial" w:hAnsi="Arial"/>
          <w:sz w:val="12"/>
          <w:szCs w:val="12"/>
          <w:u w:val="single" w:color="auto"/>
          <w:color w:val="0000EE"/>
        </w:rPr>
      </w:pPr>
      <w:r>
        <w:rPr>
          <w:rFonts w:ascii="Arial" w:cs="Arial" w:eastAsia="Arial" w:hAnsi="Arial"/>
          <w:sz w:val="12"/>
          <w:szCs w:val="12"/>
          <w:u w:val="single" w:color="auto"/>
          <w:color w:val="0000EE"/>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jc w:val="center"/>
              <w:ind w:left="532"/>
              <w:spacing w:after="0"/>
              <w:rPr>
                <w:sz w:val="20"/>
                <w:szCs w:val="20"/>
                <w:color w:val="auto"/>
              </w:rPr>
            </w:pPr>
            <w:r>
              <w:rPr>
                <w:rFonts w:ascii="Arial" w:cs="Arial" w:eastAsia="Arial" w:hAnsi="Arial"/>
                <w:sz w:val="10"/>
                <w:szCs w:val="10"/>
                <w:b w:val="1"/>
                <w:bCs w:val="1"/>
                <w:color w:val="auto"/>
                <w:w w:val="87"/>
              </w:rPr>
              <w:t>Year Ended</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gridSpan w:val="2"/>
          </w:tcPr>
          <w:p>
            <w:pPr>
              <w:jc w:val="right"/>
              <w:ind w:right="1020"/>
              <w:spacing w:after="0"/>
              <w:rPr>
                <w:sz w:val="20"/>
                <w:szCs w:val="20"/>
                <w:color w:val="auto"/>
              </w:rPr>
            </w:pPr>
            <w:r>
              <w:rPr>
                <w:rFonts w:ascii="Arial" w:cs="Arial" w:eastAsia="Arial" w:hAnsi="Arial"/>
                <w:sz w:val="10"/>
                <w:szCs w:val="10"/>
                <w:b w:val="1"/>
                <w:bCs w:val="1"/>
                <w:color w:val="auto"/>
              </w:rPr>
              <w:t>Year Ended</w:t>
            </w:r>
          </w:p>
        </w:tc>
      </w:tr>
      <w:tr>
        <w:trPr>
          <w:trHeight w:val="152"/>
        </w:trPr>
        <w:tc>
          <w:tcPr>
            <w:tcW w:w="6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1700" w:type="dxa"/>
            <w:vAlign w:val="bottom"/>
            <w:tcBorders>
              <w:bottom w:val="single" w:sz="8" w:color="auto"/>
            </w:tcBorders>
          </w:tcPr>
          <w:p>
            <w:pPr>
              <w:jc w:val="center"/>
              <w:ind w:left="512"/>
              <w:spacing w:after="0"/>
              <w:rPr>
                <w:sz w:val="20"/>
                <w:szCs w:val="20"/>
                <w:color w:val="auto"/>
              </w:rPr>
            </w:pPr>
            <w:r>
              <w:rPr>
                <w:rFonts w:ascii="Arial" w:cs="Arial" w:eastAsia="Arial" w:hAnsi="Arial"/>
                <w:sz w:val="10"/>
                <w:szCs w:val="10"/>
                <w:b w:val="1"/>
                <w:bCs w:val="1"/>
                <w:color w:val="auto"/>
                <w:w w:val="86"/>
              </w:rPr>
              <w:t>December 31, 2017</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706"/>
              <w:spacing w:after="0"/>
              <w:rPr>
                <w:sz w:val="20"/>
                <w:szCs w:val="20"/>
                <w:color w:val="auto"/>
              </w:rPr>
            </w:pPr>
            <w:r>
              <w:rPr>
                <w:rFonts w:ascii="Arial" w:cs="Arial" w:eastAsia="Arial" w:hAnsi="Arial"/>
                <w:sz w:val="10"/>
                <w:szCs w:val="10"/>
                <w:b w:val="1"/>
                <w:bCs w:val="1"/>
                <w:color w:val="auto"/>
              </w:rPr>
              <w:t>December 31, 2016</w:t>
            </w:r>
          </w:p>
        </w:tc>
        <w:tc>
          <w:tcPr>
            <w:tcW w:w="120" w:type="dxa"/>
            <w:vAlign w:val="bottom"/>
            <w:tcBorders>
              <w:bottom w:val="single" w:sz="8" w:color="CFF0FC"/>
            </w:tcBorders>
          </w:tcPr>
          <w:p>
            <w:pPr>
              <w:spacing w:after="0"/>
              <w:rPr>
                <w:sz w:val="13"/>
                <w:szCs w:val="13"/>
                <w:color w:val="auto"/>
              </w:rPr>
            </w:pPr>
          </w:p>
        </w:tc>
      </w:tr>
      <w:tr>
        <w:trPr>
          <w:trHeight w:val="142"/>
        </w:trPr>
        <w:tc>
          <w:tcPr>
            <w:tcW w:w="63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 forma revenue</w:t>
            </w:r>
          </w:p>
        </w:tc>
        <w:tc>
          <w:tcPr>
            <w:tcW w:w="1700" w:type="dxa"/>
            <w:vAlign w:val="bottom"/>
            <w:shd w:val="clear" w:color="auto" w:fill="CFF0FC"/>
          </w:tcPr>
          <w:p>
            <w:pPr>
              <w:jc w:val="right"/>
              <w:ind w:right="159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980,303</w:t>
            </w: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891,373</w:t>
            </w:r>
          </w:p>
        </w:tc>
        <w:tc>
          <w:tcPr>
            <w:tcW w:w="120" w:type="dxa"/>
            <w:vAlign w:val="bottom"/>
            <w:shd w:val="clear" w:color="auto" w:fill="CFF0FC"/>
          </w:tcPr>
          <w:p>
            <w:pPr>
              <w:spacing w:after="0"/>
              <w:rPr>
                <w:sz w:val="12"/>
                <w:szCs w:val="12"/>
                <w:color w:val="auto"/>
              </w:rPr>
            </w:pPr>
          </w:p>
        </w:tc>
      </w:tr>
      <w:tr>
        <w:trPr>
          <w:trHeight w:val="153"/>
        </w:trPr>
        <w:tc>
          <w:tcPr>
            <w:tcW w:w="6360" w:type="dxa"/>
            <w:vAlign w:val="bottom"/>
            <w:gridSpan w:val="2"/>
          </w:tcPr>
          <w:p>
            <w:pPr>
              <w:spacing w:after="0"/>
              <w:rPr>
                <w:sz w:val="20"/>
                <w:szCs w:val="20"/>
                <w:color w:val="auto"/>
              </w:rPr>
            </w:pPr>
            <w:r>
              <w:rPr>
                <w:rFonts w:ascii="Arial" w:cs="Arial" w:eastAsia="Arial" w:hAnsi="Arial"/>
                <w:sz w:val="12"/>
                <w:szCs w:val="12"/>
                <w:color w:val="auto"/>
              </w:rPr>
              <w:t>Pro forma net income (loss)</w:t>
            </w:r>
          </w:p>
        </w:tc>
        <w:tc>
          <w:tcPr>
            <w:tcW w:w="17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4,267</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2"/>
                <w:szCs w:val="12"/>
                <w:color w:val="auto"/>
              </w:rPr>
              <w:t>(2,482)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Network Management Holdings LTD</w:t>
      </w:r>
    </w:p>
    <w:p>
      <w:pPr>
        <w:spacing w:after="0" w:line="150" w:lineRule="exact"/>
        <w:rPr>
          <w:sz w:val="20"/>
          <w:szCs w:val="20"/>
          <w:color w:val="auto"/>
        </w:rPr>
      </w:pPr>
    </w:p>
    <w:p>
      <w:pPr>
        <w:ind w:right="40"/>
        <w:spacing w:after="0" w:line="280" w:lineRule="auto"/>
        <w:rPr>
          <w:rFonts w:ascii="Arial" w:cs="Arial" w:eastAsia="Arial" w:hAnsi="Arial"/>
          <w:sz w:val="11"/>
          <w:szCs w:val="11"/>
          <w:color w:val="auto"/>
        </w:rPr>
      </w:pPr>
      <w:r>
        <w:rPr>
          <w:rFonts w:ascii="Arial" w:cs="Arial" w:eastAsia="Arial" w:hAnsi="Arial"/>
          <w:sz w:val="11"/>
          <w:szCs w:val="11"/>
          <w:color w:val="auto"/>
        </w:rPr>
        <w:t xml:space="preserve">On January 31, 2017, we completed the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in operation as of the transaction close date was $62.6 million, which was funded through cash on hand, and is presented in NMS asset acquisition on the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and Equipment and Intangibles over their respective historical tax bases. Under the terms of the purchase agreement, we will acquire the towers under development when construction is completed. The NMS towers are reflected in our Towers segment. See </w:t>
      </w:r>
      <w:hyperlink w:anchor="page115">
        <w:r>
          <w:rPr>
            <w:rFonts w:ascii="Arial" w:cs="Arial" w:eastAsia="Arial" w:hAnsi="Arial"/>
            <w:sz w:val="11"/>
            <w:szCs w:val="11"/>
            <w:color w:val="auto"/>
          </w:rPr>
          <w:t xml:space="preserve">Note 14. </w:t>
        </w:r>
      </w:hyperlink>
      <w:r>
        <w:rPr>
          <w:rFonts w:ascii="Arial" w:cs="Arial" w:eastAsia="Arial" w:hAnsi="Arial"/>
          <w:sz w:val="11"/>
          <w:szCs w:val="11"/>
          <w:color w:val="auto"/>
        </w:rPr>
        <w:t>The following is a summary of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-29210</wp:posOffset>
            </wp:positionV>
            <wp:extent cx="24320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43205" cy="571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6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b w:val="1"/>
                <w:bCs w:val="1"/>
                <w:color w:val="auto"/>
              </w:rPr>
              <w:t>(thousands)</w:t>
            </w:r>
          </w:p>
        </w:tc>
        <w:tc>
          <w:tcPr>
            <w:tcW w:w="100" w:type="dxa"/>
            <w:vAlign w:val="bottom"/>
            <w:tcBorders>
              <w:bottom w:val="single" w:sz="8" w:color="CFF0FC"/>
            </w:tcBorders>
          </w:tcPr>
          <w:p>
            <w:pPr>
              <w:spacing w:after="0"/>
              <w:rPr>
                <w:sz w:val="10"/>
                <w:szCs w:val="10"/>
                <w:color w:val="auto"/>
              </w:rPr>
            </w:pPr>
          </w:p>
        </w:tc>
      </w:tr>
      <w:tr>
        <w:trPr>
          <w:trHeight w:val="160"/>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Property, plant and equipment</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36,417</w:t>
            </w:r>
          </w:p>
        </w:tc>
        <w:tc>
          <w:tcPr>
            <w:tcW w:w="100" w:type="dxa"/>
            <w:vAlign w:val="bottom"/>
            <w:shd w:val="clear" w:color="auto" w:fill="CFF0FC"/>
          </w:tcPr>
          <w:p>
            <w:pPr>
              <w:spacing w:after="0"/>
              <w:rPr>
                <w:sz w:val="13"/>
                <w:szCs w:val="13"/>
                <w:color w:val="auto"/>
              </w:rPr>
            </w:pP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Accounts receivable</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2,826</w:t>
            </w:r>
          </w:p>
        </w:tc>
        <w:tc>
          <w:tcPr>
            <w:tcW w:w="100" w:type="dxa"/>
            <w:vAlign w:val="bottom"/>
          </w:tcPr>
          <w:p>
            <w:pPr>
              <w:spacing w:after="0"/>
              <w:rPr>
                <w:sz w:val="13"/>
                <w:szCs w:val="13"/>
                <w:color w:val="auto"/>
              </w:rPr>
            </w:pPr>
          </w:p>
        </w:tc>
      </w:tr>
      <w:tr>
        <w:trPr>
          <w:trHeight w:val="153"/>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50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1,623</w:t>
            </w:r>
          </w:p>
        </w:tc>
        <w:tc>
          <w:tcPr>
            <w:tcW w:w="100" w:type="dxa"/>
            <w:vAlign w:val="bottom"/>
            <w:shd w:val="clear" w:color="auto" w:fill="CFF0FC"/>
          </w:tcPr>
          <w:p>
            <w:pPr>
              <w:spacing w:after="0"/>
              <w:rPr>
                <w:sz w:val="13"/>
                <w:szCs w:val="13"/>
                <w:color w:val="auto"/>
              </w:rPr>
            </w:pP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52,437</w:t>
            </w:r>
          </w:p>
        </w:tc>
        <w:tc>
          <w:tcPr>
            <w:tcW w:w="100" w:type="dxa"/>
            <w:vAlign w:val="bottom"/>
          </w:tcPr>
          <w:p>
            <w:pPr>
              <w:spacing w:after="0"/>
              <w:rPr>
                <w:sz w:val="13"/>
                <w:szCs w:val="13"/>
                <w:color w:val="auto"/>
              </w:rPr>
            </w:pPr>
          </w:p>
        </w:tc>
      </w:tr>
      <w:tr>
        <w:trPr>
          <w:trHeight w:val="153"/>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Accounts payable, accrued expenses and other liabilities</w:t>
            </w:r>
          </w:p>
        </w:tc>
        <w:tc>
          <w:tcPr>
            <w:tcW w:w="50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(8,895)</w:t>
            </w: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Intangible liabilities</w:t>
            </w:r>
          </w:p>
        </w:tc>
        <w:tc>
          <w:tcPr>
            <w:tcW w:w="500" w:type="dxa"/>
            <w:vAlign w:val="bottom"/>
          </w:tcPr>
          <w:p>
            <w:pPr>
              <w:spacing w:after="0"/>
              <w:rPr>
                <w:sz w:val="13"/>
                <w:szCs w:val="13"/>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2"/>
                <w:szCs w:val="12"/>
                <w:color w:val="auto"/>
              </w:rPr>
              <w:t>(3,440)</w:t>
            </w:r>
          </w:p>
        </w:tc>
      </w:tr>
      <w:tr>
        <w:trPr>
          <w:trHeight w:val="153"/>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income taxes</w:t>
            </w:r>
          </w:p>
        </w:tc>
        <w:tc>
          <w:tcPr>
            <w:tcW w:w="50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(18,403)</w:t>
            </w:r>
          </w:p>
        </w:tc>
      </w:tr>
      <w:tr>
        <w:trPr>
          <w:trHeight w:val="149"/>
        </w:trPr>
        <w:tc>
          <w:tcPr>
            <w:tcW w:w="8800" w:type="dxa"/>
            <w:vAlign w:val="bottom"/>
            <w:gridSpan w:val="2"/>
          </w:tcPr>
          <w:p>
            <w:pPr>
              <w:spacing w:after="0"/>
              <w:rPr>
                <w:sz w:val="20"/>
                <w:szCs w:val="20"/>
                <w:color w:val="auto"/>
              </w:rPr>
            </w:pPr>
            <w:r>
              <w:rPr>
                <w:rFonts w:ascii="Arial" w:cs="Arial" w:eastAsia="Arial" w:hAnsi="Arial"/>
                <w:sz w:val="12"/>
                <w:szCs w:val="12"/>
                <w:color w:val="auto"/>
              </w:rPr>
              <w:t>Total purchase consideration</w:t>
            </w: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62,565</w:t>
            </w:r>
          </w:p>
        </w:tc>
        <w:tc>
          <w:tcPr>
            <w:tcW w:w="100" w:type="dxa"/>
            <w:vAlign w:val="bottom"/>
          </w:tcPr>
          <w:p>
            <w:pPr>
              <w:spacing w:after="0"/>
              <w:rPr>
                <w:sz w:val="12"/>
                <w:szCs w:val="12"/>
                <w:color w:val="auto"/>
              </w:rPr>
            </w:pPr>
          </w:p>
        </w:tc>
      </w:tr>
    </w:tbl>
    <w:p>
      <w:pPr>
        <w:spacing w:after="0" w:line="207" w:lineRule="exact"/>
        <w:rPr>
          <w:sz w:val="20"/>
          <w:szCs w:val="20"/>
          <w:color w:val="auto"/>
        </w:rPr>
      </w:pPr>
    </w:p>
    <w:p>
      <w:pPr>
        <w:ind w:right="200"/>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See </w:t>
      </w:r>
      <w:hyperlink w:anchor="page106">
        <w:r>
          <w:rPr>
            <w:rFonts w:ascii="Arial" w:cs="Arial" w:eastAsia="Arial" w:hAnsi="Arial"/>
            <w:sz w:val="12"/>
            <w:szCs w:val="12"/>
            <w:color w:val="auto"/>
          </w:rPr>
          <w:t xml:space="preserve">Note </w:t>
        </w:r>
      </w:hyperlink>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-29210</wp:posOffset>
            </wp:positionV>
            <wp:extent cx="2051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05105" cy="571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As discussed above, the Company completed the sale of the Uniti Towers’ Latin America business on April 2, 2019.</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Fair Value of Financial Instruments</w:t>
      </w:r>
    </w:p>
    <w:p>
      <w:pPr>
        <w:spacing w:after="0" w:line="154" w:lineRule="exact"/>
        <w:rPr>
          <w:sz w:val="20"/>
          <w:szCs w:val="20"/>
          <w:color w:val="auto"/>
        </w:rPr>
      </w:pPr>
    </w:p>
    <w:p>
      <w:pPr>
        <w:ind w:right="420"/>
        <w:spacing w:after="0" w:line="323" w:lineRule="auto"/>
        <w:rPr>
          <w:sz w:val="20"/>
          <w:szCs w:val="20"/>
          <w:color w:val="auto"/>
        </w:rPr>
      </w:pPr>
      <w:r>
        <w:rPr>
          <w:rFonts w:ascii="Arial" w:cs="Arial" w:eastAsia="Arial" w:hAnsi="Arial"/>
          <w:sz w:val="11"/>
          <w:szCs w:val="11"/>
          <w:color w:val="auto"/>
        </w:rPr>
        <w:t xml:space="preserve">FASB ASC 820, </w:t>
      </w:r>
      <w:r>
        <w:rPr>
          <w:rFonts w:ascii="Arial" w:cs="Arial" w:eastAsia="Arial" w:hAnsi="Arial"/>
          <w:sz w:val="11"/>
          <w:szCs w:val="11"/>
          <w:i w:val="1"/>
          <w:iCs w:val="1"/>
          <w:color w:val="auto"/>
        </w:rPr>
        <w:t>Fair Value Measurements</w:t>
      </w:r>
      <w:r>
        <w:rPr>
          <w:rFonts w:ascii="Arial" w:cs="Arial" w:eastAsia="Arial" w:hAnsi="Arial"/>
          <w:sz w:val="11"/>
          <w:szCs w:val="11"/>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1 </w:t>
      </w:r>
      <w:r>
        <w:rPr>
          <w:rFonts w:ascii="Arial" w:cs="Arial" w:eastAsia="Arial" w:hAnsi="Arial"/>
          <w:sz w:val="12"/>
          <w:szCs w:val="12"/>
          <w:color w:val="auto"/>
        </w:rPr>
        <w:t>– Quoted prices (unadjusted) in active markets for identical assets or liabilities that the reporting entity can access at the assessment 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2 </w:t>
      </w:r>
      <w:r>
        <w:rPr>
          <w:rFonts w:ascii="Arial" w:cs="Arial" w:eastAsia="Arial" w:hAnsi="Arial"/>
          <w:sz w:val="12"/>
          <w:szCs w:val="12"/>
          <w:color w:val="auto"/>
        </w:rPr>
        <w:t>– Inputs other than quoted prices included within Level 1 that are observable for the asset or liability, either directly or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Level 3 </w:t>
      </w:r>
      <w:r>
        <w:rPr>
          <w:rFonts w:ascii="Arial" w:cs="Arial" w:eastAsia="Arial" w:hAnsi="Arial"/>
          <w:sz w:val="12"/>
          <w:szCs w:val="12"/>
          <w:color w:val="auto"/>
        </w:rPr>
        <w:t>– Unobservable inputs for the asset or liability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Our financial instruments consist of cash and cash equivalents, accounts and other receivables, derivative instruments, contingent consideration, our outstanding notes and other debt, and accounts, interest and dividends payable.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of our financial instruments at December 31, 2019 and 2018:</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ind w:left="132"/>
              <w:spacing w:after="0"/>
              <w:rPr>
                <w:sz w:val="20"/>
                <w:szCs w:val="20"/>
                <w:color w:val="auto"/>
              </w:rPr>
            </w:pPr>
            <w:r>
              <w:rPr>
                <w:rFonts w:ascii="Arial" w:cs="Arial" w:eastAsia="Arial" w:hAnsi="Arial"/>
                <w:sz w:val="10"/>
                <w:szCs w:val="10"/>
                <w:b w:val="1"/>
                <w:bCs w:val="1"/>
                <w:color w:val="auto"/>
                <w:w w:val="85"/>
              </w:rPr>
              <w:t>Quoted Prices in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Prices with Other</w:t>
            </w:r>
          </w:p>
        </w:tc>
        <w:tc>
          <w:tcPr>
            <w:tcW w:w="80" w:type="dxa"/>
            <w:vAlign w:val="bottom"/>
          </w:tcPr>
          <w:p>
            <w:pPr>
              <w:spacing w:after="0"/>
              <w:rPr>
                <w:sz w:val="10"/>
                <w:szCs w:val="10"/>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3"/>
              </w:rPr>
              <w:t>Prices with</w:t>
            </w:r>
          </w:p>
        </w:tc>
        <w:tc>
          <w:tcPr>
            <w:tcW w:w="0" w:type="dxa"/>
            <w:vAlign w:val="bottom"/>
          </w:tcPr>
          <w:p>
            <w:pPr>
              <w:spacing w:after="0"/>
              <w:rPr>
                <w:sz w:val="1"/>
                <w:szCs w:val="1"/>
                <w:color w:val="auto"/>
              </w:rPr>
            </w:pPr>
          </w:p>
        </w:tc>
      </w:tr>
      <w:tr>
        <w:trPr>
          <w:trHeight w:val="99"/>
        </w:trPr>
        <w:tc>
          <w:tcPr>
            <w:tcW w:w="5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jc w:val="center"/>
              <w:ind w:left="132"/>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80" w:type="dxa"/>
            <w:vAlign w:val="bottom"/>
          </w:tcPr>
          <w:p>
            <w:pPr>
              <w:spacing w:after="0"/>
              <w:rPr>
                <w:sz w:val="8"/>
                <w:szCs w:val="8"/>
                <w:color w:val="auto"/>
              </w:rPr>
            </w:pPr>
          </w:p>
        </w:tc>
        <w:tc>
          <w:tcPr>
            <w:tcW w:w="108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Unobservable Inputs</w:t>
            </w:r>
          </w:p>
        </w:tc>
        <w:tc>
          <w:tcPr>
            <w:tcW w:w="0" w:type="dxa"/>
            <w:vAlign w:val="bottom"/>
          </w:tcPr>
          <w:p>
            <w:pPr>
              <w:spacing w:after="0"/>
              <w:rPr>
                <w:sz w:val="1"/>
                <w:szCs w:val="1"/>
                <w:color w:val="auto"/>
              </w:rPr>
            </w:pPr>
          </w:p>
        </w:tc>
      </w:tr>
      <w:tr>
        <w:trPr>
          <w:trHeight w:val="113"/>
        </w:trPr>
        <w:tc>
          <w:tcPr>
            <w:tcW w:w="5660" w:type="dxa"/>
            <w:vAlign w:val="bottom"/>
            <w:gridSpan w:val="2"/>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2"/>
          </w:tcPr>
          <w:p>
            <w:pPr>
              <w:jc w:val="right"/>
              <w:ind w:right="540"/>
              <w:spacing w:after="0" w:line="114" w:lineRule="exact"/>
              <w:rPr>
                <w:sz w:val="20"/>
                <w:szCs w:val="20"/>
                <w:color w:val="auto"/>
              </w:rPr>
            </w:pPr>
            <w:r>
              <w:rPr>
                <w:rFonts w:ascii="Arial" w:cs="Arial" w:eastAsia="Arial" w:hAnsi="Arial"/>
                <w:sz w:val="10"/>
                <w:szCs w:val="10"/>
                <w:b w:val="1"/>
                <w:bCs w:val="1"/>
                <w:color w:val="auto"/>
              </w:rPr>
              <w:t>Total</w:t>
            </w:r>
          </w:p>
        </w:tc>
        <w:tc>
          <w:tcPr>
            <w:tcW w:w="240" w:type="dxa"/>
            <w:vAlign w:val="bottom"/>
          </w:tcPr>
          <w:p>
            <w:pPr>
              <w:spacing w:after="0"/>
              <w:rPr>
                <w:sz w:val="9"/>
                <w:szCs w:val="9"/>
                <w:color w:val="auto"/>
              </w:rPr>
            </w:pPr>
          </w:p>
        </w:tc>
        <w:tc>
          <w:tcPr>
            <w:tcW w:w="940" w:type="dxa"/>
            <w:vAlign w:val="bottom"/>
          </w:tcPr>
          <w:p>
            <w:pPr>
              <w:jc w:val="center"/>
              <w:ind w:left="132"/>
              <w:spacing w:after="0" w:line="114" w:lineRule="exact"/>
              <w:rPr>
                <w:sz w:val="20"/>
                <w:szCs w:val="20"/>
                <w:color w:val="auto"/>
              </w:rPr>
            </w:pPr>
            <w:r>
              <w:rPr>
                <w:rFonts w:ascii="Arial" w:cs="Arial" w:eastAsia="Arial" w:hAnsi="Arial"/>
                <w:sz w:val="10"/>
                <w:szCs w:val="10"/>
                <w:b w:val="1"/>
                <w:bCs w:val="1"/>
                <w:color w:val="auto"/>
                <w:w w:val="88"/>
              </w:rPr>
              <w:t>(Level 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8"/>
              </w:rPr>
              <w:t>(Level 2)</w:t>
            </w:r>
          </w:p>
        </w:tc>
        <w:tc>
          <w:tcPr>
            <w:tcW w:w="80" w:type="dxa"/>
            <w:vAlign w:val="bottom"/>
          </w:tcPr>
          <w:p>
            <w:pPr>
              <w:spacing w:after="0"/>
              <w:rPr>
                <w:sz w:val="9"/>
                <w:szCs w:val="9"/>
                <w:color w:val="auto"/>
              </w:rPr>
            </w:pPr>
          </w:p>
        </w:tc>
        <w:tc>
          <w:tcPr>
            <w:tcW w:w="108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8"/>
              </w:rPr>
              <w:t>(Level 3)</w:t>
            </w:r>
          </w:p>
        </w:tc>
        <w:tc>
          <w:tcPr>
            <w:tcW w:w="0" w:type="dxa"/>
            <w:vAlign w:val="bottom"/>
          </w:tcPr>
          <w:p>
            <w:pPr>
              <w:spacing w:after="0"/>
              <w:rPr>
                <w:sz w:val="1"/>
                <w:szCs w:val="1"/>
                <w:color w:val="auto"/>
              </w:rPr>
            </w:pPr>
          </w:p>
        </w:tc>
      </w:tr>
      <w:tr>
        <w:trPr>
          <w:trHeight w:val="142"/>
        </w:trPr>
        <w:tc>
          <w:tcPr>
            <w:tcW w:w="56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2"/>
                <w:szCs w:val="12"/>
                <w:color w:val="auto"/>
              </w:rPr>
              <w:t>At December 31, 2019</w:t>
            </w: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left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right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right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60" w:type="dxa"/>
            <w:vAlign w:val="bottom"/>
            <w:gridSpan w:val="2"/>
          </w:tcPr>
          <w:p>
            <w:pPr>
              <w:spacing w:after="0"/>
              <w:rPr>
                <w:sz w:val="20"/>
                <w:szCs w:val="20"/>
                <w:color w:val="auto"/>
              </w:rPr>
            </w:pPr>
            <w:r>
              <w:rPr>
                <w:rFonts w:ascii="Arial" w:cs="Arial" w:eastAsia="Arial" w:hAnsi="Arial"/>
                <w:sz w:val="12"/>
                <w:szCs w:val="12"/>
                <w:color w:val="auto"/>
              </w:rPr>
              <w:t>Liabilities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secured term loan B - variable rate, due October 24, 2022</w:t>
            </w:r>
          </w:p>
        </w:tc>
        <w:tc>
          <w:tcPr>
            <w:tcW w:w="400" w:type="dxa"/>
            <w:vAlign w:val="bottom"/>
            <w:gridSpan w:val="2"/>
            <w:shd w:val="clear" w:color="auto" w:fill="CFF0FC"/>
          </w:tcPr>
          <w:p>
            <w:pPr>
              <w:jc w:val="right"/>
              <w:ind w:right="152"/>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1,998,721</w:t>
            </w:r>
          </w:p>
        </w:tc>
        <w:tc>
          <w:tcPr>
            <w:tcW w:w="1180" w:type="dxa"/>
            <w:vAlign w:val="bottom"/>
            <w:gridSpan w:val="2"/>
            <w:shd w:val="clear" w:color="auto" w:fill="CFF0FC"/>
          </w:tcPr>
          <w:p>
            <w:pPr>
              <w:jc w:val="right"/>
              <w:ind w:right="832"/>
              <w:spacing w:after="0"/>
              <w:rPr>
                <w:sz w:val="20"/>
                <w:szCs w:val="20"/>
                <w:color w:val="auto"/>
              </w:rPr>
            </w:pPr>
            <w:r>
              <w:rPr>
                <w:rFonts w:ascii="Arial" w:cs="Arial" w:eastAsia="Arial" w:hAnsi="Arial"/>
                <w:sz w:val="12"/>
                <w:szCs w:val="12"/>
                <w:color w:val="auto"/>
              </w:rPr>
              <w:t>$</w:t>
            </w:r>
          </w:p>
        </w:tc>
        <w:tc>
          <w:tcPr>
            <w:tcW w:w="420" w:type="dxa"/>
            <w:vAlign w:val="bottom"/>
            <w:gridSpan w:val="3"/>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1,998,721</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tcPr>
          <w:p>
            <w:pPr>
              <w:ind w:left="160"/>
              <w:spacing w:after="0"/>
              <w:rPr>
                <w:sz w:val="20"/>
                <w:szCs w:val="20"/>
                <w:color w:val="auto"/>
              </w:rPr>
            </w:pPr>
            <w:r>
              <w:rPr>
                <w:rFonts w:ascii="Arial" w:cs="Arial" w:eastAsia="Arial" w:hAnsi="Arial"/>
                <w:sz w:val="12"/>
                <w:szCs w:val="12"/>
                <w:color w:val="auto"/>
              </w:rPr>
              <w:t>Senior secured notes - 6.00% , due April 15, 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528,000</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3"/>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528,000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unsecured notes - 8.25%, due October 15, 2023</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971,250</w:t>
            </w:r>
          </w:p>
        </w:tc>
        <w:tc>
          <w:tcPr>
            <w:tcW w:w="2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3"/>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971,250</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tcPr>
          <w:p>
            <w:pPr>
              <w:ind w:left="160"/>
              <w:spacing w:after="0"/>
              <w:rPr>
                <w:sz w:val="20"/>
                <w:szCs w:val="20"/>
                <w:color w:val="auto"/>
              </w:rPr>
            </w:pPr>
            <w:r>
              <w:rPr>
                <w:rFonts w:ascii="Arial" w:cs="Arial" w:eastAsia="Arial" w:hAnsi="Arial"/>
                <w:sz w:val="12"/>
                <w:szCs w:val="12"/>
                <w:color w:val="auto"/>
              </w:rPr>
              <w:t>Senior unsecured notes - 7.125%, due December 15, 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511,500</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3"/>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511,500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Exchangeable senior unsecured notes - 4.00%, due June 15, 2024</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309,638</w:t>
            </w:r>
          </w:p>
        </w:tc>
        <w:tc>
          <w:tcPr>
            <w:tcW w:w="2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3"/>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309,638</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tcPr>
          <w:p>
            <w:pPr>
              <w:ind w:left="160"/>
              <w:spacing w:after="0"/>
              <w:rPr>
                <w:sz w:val="20"/>
                <w:szCs w:val="20"/>
                <w:color w:val="auto"/>
              </w:rPr>
            </w:pPr>
            <w:r>
              <w:rPr>
                <w:rFonts w:ascii="Arial" w:cs="Arial" w:eastAsia="Arial" w:hAnsi="Arial"/>
                <w:sz w:val="12"/>
                <w:szCs w:val="12"/>
                <w:color w:val="auto"/>
              </w:rPr>
              <w:t>Senior secured revolving credit facility, variable rate, due April 24, 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574,961</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3"/>
          </w:tcPr>
          <w:p>
            <w:pPr>
              <w:ind w:lef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574,961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Derivative liability</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23,679</w:t>
            </w:r>
          </w:p>
        </w:tc>
        <w:tc>
          <w:tcPr>
            <w:tcW w:w="2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3"/>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23,679</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Contingent consideration</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11,507</w:t>
            </w: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w w:val="82"/>
              </w:rPr>
              <w:t>—</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11,507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w:t>
            </w:r>
          </w:p>
        </w:tc>
        <w:tc>
          <w:tcPr>
            <w:tcW w:w="400" w:type="dxa"/>
            <w:vAlign w:val="bottom"/>
            <w:gridSpan w:val="2"/>
            <w:shd w:val="clear" w:color="auto" w:fill="CFF0FC"/>
          </w:tcPr>
          <w:p>
            <w:pPr>
              <w:jc w:val="right"/>
              <w:ind w:right="152"/>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4,929,256</w:t>
            </w:r>
          </w:p>
        </w:tc>
        <w:tc>
          <w:tcPr>
            <w:tcW w:w="1180" w:type="dxa"/>
            <w:vAlign w:val="bottom"/>
            <w:gridSpan w:val="2"/>
            <w:shd w:val="clear" w:color="auto" w:fill="CFF0FC"/>
          </w:tcPr>
          <w:p>
            <w:pPr>
              <w:jc w:val="right"/>
              <w:ind w:right="832"/>
              <w:spacing w:after="0"/>
              <w:rPr>
                <w:sz w:val="20"/>
                <w:szCs w:val="20"/>
                <w:color w:val="auto"/>
              </w:rPr>
            </w:pPr>
            <w:r>
              <w:rPr>
                <w:rFonts w:ascii="Arial" w:cs="Arial" w:eastAsia="Arial" w:hAnsi="Arial"/>
                <w:sz w:val="12"/>
                <w:szCs w:val="12"/>
                <w:color w:val="auto"/>
              </w:rPr>
              <w:t>$</w:t>
            </w:r>
          </w:p>
        </w:tc>
        <w:tc>
          <w:tcPr>
            <w:tcW w:w="420" w:type="dxa"/>
            <w:vAlign w:val="bottom"/>
            <w:gridSpan w:val="3"/>
            <w:shd w:val="clear" w:color="auto" w:fill="CFF0FC"/>
          </w:tcPr>
          <w:p>
            <w:pPr>
              <w:ind w:lef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4,917,749</w:t>
            </w:r>
          </w:p>
        </w:tc>
        <w:tc>
          <w:tcPr>
            <w:tcW w:w="2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11,507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60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jc w:val="center"/>
              <w:ind w:left="92"/>
              <w:spacing w:after="0"/>
              <w:rPr>
                <w:sz w:val="20"/>
                <w:szCs w:val="20"/>
                <w:color w:val="auto"/>
              </w:rPr>
            </w:pPr>
            <w:r>
              <w:rPr>
                <w:rFonts w:ascii="Arial" w:cs="Arial" w:eastAsia="Arial" w:hAnsi="Arial"/>
                <w:sz w:val="10"/>
                <w:szCs w:val="10"/>
                <w:b w:val="1"/>
                <w:bCs w:val="1"/>
                <w:color w:val="auto"/>
                <w:w w:val="85"/>
              </w:rPr>
              <w:t>Quoted Prices in</w:t>
            </w: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87"/>
              </w:rPr>
              <w:t>Prices with Other</w:t>
            </w:r>
          </w:p>
        </w:tc>
        <w:tc>
          <w:tcPr>
            <w:tcW w:w="24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83"/>
              </w:rPr>
              <w:t>Prices with</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jc w:val="center"/>
              <w:ind w:left="92"/>
              <w:spacing w:after="0" w:line="99" w:lineRule="exact"/>
              <w:rPr>
                <w:sz w:val="20"/>
                <w:szCs w:val="20"/>
                <w:color w:val="auto"/>
              </w:rPr>
            </w:pPr>
            <w:r>
              <w:rPr>
                <w:rFonts w:ascii="Arial" w:cs="Arial" w:eastAsia="Arial" w:hAnsi="Arial"/>
                <w:sz w:val="10"/>
                <w:szCs w:val="10"/>
                <w:b w:val="1"/>
                <w:bCs w:val="1"/>
                <w:color w:val="auto"/>
                <w:w w:val="90"/>
              </w:rPr>
              <w:t>Active Markets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80" w:type="dxa"/>
            <w:vAlign w:val="bottom"/>
          </w:tcPr>
          <w:p>
            <w:pPr>
              <w:spacing w:after="0"/>
              <w:rPr>
                <w:sz w:val="8"/>
                <w:szCs w:val="8"/>
                <w:color w:val="auto"/>
              </w:rPr>
            </w:pPr>
          </w:p>
        </w:tc>
        <w:tc>
          <w:tcPr>
            <w:tcW w:w="108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4"/>
              </w:rPr>
              <w:t>Unobservable Inputs</w:t>
            </w:r>
          </w:p>
        </w:tc>
        <w:tc>
          <w:tcPr>
            <w:tcW w:w="0" w:type="dxa"/>
            <w:vAlign w:val="bottom"/>
          </w:tcPr>
          <w:p>
            <w:pPr>
              <w:spacing w:after="0"/>
              <w:rPr>
                <w:sz w:val="1"/>
                <w:szCs w:val="1"/>
                <w:color w:val="auto"/>
              </w:rPr>
            </w:pPr>
          </w:p>
        </w:tc>
      </w:tr>
      <w:tr>
        <w:trPr>
          <w:trHeight w:val="113"/>
        </w:trPr>
        <w:tc>
          <w:tcPr>
            <w:tcW w:w="56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81"/>
              <w:spacing w:after="0" w:line="114" w:lineRule="exact"/>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FF0FC"/>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tcPr>
          <w:p>
            <w:pPr>
              <w:jc w:val="center"/>
              <w:ind w:left="92"/>
              <w:spacing w:after="0" w:line="114" w:lineRule="exact"/>
              <w:rPr>
                <w:sz w:val="20"/>
                <w:szCs w:val="20"/>
                <w:color w:val="auto"/>
              </w:rPr>
            </w:pPr>
            <w:r>
              <w:rPr>
                <w:rFonts w:ascii="Arial" w:cs="Arial" w:eastAsia="Arial" w:hAnsi="Arial"/>
                <w:sz w:val="10"/>
                <w:szCs w:val="10"/>
                <w:b w:val="1"/>
                <w:bCs w:val="1"/>
                <w:color w:val="auto"/>
                <w:w w:val="88"/>
              </w:rPr>
              <w:t>(Level 1)</w:t>
            </w: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center"/>
              <w:ind w:right="103"/>
              <w:spacing w:after="0" w:line="114" w:lineRule="exact"/>
              <w:rPr>
                <w:sz w:val="20"/>
                <w:szCs w:val="20"/>
                <w:color w:val="auto"/>
              </w:rPr>
            </w:pPr>
            <w:r>
              <w:rPr>
                <w:rFonts w:ascii="Arial" w:cs="Arial" w:eastAsia="Arial" w:hAnsi="Arial"/>
                <w:sz w:val="10"/>
                <w:szCs w:val="10"/>
                <w:b w:val="1"/>
                <w:bCs w:val="1"/>
                <w:color w:val="auto"/>
                <w:w w:val="88"/>
              </w:rPr>
              <w:t>(Level 2)</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center"/>
              <w:ind w:right="23"/>
              <w:spacing w:after="0" w:line="114" w:lineRule="exact"/>
              <w:rPr>
                <w:sz w:val="20"/>
                <w:szCs w:val="20"/>
                <w:color w:val="auto"/>
              </w:rPr>
            </w:pPr>
            <w:r>
              <w:rPr>
                <w:rFonts w:ascii="Arial" w:cs="Arial" w:eastAsia="Arial" w:hAnsi="Arial"/>
                <w:sz w:val="10"/>
                <w:szCs w:val="10"/>
                <w:b w:val="1"/>
                <w:bCs w:val="1"/>
                <w:color w:val="auto"/>
                <w:w w:val="88"/>
              </w:rPr>
              <w:t>(Level 3)</w:t>
            </w:r>
          </w:p>
        </w:tc>
        <w:tc>
          <w:tcPr>
            <w:tcW w:w="120" w:type="dxa"/>
            <w:vAlign w:val="bottom"/>
            <w:tcBorders>
              <w:bottom w:val="single" w:sz="8" w:color="CFF0F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6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December 31, 2018</w:t>
            </w:r>
          </w:p>
        </w:tc>
        <w:tc>
          <w:tcPr>
            <w:tcW w:w="100" w:type="dxa"/>
            <w:vAlign w:val="bottom"/>
            <w:shd w:val="clear" w:color="auto" w:fill="CFF0FC"/>
          </w:tcPr>
          <w:p>
            <w:pPr>
              <w:spacing w:after="0"/>
              <w:rPr>
                <w:sz w:val="12"/>
                <w:szCs w:val="12"/>
                <w:color w:val="auto"/>
              </w:rPr>
            </w:pPr>
          </w:p>
        </w:tc>
        <w:tc>
          <w:tcPr>
            <w:tcW w:w="300" w:type="dxa"/>
            <w:vAlign w:val="bottom"/>
            <w:tcBorders>
              <w:left w:val="single" w:sz="8" w:color="CFF0FC"/>
            </w:tcBorders>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60" w:type="dxa"/>
            <w:vAlign w:val="bottom"/>
            <w:gridSpan w:val="2"/>
          </w:tcPr>
          <w:p>
            <w:pPr>
              <w:spacing w:after="0"/>
              <w:rPr>
                <w:sz w:val="20"/>
                <w:szCs w:val="20"/>
                <w:color w:val="auto"/>
              </w:rPr>
            </w:pPr>
            <w:r>
              <w:rPr>
                <w:rFonts w:ascii="Arial" w:cs="Arial" w:eastAsia="Arial" w:hAnsi="Arial"/>
                <w:sz w:val="12"/>
                <w:szCs w:val="12"/>
                <w:color w:val="auto"/>
              </w:rPr>
              <w:t>Assets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Derivative asset</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31,043</w:t>
            </w:r>
          </w:p>
        </w:tc>
        <w:tc>
          <w:tcPr>
            <w:tcW w:w="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52"/>
              <w:spacing w:after="0"/>
              <w:rPr>
                <w:sz w:val="20"/>
                <w:szCs w:val="20"/>
                <w:color w:val="auto"/>
              </w:rPr>
            </w:pPr>
            <w:r>
              <w:rPr>
                <w:rFonts w:ascii="Arial" w:cs="Arial" w:eastAsia="Arial" w:hAnsi="Arial"/>
                <w:sz w:val="12"/>
                <w:szCs w:val="12"/>
                <w:color w:val="auto"/>
              </w:rPr>
              <w:t>$</w:t>
            </w:r>
          </w:p>
        </w:tc>
        <w:tc>
          <w:tcPr>
            <w:tcW w:w="420" w:type="dxa"/>
            <w:vAlign w:val="bottom"/>
            <w:gridSpan w:val="3"/>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31,043</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31,043</w:t>
            </w:r>
          </w:p>
        </w:tc>
        <w:tc>
          <w:tcPr>
            <w:tcW w:w="40" w:type="dxa"/>
            <w:vAlign w:val="bottom"/>
          </w:tcPr>
          <w:p>
            <w:pPr>
              <w:spacing w:after="0"/>
              <w:rPr>
                <w:sz w:val="12"/>
                <w:szCs w:val="12"/>
                <w:color w:val="auto"/>
              </w:rPr>
            </w:pPr>
          </w:p>
        </w:tc>
        <w:tc>
          <w:tcPr>
            <w:tcW w:w="1180" w:type="dxa"/>
            <w:vAlign w:val="bottom"/>
            <w:gridSpan w:val="2"/>
          </w:tcPr>
          <w:p>
            <w:pPr>
              <w:jc w:val="right"/>
              <w:ind w:right="852"/>
              <w:spacing w:after="0"/>
              <w:rPr>
                <w:sz w:val="20"/>
                <w:szCs w:val="20"/>
                <w:color w:val="auto"/>
              </w:rPr>
            </w:pPr>
            <w:r>
              <w:rPr>
                <w:rFonts w:ascii="Arial" w:cs="Arial" w:eastAsia="Arial" w:hAnsi="Arial"/>
                <w:sz w:val="12"/>
                <w:szCs w:val="12"/>
                <w:color w:val="auto"/>
              </w:rPr>
              <w:t>$</w:t>
            </w:r>
          </w:p>
        </w:tc>
        <w:tc>
          <w:tcPr>
            <w:tcW w:w="42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31,043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left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right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Liabilities</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60" w:type="dxa"/>
            <w:vAlign w:val="bottom"/>
            <w:gridSpan w:val="2"/>
          </w:tcPr>
          <w:p>
            <w:pPr>
              <w:ind w:left="160"/>
              <w:spacing w:after="0"/>
              <w:rPr>
                <w:sz w:val="20"/>
                <w:szCs w:val="20"/>
                <w:color w:val="auto"/>
              </w:rPr>
            </w:pPr>
            <w:r>
              <w:rPr>
                <w:rFonts w:ascii="Arial" w:cs="Arial" w:eastAsia="Arial" w:hAnsi="Arial"/>
                <w:sz w:val="12"/>
                <w:szCs w:val="12"/>
                <w:color w:val="auto"/>
              </w:rPr>
              <w:t>Senior secured term loan B - variable rate, due October 24, 2022</w:t>
            </w:r>
          </w:p>
        </w:tc>
        <w:tc>
          <w:tcPr>
            <w:tcW w:w="400" w:type="dxa"/>
            <w:vAlign w:val="bottom"/>
            <w:gridSpan w:val="2"/>
          </w:tcPr>
          <w:p>
            <w:pPr>
              <w:jc w:val="right"/>
              <w:ind w:right="192"/>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1,877,303</w:t>
            </w:r>
          </w:p>
        </w:tc>
        <w:tc>
          <w:tcPr>
            <w:tcW w:w="40" w:type="dxa"/>
            <w:vAlign w:val="bottom"/>
          </w:tcPr>
          <w:p>
            <w:pPr>
              <w:spacing w:after="0"/>
              <w:rPr>
                <w:sz w:val="13"/>
                <w:szCs w:val="13"/>
                <w:color w:val="auto"/>
              </w:rPr>
            </w:pPr>
          </w:p>
        </w:tc>
        <w:tc>
          <w:tcPr>
            <w:tcW w:w="1180" w:type="dxa"/>
            <w:vAlign w:val="bottom"/>
            <w:gridSpan w:val="2"/>
          </w:tcPr>
          <w:p>
            <w:pPr>
              <w:jc w:val="right"/>
              <w:ind w:right="852"/>
              <w:spacing w:after="0"/>
              <w:rPr>
                <w:sz w:val="20"/>
                <w:szCs w:val="20"/>
                <w:color w:val="auto"/>
              </w:rPr>
            </w:pPr>
            <w:r>
              <w:rPr>
                <w:rFonts w:ascii="Arial" w:cs="Arial" w:eastAsia="Arial" w:hAnsi="Arial"/>
                <w:sz w:val="12"/>
                <w:szCs w:val="12"/>
                <w:color w:val="auto"/>
              </w:rPr>
              <w:t>$</w:t>
            </w:r>
          </w:p>
        </w:tc>
        <w:tc>
          <w:tcPr>
            <w:tcW w:w="42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1,877,303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secured notes - 6.00% , due April 15, 2023</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504,625</w:t>
            </w: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3"/>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504,625</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tcPr>
          <w:p>
            <w:pPr>
              <w:ind w:left="160"/>
              <w:spacing w:after="0"/>
              <w:rPr>
                <w:sz w:val="20"/>
                <w:szCs w:val="20"/>
                <w:color w:val="auto"/>
              </w:rPr>
            </w:pPr>
            <w:r>
              <w:rPr>
                <w:rFonts w:ascii="Arial" w:cs="Arial" w:eastAsia="Arial" w:hAnsi="Arial"/>
                <w:sz w:val="12"/>
                <w:szCs w:val="12"/>
                <w:color w:val="auto"/>
              </w:rPr>
              <w:t>Senior unsecured notes - 8.25%, due October 15, 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965,700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965,700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Senior unsecured notes - 7.125%, due December 15, 2024</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496,500</w:t>
            </w: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420" w:type="dxa"/>
            <w:vAlign w:val="bottom"/>
            <w:gridSpan w:val="3"/>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496,500</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tcPr>
          <w:p>
            <w:pPr>
              <w:ind w:left="160"/>
              <w:spacing w:after="0"/>
              <w:rPr>
                <w:sz w:val="20"/>
                <w:szCs w:val="20"/>
                <w:color w:val="auto"/>
              </w:rPr>
            </w:pPr>
            <w:r>
              <w:rPr>
                <w:rFonts w:ascii="Arial" w:cs="Arial" w:eastAsia="Arial" w:hAnsi="Arial"/>
                <w:sz w:val="12"/>
                <w:szCs w:val="12"/>
                <w:color w:val="auto"/>
              </w:rPr>
              <w:t>Senior secured revolving credit facility, variable rate, due April 24, 2020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639,936</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639,936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Contingent consideration</w:t>
            </w:r>
          </w:p>
        </w:tc>
        <w:tc>
          <w:tcPr>
            <w:tcW w:w="100" w:type="dxa"/>
            <w:vAlign w:val="bottom"/>
            <w:shd w:val="clear" w:color="auto" w:fill="CFF0FC"/>
          </w:tcPr>
          <w:p>
            <w:pPr>
              <w:spacing w:after="0"/>
              <w:rPr>
                <w:sz w:val="13"/>
                <w:szCs w:val="13"/>
                <w:color w:val="auto"/>
              </w:rPr>
            </w:pPr>
          </w:p>
        </w:tc>
        <w:tc>
          <w:tcPr>
            <w:tcW w:w="300" w:type="dxa"/>
            <w:vAlign w:val="bottom"/>
            <w:tcBorders>
              <w:left w:val="single" w:sz="8" w:color="CFF0FC"/>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83,401</w:t>
            </w: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2"/>
                <w:szCs w:val="12"/>
                <w:color w:val="auto"/>
                <w:w w:val="82"/>
              </w:rPr>
              <w:t>—</w:t>
            </w:r>
          </w:p>
        </w:tc>
        <w:tc>
          <w:tcPr>
            <w:tcW w:w="260" w:type="dxa"/>
            <w:vAlign w:val="bottom"/>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83,401</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60" w:type="dxa"/>
            <w:vAlign w:val="bottom"/>
            <w:gridSpan w:val="2"/>
          </w:tcPr>
          <w:p>
            <w:pPr>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4,567,465</w:t>
            </w:r>
          </w:p>
        </w:tc>
        <w:tc>
          <w:tcPr>
            <w:tcW w:w="40" w:type="dxa"/>
            <w:vAlign w:val="bottom"/>
          </w:tcPr>
          <w:p>
            <w:pPr>
              <w:spacing w:after="0"/>
              <w:rPr>
                <w:sz w:val="12"/>
                <w:szCs w:val="12"/>
                <w:color w:val="auto"/>
              </w:rPr>
            </w:pPr>
          </w:p>
        </w:tc>
        <w:tc>
          <w:tcPr>
            <w:tcW w:w="1180" w:type="dxa"/>
            <w:vAlign w:val="bottom"/>
            <w:gridSpan w:val="2"/>
          </w:tcPr>
          <w:p>
            <w:pPr>
              <w:jc w:val="right"/>
              <w:ind w:right="852"/>
              <w:spacing w:after="0"/>
              <w:rPr>
                <w:sz w:val="20"/>
                <w:szCs w:val="20"/>
                <w:color w:val="auto"/>
              </w:rPr>
            </w:pPr>
            <w:r>
              <w:rPr>
                <w:rFonts w:ascii="Arial" w:cs="Arial" w:eastAsia="Arial" w:hAnsi="Arial"/>
                <w:sz w:val="12"/>
                <w:szCs w:val="12"/>
                <w:color w:val="auto"/>
              </w:rPr>
              <w:t>$</w:t>
            </w:r>
          </w:p>
        </w:tc>
        <w:tc>
          <w:tcPr>
            <w:tcW w:w="42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4,484,064</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83,401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cash and cash equivalents, accounts and other receivables, and accounts, interest and dividends payable approximate fair values due to the short-term nature of these financial instruments.</w:t>
      </w:r>
    </w:p>
    <w:p>
      <w:pPr>
        <w:spacing w:after="0" w:line="150" w:lineRule="exact"/>
        <w:rPr>
          <w:sz w:val="20"/>
          <w:szCs w:val="20"/>
          <w:color w:val="auto"/>
        </w:rPr>
      </w:pPr>
    </w:p>
    <w:p>
      <w:pPr>
        <w:jc w:val="center"/>
        <w:ind w:right="200"/>
        <w:spacing w:after="0"/>
        <w:rPr>
          <w:sz w:val="20"/>
          <w:szCs w:val="20"/>
          <w:color w:val="auto"/>
        </w:rPr>
      </w:pPr>
      <w:r>
        <w:rPr>
          <w:rFonts w:ascii="Arial" w:cs="Arial" w:eastAsia="Arial" w:hAnsi="Arial"/>
          <w:sz w:val="10"/>
          <w:szCs w:val="10"/>
          <w:color w:val="auto"/>
        </w:rPr>
        <w:t>The total principal balance of our Notes and other debt was $5.23 billion at December 31, 2019, with a fair value of $4.89 billion. The estimated fair value of the Notes and other debt was based on available external pricing data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current market rates for similar debt instruments, among other factors, which are classified as Level 2 inputs within the fair value hierarchy. Derivative instruments are carried at fair value. See Note 9. The fair value of our interest rate swap is determined based on the present value of expected future cash flows using observable, quoted LIBOR swap rates for the full term of the swap and also incorporate credit valuation adjustments to appropriately reflect both Uniti 's own non-performance risk and non-performance risk of the respective counterparties. The Company has determined that the majority of the inputs used to value its derivative instruments fall within Level 2 of the fair value hierarchy; however the associated credit valuation adjustments utilized Level 3 inputs, such as estimates of credit spreads, to evaluate the likelihood of default by the Company and its counterparties. As of December 31, 2019,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instruments valuation in Level 2 of the fair value hierarchy.</w:t>
      </w:r>
    </w:p>
    <w:p>
      <w:pPr>
        <w:spacing w:after="0" w:line="113"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Given the limited trade activity of the Exchangeable Notes, the fair value of the Exchangeable Notes (see Note 11)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92"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As part of the acquisition of Hunt on July 3, 2017, we may be obligated to pay contingent consideration (the “Hunt Contingent Consideration”) upon the achievement of certain defined revenue milestones. The fair value of the Hunt Contingent Consideration was determined using the closing price of our common shares in the active market and probability of expected dividends and is classified as Level 3. On January 4, 2019, we settled the Hunt Contingent Consideration in full satisfaction of the obligation through the issuance of 645,385 common shares having a fair value of $11.2 million.</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$11.5 million as of December 31, 2019. The fair value of the contingent consideration as of December 31, 2019, was determined using a discounted cash flow model and probability adjusted estimates of the operational milestones and is classified as Level 3. During the years ended December 31, 2019 and 2018, we paid $29.6 million and $32.3 million, respectively, for the achievement of certain milestones in accordance with the Tower Cloud merger agreement.</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Changes in the fair value of contingent consideration will be recorded in our Consolidated Statement of Income in the period in which the change occurs. For the year ended December 31, 2019, there was a $28.5 million decrease in the fair value of the contingent consideration that was recorded in Other (income) expense on the Consolidated Statements of Income.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roll forward of our liability measured at fair value on a recurring basis using unobservable inputs (Level 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86"/>
              </w:rPr>
              <w:t>(Gain)/Loss included in</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3"/>
        </w:trPr>
        <w:tc>
          <w:tcPr>
            <w:tcW w:w="49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106"/>
              <w:spacing w:after="0" w:line="114" w:lineRule="exact"/>
              <w:rPr>
                <w:sz w:val="20"/>
                <w:szCs w:val="20"/>
                <w:color w:val="auto"/>
              </w:rPr>
            </w:pPr>
            <w:r>
              <w:rPr>
                <w:rFonts w:ascii="Arial" w:cs="Arial" w:eastAsia="Arial" w:hAnsi="Arial"/>
                <w:sz w:val="10"/>
                <w:szCs w:val="10"/>
                <w:b w:val="1"/>
                <w:bCs w:val="1"/>
                <w:color w:val="auto"/>
                <w:w w:val="88"/>
              </w:rPr>
              <w:t>December 31, 2018</w:t>
            </w:r>
          </w:p>
        </w:tc>
        <w:tc>
          <w:tcPr>
            <w:tcW w:w="240" w:type="dxa"/>
            <w:vAlign w:val="bottom"/>
            <w:tcBorders>
              <w:bottom w:val="single" w:sz="8" w:color="CFF0FC"/>
            </w:tcBorders>
          </w:tcPr>
          <w:p>
            <w:pPr>
              <w:spacing w:after="0"/>
              <w:rPr>
                <w:sz w:val="9"/>
                <w:szCs w:val="9"/>
                <w:color w:val="auto"/>
              </w:rPr>
            </w:pPr>
          </w:p>
        </w:tc>
        <w:tc>
          <w:tcPr>
            <w:tcW w:w="980" w:type="dxa"/>
            <w:vAlign w:val="bottom"/>
            <w:tcBorders>
              <w:bottom w:val="single" w:sz="8" w:color="auto"/>
            </w:tcBorders>
            <w:gridSpan w:val="2"/>
          </w:tcPr>
          <w:p>
            <w:pPr>
              <w:ind w:left="40"/>
              <w:spacing w:after="0" w:line="114" w:lineRule="exact"/>
              <w:rPr>
                <w:sz w:val="20"/>
                <w:szCs w:val="20"/>
                <w:color w:val="auto"/>
              </w:rPr>
            </w:pPr>
            <w:r>
              <w:rPr>
                <w:rFonts w:ascii="Arial" w:cs="Arial" w:eastAsia="Arial" w:hAnsi="Arial"/>
                <w:sz w:val="10"/>
                <w:szCs w:val="10"/>
                <w:b w:val="1"/>
                <w:bCs w:val="1"/>
                <w:color w:val="auto"/>
                <w:w w:val="88"/>
              </w:rPr>
              <w:t>Transfers into Level 3</w:t>
            </w:r>
          </w:p>
        </w:tc>
        <w:tc>
          <w:tcPr>
            <w:tcW w:w="24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46"/>
              <w:spacing w:after="0" w:line="114" w:lineRule="exact"/>
              <w:rPr>
                <w:sz w:val="20"/>
                <w:szCs w:val="20"/>
                <w:color w:val="auto"/>
              </w:rPr>
            </w:pPr>
            <w:r>
              <w:rPr>
                <w:rFonts w:ascii="Arial" w:cs="Arial" w:eastAsia="Arial" w:hAnsi="Arial"/>
                <w:sz w:val="10"/>
                <w:szCs w:val="10"/>
                <w:b w:val="1"/>
                <w:bCs w:val="1"/>
                <w:color w:val="auto"/>
                <w:w w:val="81"/>
              </w:rPr>
              <w:t>earnings</w:t>
            </w:r>
          </w:p>
        </w:tc>
        <w:tc>
          <w:tcPr>
            <w:tcW w:w="2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ind w:left="80"/>
              <w:spacing w:after="0" w:line="114" w:lineRule="exact"/>
              <w:rPr>
                <w:sz w:val="20"/>
                <w:szCs w:val="20"/>
                <w:color w:val="auto"/>
              </w:rPr>
            </w:pPr>
            <w:r>
              <w:rPr>
                <w:rFonts w:ascii="Arial" w:cs="Arial" w:eastAsia="Arial" w:hAnsi="Arial"/>
                <w:sz w:val="10"/>
                <w:szCs w:val="10"/>
                <w:b w:val="1"/>
                <w:bCs w:val="1"/>
                <w:color w:val="auto"/>
              </w:rPr>
              <w:t>Settlements</w:t>
            </w:r>
          </w:p>
        </w:tc>
        <w:tc>
          <w:tcPr>
            <w:tcW w:w="2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106"/>
              <w:spacing w:after="0" w:line="114" w:lineRule="exact"/>
              <w:rPr>
                <w:sz w:val="20"/>
                <w:szCs w:val="20"/>
                <w:color w:val="auto"/>
              </w:rPr>
            </w:pPr>
            <w:r>
              <w:rPr>
                <w:rFonts w:ascii="Arial" w:cs="Arial" w:eastAsia="Arial" w:hAnsi="Arial"/>
                <w:sz w:val="10"/>
                <w:szCs w:val="10"/>
                <w:b w:val="1"/>
                <w:bCs w:val="1"/>
                <w:color w:val="auto"/>
                <w:w w:val="88"/>
              </w:rPr>
              <w:t>December 31, 2019</w:t>
            </w:r>
          </w:p>
        </w:tc>
        <w:tc>
          <w:tcPr>
            <w:tcW w:w="120" w:type="dxa"/>
            <w:vAlign w:val="bottom"/>
            <w:tcBorders>
              <w:bottom w:val="single" w:sz="8" w:color="CFF0FC"/>
            </w:tcBorders>
          </w:tcPr>
          <w:p>
            <w:pPr>
              <w:spacing w:after="0"/>
              <w:rPr>
                <w:sz w:val="9"/>
                <w:szCs w:val="9"/>
                <w:color w:val="auto"/>
              </w:rPr>
            </w:pPr>
          </w:p>
        </w:tc>
      </w:tr>
      <w:tr>
        <w:trPr>
          <w:trHeight w:val="142"/>
        </w:trPr>
        <w:tc>
          <w:tcPr>
            <w:tcW w:w="50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Contingent consideration</w:t>
            </w: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83,401</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ind w:left="4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(28,463)</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(43,431)</w:t>
            </w: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11,507</w:t>
            </w:r>
          </w:p>
        </w:tc>
        <w:tc>
          <w:tcPr>
            <w:tcW w:w="12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3" w:name="page104"/>
    <w:bookmarkEnd w:id="1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Property, Plant and Equipment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property, plant and equipment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80" w:type="dxa"/>
            <w:vAlign w:val="bottom"/>
            <w:tcBorders>
              <w:bottom w:val="single" w:sz="8" w:color="CFF0FC"/>
            </w:tcBorders>
          </w:tcPr>
          <w:p>
            <w:pPr>
              <w:spacing w:after="0"/>
              <w:rPr>
                <w:sz w:val="10"/>
                <w:szCs w:val="10"/>
                <w:color w:val="auto"/>
              </w:rPr>
            </w:pPr>
          </w:p>
        </w:tc>
        <w:tc>
          <w:tcPr>
            <w:tcW w:w="17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Depreciable Lives</w:t>
            </w:r>
          </w:p>
        </w:tc>
        <w:tc>
          <w:tcPr>
            <w:tcW w:w="18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December 31, 2019</w:t>
            </w:r>
          </w:p>
        </w:tc>
        <w:tc>
          <w:tcPr>
            <w:tcW w:w="28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December 31, 2018</w:t>
            </w:r>
          </w:p>
        </w:tc>
        <w:tc>
          <w:tcPr>
            <w:tcW w:w="120" w:type="dxa"/>
            <w:vAlign w:val="bottom"/>
            <w:tcBorders>
              <w:bottom w:val="single" w:sz="8" w:color="CFF0FC"/>
            </w:tcBorders>
          </w:tcPr>
          <w:p>
            <w:pPr>
              <w:spacing w:after="0"/>
              <w:rPr>
                <w:sz w:val="10"/>
                <w:szCs w:val="10"/>
                <w:color w:val="auto"/>
              </w:rPr>
            </w:pPr>
          </w:p>
        </w:tc>
      </w:tr>
      <w:tr>
        <w:trPr>
          <w:trHeight w:val="142"/>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Indefinite</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28,337</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29,304</w:t>
            </w:r>
          </w:p>
        </w:tc>
        <w:tc>
          <w:tcPr>
            <w:tcW w:w="120" w:type="dxa"/>
            <w:vAlign w:val="bottom"/>
            <w:shd w:val="clear" w:color="auto" w:fill="CFF0FC"/>
          </w:tcPr>
          <w:p>
            <w:pPr>
              <w:spacing w:after="0"/>
              <w:rPr>
                <w:sz w:val="12"/>
                <w:szCs w:val="12"/>
                <w:color w:val="auto"/>
              </w:rPr>
            </w:pPr>
          </w:p>
        </w:tc>
      </w:tr>
      <w:tr>
        <w:trPr>
          <w:trHeight w:val="153"/>
        </w:trPr>
        <w:tc>
          <w:tcPr>
            <w:tcW w:w="5700" w:type="dxa"/>
            <w:vAlign w:val="bottom"/>
            <w:gridSpan w:val="2"/>
          </w:tcPr>
          <w:p>
            <w:pPr>
              <w:spacing w:after="0"/>
              <w:rPr>
                <w:sz w:val="20"/>
                <w:szCs w:val="20"/>
                <w:color w:val="auto"/>
              </w:rPr>
            </w:pPr>
            <w:r>
              <w:rPr>
                <w:rFonts w:ascii="Arial" w:cs="Arial" w:eastAsia="Arial" w:hAnsi="Arial"/>
                <w:sz w:val="12"/>
                <w:szCs w:val="12"/>
                <w:color w:val="auto"/>
              </w:rPr>
              <w:t>Building and improvements</w:t>
            </w:r>
          </w:p>
        </w:tc>
        <w:tc>
          <w:tcPr>
            <w:tcW w:w="1940" w:type="dxa"/>
            <w:vAlign w:val="bottom"/>
            <w:gridSpan w:val="2"/>
          </w:tcPr>
          <w:p>
            <w:pPr>
              <w:jc w:val="right"/>
              <w:ind w:right="200"/>
              <w:spacing w:after="0"/>
              <w:rPr>
                <w:sz w:val="20"/>
                <w:szCs w:val="20"/>
                <w:color w:val="auto"/>
              </w:rPr>
            </w:pPr>
            <w:r>
              <w:rPr>
                <w:rFonts w:ascii="Arial" w:cs="Arial" w:eastAsia="Arial" w:hAnsi="Arial"/>
                <w:sz w:val="12"/>
                <w:szCs w:val="12"/>
                <w:color w:val="auto"/>
              </w:rPr>
              <w:t>3 - 40 years</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355,225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340,238</w:t>
            </w:r>
          </w:p>
        </w:tc>
        <w:tc>
          <w:tcPr>
            <w:tcW w:w="120" w:type="dxa"/>
            <w:vAlign w:val="bottom"/>
          </w:tcPr>
          <w:p>
            <w:pPr>
              <w:spacing w:after="0"/>
              <w:rPr>
                <w:sz w:val="13"/>
                <w:szCs w:val="13"/>
                <w:color w:val="auto"/>
              </w:rPr>
            </w:pPr>
          </w:p>
        </w:tc>
      </w:tr>
      <w:tr>
        <w:trPr>
          <w:trHeight w:val="153"/>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Real property interests</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See Note 3</w:t>
            </w:r>
          </w:p>
        </w:tc>
        <w:tc>
          <w:tcPr>
            <w:tcW w:w="2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34,878</w:t>
            </w:r>
          </w:p>
        </w:tc>
        <w:tc>
          <w:tcPr>
            <w:tcW w:w="120" w:type="dxa"/>
            <w:vAlign w:val="bottom"/>
            <w:shd w:val="clear" w:color="auto" w:fill="CFF0FC"/>
          </w:tcPr>
          <w:p>
            <w:pPr>
              <w:spacing w:after="0"/>
              <w:rPr>
                <w:sz w:val="13"/>
                <w:szCs w:val="13"/>
                <w:color w:val="auto"/>
              </w:rPr>
            </w:pPr>
          </w:p>
        </w:tc>
      </w:tr>
      <w:tr>
        <w:trPr>
          <w:trHeight w:val="153"/>
        </w:trPr>
        <w:tc>
          <w:tcPr>
            <w:tcW w:w="5700" w:type="dxa"/>
            <w:vAlign w:val="bottom"/>
            <w:gridSpan w:val="2"/>
          </w:tcPr>
          <w:p>
            <w:pPr>
              <w:spacing w:after="0"/>
              <w:rPr>
                <w:sz w:val="20"/>
                <w:szCs w:val="20"/>
                <w:color w:val="auto"/>
              </w:rPr>
            </w:pPr>
            <w:r>
              <w:rPr>
                <w:rFonts w:ascii="Arial" w:cs="Arial" w:eastAsia="Arial" w:hAnsi="Arial"/>
                <w:sz w:val="12"/>
                <w:szCs w:val="12"/>
                <w:color w:val="auto"/>
              </w:rPr>
              <w:t>Poles</w:t>
            </w:r>
          </w:p>
        </w:tc>
        <w:tc>
          <w:tcPr>
            <w:tcW w:w="1940" w:type="dxa"/>
            <w:vAlign w:val="bottom"/>
            <w:gridSpan w:val="2"/>
          </w:tcPr>
          <w:p>
            <w:pPr>
              <w:jc w:val="right"/>
              <w:ind w:right="200"/>
              <w:spacing w:after="0"/>
              <w:rPr>
                <w:sz w:val="20"/>
                <w:szCs w:val="20"/>
                <w:color w:val="auto"/>
              </w:rPr>
            </w:pPr>
            <w:r>
              <w:rPr>
                <w:rFonts w:ascii="Arial" w:cs="Arial" w:eastAsia="Arial" w:hAnsi="Arial"/>
                <w:sz w:val="12"/>
                <w:szCs w:val="12"/>
                <w:color w:val="auto"/>
              </w:rPr>
              <w:t>30 years</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258,535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248,989</w:t>
            </w:r>
          </w:p>
        </w:tc>
        <w:tc>
          <w:tcPr>
            <w:tcW w:w="120" w:type="dxa"/>
            <w:vAlign w:val="bottom"/>
          </w:tcPr>
          <w:p>
            <w:pPr>
              <w:spacing w:after="0"/>
              <w:rPr>
                <w:sz w:val="13"/>
                <w:szCs w:val="13"/>
                <w:color w:val="auto"/>
              </w:rPr>
            </w:pPr>
          </w:p>
        </w:tc>
      </w:tr>
      <w:tr>
        <w:trPr>
          <w:trHeight w:val="153"/>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Fiber</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30 years</w:t>
            </w:r>
          </w:p>
        </w:tc>
        <w:tc>
          <w:tcPr>
            <w:tcW w:w="2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3,456,398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3,005,304</w:t>
            </w:r>
          </w:p>
        </w:tc>
        <w:tc>
          <w:tcPr>
            <w:tcW w:w="120" w:type="dxa"/>
            <w:vAlign w:val="bottom"/>
            <w:shd w:val="clear" w:color="auto" w:fill="CFF0FC"/>
          </w:tcPr>
          <w:p>
            <w:pPr>
              <w:spacing w:after="0"/>
              <w:rPr>
                <w:sz w:val="13"/>
                <w:szCs w:val="13"/>
                <w:color w:val="auto"/>
              </w:rPr>
            </w:pPr>
          </w:p>
        </w:tc>
      </w:tr>
      <w:tr>
        <w:trPr>
          <w:trHeight w:val="153"/>
        </w:trPr>
        <w:tc>
          <w:tcPr>
            <w:tcW w:w="5700" w:type="dxa"/>
            <w:vAlign w:val="bottom"/>
            <w:gridSpan w:val="2"/>
          </w:tcPr>
          <w:p>
            <w:pPr>
              <w:spacing w:after="0"/>
              <w:rPr>
                <w:sz w:val="20"/>
                <w:szCs w:val="20"/>
                <w:color w:val="auto"/>
              </w:rPr>
            </w:pPr>
            <w:r>
              <w:rPr>
                <w:rFonts w:ascii="Arial" w:cs="Arial" w:eastAsia="Arial" w:hAnsi="Arial"/>
                <w:sz w:val="12"/>
                <w:szCs w:val="12"/>
                <w:color w:val="auto"/>
              </w:rPr>
              <w:t>Equipment</w:t>
            </w:r>
          </w:p>
        </w:tc>
        <w:tc>
          <w:tcPr>
            <w:tcW w:w="1940" w:type="dxa"/>
            <w:vAlign w:val="bottom"/>
            <w:gridSpan w:val="2"/>
          </w:tcPr>
          <w:p>
            <w:pPr>
              <w:jc w:val="right"/>
              <w:ind w:right="200"/>
              <w:spacing w:after="0"/>
              <w:rPr>
                <w:sz w:val="20"/>
                <w:szCs w:val="20"/>
                <w:color w:val="auto"/>
              </w:rPr>
            </w:pPr>
            <w:r>
              <w:rPr>
                <w:rFonts w:ascii="Arial" w:cs="Arial" w:eastAsia="Arial" w:hAnsi="Arial"/>
                <w:sz w:val="12"/>
                <w:szCs w:val="12"/>
                <w:color w:val="auto"/>
              </w:rPr>
              <w:t>5 - 7 years</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293,427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256,838</w:t>
            </w:r>
          </w:p>
        </w:tc>
        <w:tc>
          <w:tcPr>
            <w:tcW w:w="120" w:type="dxa"/>
            <w:vAlign w:val="bottom"/>
          </w:tcPr>
          <w:p>
            <w:pPr>
              <w:spacing w:after="0"/>
              <w:rPr>
                <w:sz w:val="13"/>
                <w:szCs w:val="13"/>
                <w:color w:val="auto"/>
              </w:rPr>
            </w:pPr>
          </w:p>
        </w:tc>
      </w:tr>
      <w:tr>
        <w:trPr>
          <w:trHeight w:val="153"/>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Copper</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 years</w:t>
            </w:r>
          </w:p>
        </w:tc>
        <w:tc>
          <w:tcPr>
            <w:tcW w:w="2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3,792,366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3,721,649</w:t>
            </w:r>
          </w:p>
        </w:tc>
        <w:tc>
          <w:tcPr>
            <w:tcW w:w="120" w:type="dxa"/>
            <w:vAlign w:val="bottom"/>
            <w:shd w:val="clear" w:color="auto" w:fill="CFF0FC"/>
          </w:tcPr>
          <w:p>
            <w:pPr>
              <w:spacing w:after="0"/>
              <w:rPr>
                <w:sz w:val="13"/>
                <w:szCs w:val="13"/>
                <w:color w:val="auto"/>
              </w:rPr>
            </w:pPr>
          </w:p>
        </w:tc>
      </w:tr>
      <w:tr>
        <w:trPr>
          <w:trHeight w:val="153"/>
        </w:trPr>
        <w:tc>
          <w:tcPr>
            <w:tcW w:w="5700" w:type="dxa"/>
            <w:vAlign w:val="bottom"/>
            <w:gridSpan w:val="2"/>
          </w:tcPr>
          <w:p>
            <w:pPr>
              <w:spacing w:after="0"/>
              <w:rPr>
                <w:sz w:val="20"/>
                <w:szCs w:val="20"/>
                <w:color w:val="auto"/>
              </w:rPr>
            </w:pPr>
            <w:r>
              <w:rPr>
                <w:rFonts w:ascii="Arial" w:cs="Arial" w:eastAsia="Arial" w:hAnsi="Arial"/>
                <w:sz w:val="12"/>
                <w:szCs w:val="12"/>
                <w:color w:val="auto"/>
              </w:rPr>
              <w:t>Conduit</w:t>
            </w:r>
          </w:p>
        </w:tc>
        <w:tc>
          <w:tcPr>
            <w:tcW w:w="1940" w:type="dxa"/>
            <w:vAlign w:val="bottom"/>
            <w:gridSpan w:val="2"/>
          </w:tcPr>
          <w:p>
            <w:pPr>
              <w:jc w:val="right"/>
              <w:ind w:right="200"/>
              <w:spacing w:after="0"/>
              <w:rPr>
                <w:sz w:val="20"/>
                <w:szCs w:val="20"/>
                <w:color w:val="auto"/>
              </w:rPr>
            </w:pPr>
            <w:r>
              <w:rPr>
                <w:rFonts w:ascii="Arial" w:cs="Arial" w:eastAsia="Arial" w:hAnsi="Arial"/>
                <w:sz w:val="12"/>
                <w:szCs w:val="12"/>
                <w:color w:val="auto"/>
              </w:rPr>
              <w:t>30 years</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89,770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89,692</w:t>
            </w:r>
          </w:p>
        </w:tc>
        <w:tc>
          <w:tcPr>
            <w:tcW w:w="120" w:type="dxa"/>
            <w:vAlign w:val="bottom"/>
          </w:tcPr>
          <w:p>
            <w:pPr>
              <w:spacing w:after="0"/>
              <w:rPr>
                <w:sz w:val="13"/>
                <w:szCs w:val="13"/>
                <w:color w:val="auto"/>
              </w:rPr>
            </w:pPr>
          </w:p>
        </w:tc>
      </w:tr>
      <w:tr>
        <w:trPr>
          <w:trHeight w:val="153"/>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Tower assets</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 years</w:t>
            </w:r>
          </w:p>
        </w:tc>
        <w:tc>
          <w:tcPr>
            <w:tcW w:w="2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170,063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120,073</w:t>
            </w:r>
          </w:p>
        </w:tc>
        <w:tc>
          <w:tcPr>
            <w:tcW w:w="120" w:type="dxa"/>
            <w:vAlign w:val="bottom"/>
            <w:shd w:val="clear" w:color="auto" w:fill="CFF0FC"/>
          </w:tcPr>
          <w:p>
            <w:pPr>
              <w:spacing w:after="0"/>
              <w:rPr>
                <w:sz w:val="13"/>
                <w:szCs w:val="13"/>
                <w:color w:val="auto"/>
              </w:rPr>
            </w:pPr>
          </w:p>
        </w:tc>
      </w:tr>
      <w:tr>
        <w:trPr>
          <w:trHeight w:val="153"/>
        </w:trPr>
        <w:tc>
          <w:tcPr>
            <w:tcW w:w="5700" w:type="dxa"/>
            <w:vAlign w:val="bottom"/>
            <w:gridSpan w:val="2"/>
          </w:tcPr>
          <w:p>
            <w:pPr>
              <w:spacing w:after="0"/>
              <w:rPr>
                <w:sz w:val="20"/>
                <w:szCs w:val="20"/>
                <w:color w:val="auto"/>
              </w:rPr>
            </w:pPr>
            <w:r>
              <w:rPr>
                <w:rFonts w:ascii="Arial" w:cs="Arial" w:eastAsia="Arial" w:hAnsi="Arial"/>
                <w:sz w:val="12"/>
                <w:szCs w:val="12"/>
                <w:color w:val="auto"/>
              </w:rPr>
              <w:t>Finance lease assets</w:t>
            </w:r>
          </w:p>
        </w:tc>
        <w:tc>
          <w:tcPr>
            <w:tcW w:w="1940" w:type="dxa"/>
            <w:vAlign w:val="bottom"/>
            <w:gridSpan w:val="2"/>
          </w:tcPr>
          <w:p>
            <w:pPr>
              <w:jc w:val="right"/>
              <w:ind w:right="200"/>
              <w:spacing w:after="0"/>
              <w:rPr>
                <w:sz w:val="20"/>
                <w:szCs w:val="20"/>
                <w:color w:val="auto"/>
              </w:rPr>
            </w:pPr>
            <w:r>
              <w:rPr>
                <w:rFonts w:ascii="Arial" w:cs="Arial" w:eastAsia="Arial" w:hAnsi="Arial"/>
                <w:sz w:val="12"/>
                <w:szCs w:val="12"/>
                <w:color w:val="auto"/>
              </w:rPr>
              <w:t>See Note 3</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129,900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123,017</w:t>
            </w:r>
          </w:p>
        </w:tc>
        <w:tc>
          <w:tcPr>
            <w:tcW w:w="120" w:type="dxa"/>
            <w:vAlign w:val="bottom"/>
          </w:tcPr>
          <w:p>
            <w:pPr>
              <w:spacing w:after="0"/>
              <w:rPr>
                <w:sz w:val="13"/>
                <w:szCs w:val="13"/>
                <w:color w:val="auto"/>
              </w:rPr>
            </w:pPr>
          </w:p>
        </w:tc>
      </w:tr>
      <w:tr>
        <w:trPr>
          <w:trHeight w:val="153"/>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See Note 3</w:t>
            </w:r>
          </w:p>
        </w:tc>
        <w:tc>
          <w:tcPr>
            <w:tcW w:w="2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89,007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137,585</w:t>
            </w:r>
          </w:p>
        </w:tc>
        <w:tc>
          <w:tcPr>
            <w:tcW w:w="120" w:type="dxa"/>
            <w:vAlign w:val="bottom"/>
            <w:shd w:val="clear" w:color="auto" w:fill="CFF0FC"/>
          </w:tcPr>
          <w:p>
            <w:pPr>
              <w:spacing w:after="0"/>
              <w:rPr>
                <w:sz w:val="13"/>
                <w:szCs w:val="13"/>
                <w:color w:val="auto"/>
              </w:rPr>
            </w:pPr>
          </w:p>
        </w:tc>
      </w:tr>
      <w:tr>
        <w:trPr>
          <w:trHeight w:val="153"/>
        </w:trPr>
        <w:tc>
          <w:tcPr>
            <w:tcW w:w="570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1940" w:type="dxa"/>
            <w:vAlign w:val="bottom"/>
            <w:gridSpan w:val="2"/>
          </w:tcPr>
          <w:p>
            <w:pPr>
              <w:jc w:val="right"/>
              <w:ind w:right="200"/>
              <w:spacing w:after="0"/>
              <w:rPr>
                <w:sz w:val="20"/>
                <w:szCs w:val="20"/>
                <w:color w:val="auto"/>
              </w:rPr>
            </w:pPr>
            <w:r>
              <w:rPr>
                <w:rFonts w:ascii="Arial" w:cs="Arial" w:eastAsia="Arial" w:hAnsi="Arial"/>
                <w:sz w:val="12"/>
                <w:szCs w:val="12"/>
                <w:color w:val="auto"/>
              </w:rPr>
              <w:t>15 - 20 years</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11,591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11,524</w:t>
            </w:r>
          </w:p>
        </w:tc>
        <w:tc>
          <w:tcPr>
            <w:tcW w:w="120" w:type="dxa"/>
            <w:vAlign w:val="bottom"/>
          </w:tcPr>
          <w:p>
            <w:pPr>
              <w:spacing w:after="0"/>
              <w:rPr>
                <w:sz w:val="13"/>
                <w:szCs w:val="13"/>
                <w:color w:val="auto"/>
              </w:rPr>
            </w:pPr>
          </w:p>
        </w:tc>
      </w:tr>
      <w:tr>
        <w:trPr>
          <w:trHeight w:val="153"/>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Corporate assets</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3 - 7 years</w:t>
            </w:r>
          </w:p>
        </w:tc>
        <w:tc>
          <w:tcPr>
            <w:tcW w:w="24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5,552</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4,214</w:t>
            </w:r>
          </w:p>
        </w:tc>
        <w:tc>
          <w:tcPr>
            <w:tcW w:w="120" w:type="dxa"/>
            <w:vAlign w:val="bottom"/>
            <w:shd w:val="clear" w:color="auto" w:fill="CFF0FC"/>
          </w:tcPr>
          <w:p>
            <w:pPr>
              <w:spacing w:after="0"/>
              <w:rPr>
                <w:sz w:val="13"/>
                <w:szCs w:val="13"/>
                <w:color w:val="auto"/>
              </w:rPr>
            </w:pPr>
          </w:p>
        </w:tc>
      </w:tr>
      <w:tr>
        <w:trPr>
          <w:trHeight w:val="142"/>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8,683,479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8,123,305</w:t>
            </w:r>
          </w:p>
        </w:tc>
        <w:tc>
          <w:tcPr>
            <w:tcW w:w="120" w:type="dxa"/>
            <w:vAlign w:val="bottom"/>
          </w:tcPr>
          <w:p>
            <w:pPr>
              <w:spacing w:after="0"/>
              <w:rPr>
                <w:sz w:val="12"/>
                <w:szCs w:val="12"/>
                <w:color w:val="auto"/>
              </w:rPr>
            </w:pPr>
          </w:p>
        </w:tc>
      </w:tr>
      <w:tr>
        <w:trPr>
          <w:trHeight w:val="153"/>
        </w:trPr>
        <w:tc>
          <w:tcPr>
            <w:tcW w:w="5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(5,273,534)</w:t>
            </w:r>
          </w:p>
        </w:tc>
        <w:tc>
          <w:tcPr>
            <w:tcW w:w="2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(4,914,299)</w:t>
            </w:r>
          </w:p>
        </w:tc>
      </w:tr>
      <w:tr>
        <w:trPr>
          <w:trHeight w:val="149"/>
        </w:trPr>
        <w:tc>
          <w:tcPr>
            <w:tcW w:w="5700" w:type="dxa"/>
            <w:vAlign w:val="bottom"/>
            <w:gridSpan w:val="2"/>
          </w:tcPr>
          <w:p>
            <w:pPr>
              <w:spacing w:after="0"/>
              <w:rPr>
                <w:sz w:val="20"/>
                <w:szCs w:val="20"/>
                <w:color w:val="auto"/>
              </w:rPr>
            </w:pPr>
            <w:r>
              <w:rPr>
                <w:rFonts w:ascii="Arial" w:cs="Arial" w:eastAsia="Arial" w:hAnsi="Arial"/>
                <w:sz w:val="12"/>
                <w:szCs w:val="12"/>
                <w:color w:val="auto"/>
              </w:rPr>
              <w:t>Property, plant and equipment, net</w:t>
            </w: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3,409,945</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3,209,006</w:t>
            </w:r>
          </w:p>
        </w:tc>
        <w:tc>
          <w:tcPr>
            <w:tcW w:w="120" w:type="dxa"/>
            <w:vAlign w:val="bottom"/>
          </w:tcPr>
          <w:p>
            <w:pPr>
              <w:spacing w:after="0"/>
              <w:rPr>
                <w:sz w:val="12"/>
                <w:szCs w:val="1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Finance lease assets above represent fiber leases, where we have the exclusive, unrestricted, and indefeasible right to use one, a pair, or more strands of fiber of a fiber cable.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for the years ended December 31, 2019, 2018, and 2017 was $377.3 million, $425.2 million and $415.9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Derivative Instruments and Hedging Activities</w:t>
      </w:r>
    </w:p>
    <w:p>
      <w:pPr>
        <w:spacing w:after="0" w:line="154"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15"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We are party to interest rate swap agreements to mitigate the interest rate risk inherent in our variable rate Senior Secured Term Loan B facility. These interest rate swaps are designated as cash flow hedges and have a notional value of $2.04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fair value and the presentation in our Consolidated Balance Sheet: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4"/>
              </w:rPr>
              <w:t>Location on Consolidated</w:t>
            </w: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3"/>
        </w:trPr>
        <w:tc>
          <w:tcPr>
            <w:tcW w:w="34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80" w:type="dxa"/>
            <w:vAlign w:val="bottom"/>
            <w:tcBorders>
              <w:bottom w:val="single" w:sz="8" w:color="CFF0FC"/>
            </w:tcBorders>
          </w:tcPr>
          <w:p>
            <w:pPr>
              <w:spacing w:after="0"/>
              <w:rPr>
                <w:sz w:val="9"/>
                <w:szCs w:val="9"/>
                <w:color w:val="auto"/>
              </w:rPr>
            </w:pPr>
          </w:p>
        </w:tc>
        <w:tc>
          <w:tcPr>
            <w:tcW w:w="3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1"/>
              </w:rPr>
              <w:t>Balance Sheet</w:t>
            </w:r>
          </w:p>
        </w:tc>
        <w:tc>
          <w:tcPr>
            <w:tcW w:w="20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jc w:val="right"/>
              <w:ind w:right="524"/>
              <w:spacing w:after="0" w:line="114" w:lineRule="exact"/>
              <w:rPr>
                <w:sz w:val="20"/>
                <w:szCs w:val="20"/>
                <w:color w:val="auto"/>
              </w:rPr>
            </w:pPr>
            <w:r>
              <w:rPr>
                <w:rFonts w:ascii="Arial" w:cs="Arial" w:eastAsia="Arial" w:hAnsi="Arial"/>
                <w:sz w:val="10"/>
                <w:szCs w:val="10"/>
                <w:b w:val="1"/>
                <w:bCs w:val="1"/>
                <w:color w:val="auto"/>
              </w:rPr>
              <w:t>December 31, 2019</w:t>
            </w:r>
          </w:p>
        </w:tc>
        <w:tc>
          <w:tcPr>
            <w:tcW w:w="3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jc w:val="right"/>
              <w:ind w:right="524"/>
              <w:spacing w:after="0" w:line="114" w:lineRule="exact"/>
              <w:rPr>
                <w:sz w:val="20"/>
                <w:szCs w:val="20"/>
                <w:color w:val="auto"/>
              </w:rPr>
            </w:pPr>
            <w:r>
              <w:rPr>
                <w:rFonts w:ascii="Arial" w:cs="Arial" w:eastAsia="Arial" w:hAnsi="Arial"/>
                <w:sz w:val="10"/>
                <w:szCs w:val="10"/>
                <w:b w:val="1"/>
                <w:bCs w:val="1"/>
                <w:color w:val="auto"/>
              </w:rPr>
              <w:t>December 31, 2018</w:t>
            </w:r>
          </w:p>
        </w:tc>
        <w:tc>
          <w:tcPr>
            <w:tcW w:w="120" w:type="dxa"/>
            <w:vAlign w:val="bottom"/>
            <w:tcBorders>
              <w:bottom w:val="single" w:sz="8" w:color="CFF0FC"/>
            </w:tcBorders>
          </w:tcPr>
          <w:p>
            <w:pPr>
              <w:spacing w:after="0"/>
              <w:rPr>
                <w:sz w:val="9"/>
                <w:szCs w:val="9"/>
                <w:color w:val="auto"/>
              </w:rPr>
            </w:pPr>
          </w:p>
        </w:tc>
      </w:tr>
      <w:tr>
        <w:trPr>
          <w:trHeight w:val="142"/>
        </w:trPr>
        <w:tc>
          <w:tcPr>
            <w:tcW w:w="36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rate swaps</w:t>
            </w:r>
          </w:p>
        </w:tc>
        <w:tc>
          <w:tcPr>
            <w:tcW w:w="3400" w:type="dxa"/>
            <w:vAlign w:val="bottom"/>
            <w:gridSpan w:val="2"/>
            <w:shd w:val="clear" w:color="auto" w:fill="CFF0FC"/>
          </w:tcPr>
          <w:p>
            <w:pPr>
              <w:jc w:val="center"/>
              <w:ind w:right="200"/>
              <w:spacing w:after="0"/>
              <w:rPr>
                <w:sz w:val="20"/>
                <w:szCs w:val="20"/>
                <w:color w:val="auto"/>
              </w:rPr>
            </w:pPr>
            <w:r>
              <w:rPr>
                <w:rFonts w:ascii="Arial" w:cs="Arial" w:eastAsia="Arial" w:hAnsi="Arial"/>
                <w:sz w:val="12"/>
                <w:szCs w:val="12"/>
                <w:color w:val="auto"/>
                <w:w w:val="88"/>
              </w:rPr>
              <w:t>Derivative asset</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31,043</w:t>
            </w:r>
          </w:p>
        </w:tc>
        <w:tc>
          <w:tcPr>
            <w:tcW w:w="120" w:type="dxa"/>
            <w:vAlign w:val="bottom"/>
            <w:shd w:val="clear" w:color="auto" w:fill="CFF0FC"/>
          </w:tcPr>
          <w:p>
            <w:pPr>
              <w:spacing w:after="0"/>
              <w:rPr>
                <w:sz w:val="12"/>
                <w:szCs w:val="12"/>
                <w:color w:val="auto"/>
              </w:rPr>
            </w:pPr>
          </w:p>
        </w:tc>
      </w:tr>
      <w:tr>
        <w:trPr>
          <w:trHeight w:val="153"/>
        </w:trPr>
        <w:tc>
          <w:tcPr>
            <w:tcW w:w="3620" w:type="dxa"/>
            <w:vAlign w:val="bottom"/>
            <w:gridSpan w:val="2"/>
          </w:tcPr>
          <w:p>
            <w:pPr>
              <w:spacing w:after="0"/>
              <w:rPr>
                <w:sz w:val="20"/>
                <w:szCs w:val="20"/>
                <w:color w:val="auto"/>
              </w:rPr>
            </w:pPr>
            <w:r>
              <w:rPr>
                <w:rFonts w:ascii="Arial" w:cs="Arial" w:eastAsia="Arial" w:hAnsi="Arial"/>
                <w:sz w:val="12"/>
                <w:szCs w:val="12"/>
                <w:color w:val="auto"/>
              </w:rPr>
              <w:t>Interest rate swaps</w:t>
            </w:r>
          </w:p>
        </w:tc>
        <w:tc>
          <w:tcPr>
            <w:tcW w:w="340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Derivative liability</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23,679</w:t>
            </w:r>
          </w:p>
        </w:tc>
        <w:tc>
          <w:tcPr>
            <w:tcW w:w="3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bl>
    <w:p>
      <w:pPr>
        <w:spacing w:after="0" w:line="135"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As of December 31, 2019, all of the interest rate swaps were valued in net unrealized loss positions and recognized as a liability balance within the derivative liability on the Consolidated Balance Sheets. As of December 31, 2018, all of the interest rate swaps were valued in net unrealized gain positions and recognized as an asset balance within the derivative asset on the Consolidated Balance Sheets. For the years ended December 31, 2019, 2018 and 2017, the amount recorded in other comprehensive income related to the derivative instruments was $51.3 million unrealized loss, $21.6 million unrealized gain and $7.7 million unrealized gain, respectively. The amount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4" w:name="page105"/>
    <w:bookmarkEnd w:id="1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reclassified out of other comprehensive income into interest expense on our Consolidated Statement of Income for the years ended December 31, 2019, 2018 and 2017 was $3.3 million interest benefit, $2.6 million interest expense and $20.6 million interest expense, respectively. For the years ended December 31, 2019, 2018 and 2017, there were no ineffective portions of the change in fair value derivatives.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Amounts reported in accumulated other comprehensive income related to derivatives will be reclassified to interest expense as interest payments are made on our variable-rate debt.</w:t>
      </w:r>
    </w:p>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 xml:space="preserve">As </w:t>
      </w:r>
      <w:r>
        <w:rPr>
          <w:rFonts w:ascii="Arial" w:cs="Arial" w:eastAsia="Arial" w:hAnsi="Arial"/>
          <w:sz w:val="11"/>
          <w:szCs w:val="11"/>
          <w:color w:val="1F2322"/>
        </w:rPr>
        <w:t>result of the repayment of the Company’s term loan facility in February of 2020 (see Note 22), the Company entered into receive-fixed interest rate swaps (the “Replacement Swaps”) to offset its existing pay-fixed interest rate swaps</w:t>
      </w:r>
      <w:r>
        <w:rPr>
          <w:rFonts w:ascii="Arial" w:cs="Arial" w:eastAsia="Arial" w:hAnsi="Arial"/>
          <w:sz w:val="11"/>
          <w:szCs w:val="11"/>
          <w:color w:val="auto"/>
        </w:rPr>
        <w:t xml:space="preserve"> </w:t>
      </w:r>
      <w:r>
        <w:rPr>
          <w:rFonts w:ascii="Arial" w:cs="Arial" w:eastAsia="Arial" w:hAnsi="Arial"/>
          <w:sz w:val="11"/>
          <w:szCs w:val="11"/>
          <w:color w:val="1F2322"/>
        </w:rPr>
        <w:t xml:space="preserve">(the “Existing Swaps”) that were designated as cash flow hedges of interest payments initially associated with the term loan </w:t>
      </w:r>
      <w:r>
        <w:rPr>
          <w:rFonts w:ascii="Arial" w:cs="Arial" w:eastAsia="Arial" w:hAnsi="Arial"/>
          <w:sz w:val="11"/>
          <w:szCs w:val="11"/>
          <w:color w:val="000000"/>
        </w:rPr>
        <w:t>facility</w:t>
      </w:r>
      <w:r>
        <w:rPr>
          <w:rFonts w:ascii="Arial" w:cs="Arial" w:eastAsia="Arial" w:hAnsi="Arial"/>
          <w:sz w:val="11"/>
          <w:szCs w:val="11"/>
          <w:color w:val="1F2322"/>
        </w:rPr>
        <w:t>. On February 10, 2020, the Company discontinued hedge accounting on its Existing Swaps as the hedge accounting requirements were no longer met. Amounts in accumulated other comprehensive (loss) income associated with the Existing Swaps as of the date of dedesignation, will be reclassified to interest expense as the hedged interest payments impact earnings. The net effect of these offsetting interest rate swaps will result in a monthly cash outflow of approximately $1.1 million through October 2022.</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Exchangeable Notes Hedge Transactions</w:t>
      </w:r>
    </w:p>
    <w:p>
      <w:pPr>
        <w:spacing w:after="0" w:line="150" w:lineRule="exact"/>
        <w:rPr>
          <w:sz w:val="20"/>
          <w:szCs w:val="20"/>
          <w:color w:val="auto"/>
        </w:rPr>
      </w:pPr>
    </w:p>
    <w:p>
      <w:pPr>
        <w:ind w:right="40"/>
        <w:spacing w:after="0" w:line="281" w:lineRule="auto"/>
        <w:rPr>
          <w:rFonts w:ascii="Arial" w:cs="Arial" w:eastAsia="Arial" w:hAnsi="Arial"/>
          <w:sz w:val="11"/>
          <w:szCs w:val="11"/>
          <w:color w:val="auto"/>
        </w:rPr>
      </w:pPr>
      <w:r>
        <w:rPr>
          <w:rFonts w:ascii="Arial" w:cs="Arial" w:eastAsia="Arial" w:hAnsi="Arial"/>
          <w:sz w:val="11"/>
          <w:szCs w:val="11"/>
          <w:color w:val="auto"/>
        </w:rPr>
        <w:t>On June 25, 2019, concurrently with the pricing of the Exchangeable Notes (</w:t>
      </w:r>
      <w:hyperlink r:id="rId103">
        <w:r>
          <w:rPr>
            <w:rFonts w:ascii="Arial" w:cs="Arial" w:eastAsia="Arial" w:hAnsi="Arial"/>
            <w:sz w:val="11"/>
            <w:szCs w:val="11"/>
            <w:u w:val="single" w:color="auto"/>
            <w:color w:val="0000EE"/>
          </w:rPr>
          <w:t>see Note 10</w:t>
        </w:r>
      </w:hyperlink>
      <w:r>
        <w:rPr>
          <w:rFonts w:ascii="Arial" w:cs="Arial" w:eastAsia="Arial" w:hAnsi="Arial"/>
          <w:sz w:val="11"/>
          <w:szCs w:val="11"/>
          <w:color w:val="auto"/>
        </w:rPr>
        <w:t>), and on June 27, 2019, concurrently with the exercise by the Initial Purchasers (as defined below) of their option to purchase additional Exchangeable Notes, Uniti Fiber,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15"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Uniti Fiber used approximately $70.0 million of the net proceeds from the offering of the Exchangeable Notes to pay the cost of the Note Hedge Transactions. The Note Hedge Transactions meet certain accounting criteria under GAAP and are recorded in additional paid-in capital on our Consolidated Balance Sheets, are not accounted for as derivatives that are remeasured each reporting period.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Warrant Transactions</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The Warrants are separate transactions, entered into by the Company with the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Consolidated Balance Sheets, are not accounted for as derivatives that are remeasured each reporting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Goodwill and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Changes in the carrying amount of goodwill occurring during the year ended December 31, 2019 and 2018,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(Thousands)</w:t>
            </w: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0"/>
                <w:szCs w:val="10"/>
                <w:b w:val="1"/>
                <w:bCs w:val="1"/>
                <w:color w:val="auto"/>
                <w:w w:val="91"/>
              </w:rPr>
              <w:t>Fiber Infrastructure</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Total</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42"/>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at December 31, 2017</w:t>
            </w: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33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673,729</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673,729</w:t>
            </w:r>
          </w:p>
        </w:tc>
        <w:tc>
          <w:tcPr>
            <w:tcW w:w="120" w:type="dxa"/>
            <w:vAlign w:val="bottom"/>
            <w:shd w:val="clear" w:color="auto" w:fill="CFF0FC"/>
          </w:tcPr>
          <w:p>
            <w:pPr>
              <w:spacing w:after="0"/>
              <w:rPr>
                <w:sz w:val="12"/>
                <w:szCs w:val="12"/>
                <w:color w:val="auto"/>
              </w:rPr>
            </w:pP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Goodwill purchase accounting adjustments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7,446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7,446</w:t>
            </w:r>
          </w:p>
        </w:tc>
        <w:tc>
          <w:tcPr>
            <w:tcW w:w="120" w:type="dxa"/>
            <w:vAlign w:val="bottom"/>
          </w:tcPr>
          <w:p>
            <w:pPr>
              <w:spacing w:after="0"/>
              <w:rPr>
                <w:sz w:val="13"/>
                <w:szCs w:val="13"/>
                <w:color w:val="auto"/>
              </w:rPr>
            </w:pPr>
          </w:p>
        </w:tc>
      </w:tr>
      <w:tr>
        <w:trPr>
          <w:trHeight w:val="153"/>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associated with 2018 acquisitions</w:t>
            </w:r>
          </w:p>
        </w:tc>
        <w:tc>
          <w:tcPr>
            <w:tcW w:w="6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11,210</w:t>
            </w: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11,210</w:t>
            </w:r>
          </w:p>
        </w:tc>
        <w:tc>
          <w:tcPr>
            <w:tcW w:w="120" w:type="dxa"/>
            <w:vAlign w:val="bottom"/>
            <w:shd w:val="clear" w:color="auto" w:fill="CFF0FC"/>
          </w:tcPr>
          <w:p>
            <w:pPr>
              <w:spacing w:after="0"/>
              <w:rPr>
                <w:sz w:val="13"/>
                <w:szCs w:val="13"/>
                <w:color w:val="auto"/>
              </w:rPr>
            </w:pPr>
          </w:p>
        </w:tc>
      </w:tr>
      <w:tr>
        <w:trPr>
          <w:trHeight w:val="142"/>
        </w:trPr>
        <w:tc>
          <w:tcPr>
            <w:tcW w:w="3920" w:type="dxa"/>
            <w:vAlign w:val="bottom"/>
            <w:gridSpan w:val="2"/>
          </w:tcPr>
          <w:p>
            <w:pPr>
              <w:spacing w:after="0"/>
              <w:rPr>
                <w:sz w:val="20"/>
                <w:szCs w:val="20"/>
                <w:color w:val="auto"/>
              </w:rPr>
            </w:pPr>
            <w:r>
              <w:rPr>
                <w:rFonts w:ascii="Arial" w:cs="Arial" w:eastAsia="Arial" w:hAnsi="Arial"/>
                <w:sz w:val="12"/>
                <w:szCs w:val="12"/>
                <w:color w:val="auto"/>
              </w:rPr>
              <w:t>Goodwill at December 31, 2018</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692,385</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692,385</w:t>
            </w:r>
          </w:p>
        </w:tc>
        <w:tc>
          <w:tcPr>
            <w:tcW w:w="120" w:type="dxa"/>
            <w:vAlign w:val="bottom"/>
          </w:tcPr>
          <w:p>
            <w:pPr>
              <w:spacing w:after="0"/>
              <w:rPr>
                <w:sz w:val="12"/>
                <w:szCs w:val="12"/>
                <w:color w:val="auto"/>
              </w:rPr>
            </w:pPr>
          </w:p>
        </w:tc>
      </w:tr>
      <w:tr>
        <w:trPr>
          <w:trHeight w:val="153"/>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 purchase accounting adjustments</w:t>
            </w:r>
          </w:p>
        </w:tc>
        <w:tc>
          <w:tcPr>
            <w:tcW w:w="6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(1,269)</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(1,269)</w:t>
            </w: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Goodwill associated with 2019 acquisitions and dispositions, net</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2"/>
                <w:szCs w:val="12"/>
                <w:color w:val="auto"/>
              </w:rPr>
              <w:t>(444)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(444)</w:t>
            </w:r>
          </w:p>
        </w:tc>
      </w:tr>
      <w:tr>
        <w:trPr>
          <w:trHeight w:val="162"/>
        </w:trPr>
        <w:tc>
          <w:tcPr>
            <w:tcW w:w="3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Goodwill at December 31, 2019</w:t>
            </w:r>
          </w:p>
        </w:tc>
        <w:tc>
          <w:tcPr>
            <w:tcW w:w="620" w:type="dxa"/>
            <w:vAlign w:val="bottom"/>
            <w:tcBorders>
              <w:top w:val="single" w:sz="8" w:color="CFF0FC"/>
              <w:bottom w:val="single" w:sz="8" w:color="CFF0FC"/>
            </w:tcBorders>
            <w:shd w:val="clear" w:color="auto" w:fill="CFF0FC"/>
          </w:tcPr>
          <w:p>
            <w:pPr>
              <w:spacing w:after="0"/>
              <w:rPr>
                <w:sz w:val="14"/>
                <w:szCs w:val="14"/>
                <w:color w:val="auto"/>
              </w:rPr>
            </w:pPr>
          </w:p>
        </w:tc>
        <w:tc>
          <w:tcPr>
            <w:tcW w:w="4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94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44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690,672</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690,672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75"/>
        </w:trPr>
        <w:tc>
          <w:tcPr>
            <w:tcW w:w="3920" w:type="dxa"/>
            <w:vAlign w:val="bottom"/>
            <w:gridSpan w:val="2"/>
          </w:tcPr>
          <w:p>
            <w:pPr>
              <w:spacing w:after="0"/>
              <w:rPr>
                <w:sz w:val="20"/>
                <w:szCs w:val="20"/>
                <w:color w:val="auto"/>
              </w:rPr>
            </w:pPr>
            <w:r>
              <w:rPr>
                <w:rFonts w:ascii="Arial" w:cs="Arial" w:eastAsia="Arial" w:hAnsi="Arial"/>
                <w:sz w:val="12"/>
                <w:szCs w:val="12"/>
                <w:color w:val="auto"/>
              </w:rPr>
              <w:t>The carrying value of our other intangible assets is as follows:</w:t>
            </w: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06"/>
        </w:trPr>
        <w:tc>
          <w:tcPr>
            <w:tcW w:w="39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6"/>
              </w:rPr>
              <w:t>December 31, 2019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6"/>
              </w:rPr>
              <w:t>December 31, 2018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3"/>
        </w:trPr>
        <w:tc>
          <w:tcPr>
            <w:tcW w:w="3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gridSpan w:val="3"/>
          </w:tcPr>
          <w:p>
            <w:pPr>
              <w:jc w:val="center"/>
              <w:ind w:right="220"/>
              <w:spacing w:after="0" w:line="83" w:lineRule="exact"/>
              <w:rPr>
                <w:sz w:val="20"/>
                <w:szCs w:val="20"/>
                <w:color w:val="auto"/>
              </w:rPr>
            </w:pPr>
            <w:r>
              <w:rPr>
                <w:rFonts w:ascii="Arial" w:cs="Arial" w:eastAsia="Arial" w:hAnsi="Arial"/>
                <w:sz w:val="8"/>
                <w:szCs w:val="8"/>
                <w:b w:val="1"/>
                <w:bCs w:val="1"/>
                <w:color w:val="auto"/>
              </w:rPr>
              <w:t>Cumulative Translation</w:t>
            </w: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3"/>
          </w:tcPr>
          <w:p>
            <w:pPr>
              <w:jc w:val="right"/>
              <w:ind w:right="192"/>
              <w:spacing w:after="0" w:line="83"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5"/>
          </w:tcPr>
          <w:p>
            <w:pPr>
              <w:jc w:val="center"/>
              <w:ind w:right="140"/>
              <w:spacing w:after="0" w:line="83" w:lineRule="exact"/>
              <w:rPr>
                <w:sz w:val="20"/>
                <w:szCs w:val="20"/>
                <w:color w:val="auto"/>
              </w:rPr>
            </w:pPr>
            <w:r>
              <w:rPr>
                <w:rFonts w:ascii="Arial" w:cs="Arial" w:eastAsia="Arial" w:hAnsi="Arial"/>
                <w:sz w:val="8"/>
                <w:szCs w:val="8"/>
                <w:b w:val="1"/>
                <w:bCs w:val="1"/>
                <w:color w:val="auto"/>
              </w:rPr>
              <w:t>Cumulative Translation</w:t>
            </w: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jc w:val="right"/>
              <w:ind w:right="202"/>
              <w:spacing w:after="0" w:line="83" w:lineRule="exact"/>
              <w:rPr>
                <w:sz w:val="20"/>
                <w:szCs w:val="20"/>
                <w:color w:val="auto"/>
              </w:rPr>
            </w:pPr>
            <w:r>
              <w:rPr>
                <w:rFonts w:ascii="Arial" w:cs="Arial" w:eastAsia="Arial" w:hAnsi="Arial"/>
                <w:sz w:val="8"/>
                <w:szCs w:val="8"/>
                <w:b w:val="1"/>
                <w:bCs w:val="1"/>
                <w:color w:val="auto"/>
              </w:rPr>
              <w:t>Accumulated</w:t>
            </w:r>
          </w:p>
        </w:tc>
        <w:tc>
          <w:tcPr>
            <w:tcW w:w="120" w:type="dxa"/>
            <w:vAlign w:val="bottom"/>
          </w:tcPr>
          <w:p>
            <w:pPr>
              <w:spacing w:after="0"/>
              <w:rPr>
                <w:sz w:val="7"/>
                <w:szCs w:val="7"/>
                <w:color w:val="auto"/>
              </w:rPr>
            </w:pPr>
          </w:p>
        </w:tc>
      </w:tr>
      <w:tr>
        <w:trPr>
          <w:trHeight w:val="113"/>
        </w:trPr>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Cost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7"/>
              </w:rPr>
              <w:t>Adjustment</w:t>
            </w:r>
          </w:p>
        </w:tc>
        <w:tc>
          <w:tcPr>
            <w:tcW w:w="140" w:type="dxa"/>
            <w:vAlign w:val="bottom"/>
          </w:tcPr>
          <w:p>
            <w:pPr>
              <w:spacing w:after="0"/>
              <w:rPr>
                <w:sz w:val="9"/>
                <w:szCs w:val="9"/>
                <w:color w:val="auto"/>
              </w:rPr>
            </w:pPr>
          </w:p>
        </w:tc>
        <w:tc>
          <w:tcPr>
            <w:tcW w:w="960" w:type="dxa"/>
            <w:vAlign w:val="bottom"/>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rPr>
              <w:t>Amortization</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tcPr>
          <w:p>
            <w:pPr>
              <w:jc w:val="right"/>
              <w:ind w:right="640"/>
              <w:spacing w:after="0" w:line="114" w:lineRule="exact"/>
              <w:rPr>
                <w:sz w:val="20"/>
                <w:szCs w:val="20"/>
                <w:color w:val="auto"/>
              </w:rPr>
            </w:pPr>
            <w:r>
              <w:rPr>
                <w:rFonts w:ascii="Arial" w:cs="Arial" w:eastAsia="Arial" w:hAnsi="Arial"/>
                <w:sz w:val="10"/>
                <w:szCs w:val="10"/>
                <w:b w:val="1"/>
                <w:bCs w:val="1"/>
                <w:color w:val="auto"/>
              </w:rPr>
              <w:t>Cost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3"/>
          </w:tcPr>
          <w:p>
            <w:pPr>
              <w:jc w:val="center"/>
              <w:ind w:right="220"/>
              <w:spacing w:after="0" w:line="114" w:lineRule="exact"/>
              <w:rPr>
                <w:sz w:val="20"/>
                <w:szCs w:val="20"/>
                <w:color w:val="auto"/>
              </w:rPr>
            </w:pPr>
            <w:r>
              <w:rPr>
                <w:rFonts w:ascii="Arial" w:cs="Arial" w:eastAsia="Arial" w:hAnsi="Arial"/>
                <w:sz w:val="10"/>
                <w:szCs w:val="10"/>
                <w:b w:val="1"/>
                <w:bCs w:val="1"/>
                <w:color w:val="auto"/>
                <w:w w:val="87"/>
              </w:rPr>
              <w:t>Adjustment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91"/>
              </w:rPr>
              <w:t>Amortization</w:t>
            </w:r>
          </w:p>
        </w:tc>
      </w:tr>
      <w:tr>
        <w:trPr>
          <w:trHeight w:val="151"/>
        </w:trPr>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Indefinite life intangible assets:</w:t>
            </w:r>
          </w:p>
        </w:tc>
        <w:tc>
          <w:tcPr>
            <w:tcW w:w="62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Trade name</w:t>
            </w: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2,000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132"/>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2,000</w:t>
            </w:r>
          </w:p>
        </w:tc>
        <w:tc>
          <w:tcPr>
            <w:tcW w:w="220" w:type="dxa"/>
            <w:vAlign w:val="bottom"/>
          </w:tcPr>
          <w:p>
            <w:pPr>
              <w:spacing w:after="0"/>
              <w:rPr>
                <w:sz w:val="13"/>
                <w:szCs w:val="13"/>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1"/>
        </w:trPr>
        <w:tc>
          <w:tcPr>
            <w:tcW w:w="38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8"/>
        </w:trPr>
        <w:tc>
          <w:tcPr>
            <w:tcW w:w="3920" w:type="dxa"/>
            <w:vAlign w:val="bottom"/>
            <w:gridSpan w:val="2"/>
          </w:tcPr>
          <w:p>
            <w:pPr>
              <w:spacing w:after="0"/>
              <w:rPr>
                <w:sz w:val="20"/>
                <w:szCs w:val="20"/>
                <w:color w:val="auto"/>
              </w:rPr>
            </w:pPr>
            <w:r>
              <w:rPr>
                <w:rFonts w:ascii="Arial" w:cs="Arial" w:eastAsia="Arial" w:hAnsi="Arial"/>
                <w:sz w:val="12"/>
                <w:szCs w:val="12"/>
                <w:color w:val="auto"/>
              </w:rPr>
              <w:t>Finite life intangible assets: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Customer lists</w:t>
            </w:r>
          </w:p>
        </w:tc>
        <w:tc>
          <w:tcPr>
            <w:tcW w:w="6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450,603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(93,794)</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451,997</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(69,393)</w:t>
            </w: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In-place lease</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50,705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2"/>
                <w:szCs w:val="12"/>
                <w:color w:val="auto"/>
              </w:rPr>
              <w:t>(845)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Tenant contracts</w:t>
            </w:r>
          </w:p>
        </w:tc>
        <w:tc>
          <w:tcPr>
            <w:tcW w:w="6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37,386</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411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(3,293)</w:t>
            </w:r>
          </w:p>
        </w:tc>
      </w:tr>
      <w:tr>
        <w:trPr>
          <w:trHeight w:val="162"/>
        </w:trPr>
        <w:tc>
          <w:tcPr>
            <w:tcW w:w="3920" w:type="dxa"/>
            <w:vAlign w:val="bottom"/>
            <w:gridSpan w:val="2"/>
          </w:tcPr>
          <w:p>
            <w:pPr>
              <w:spacing w:after="0"/>
              <w:rPr>
                <w:sz w:val="20"/>
                <w:szCs w:val="20"/>
                <w:color w:val="auto"/>
              </w:rPr>
            </w:pPr>
            <w:r>
              <w:rPr>
                <w:rFonts w:ascii="Arial" w:cs="Arial" w:eastAsia="Arial" w:hAnsi="Arial"/>
                <w:sz w:val="12"/>
                <w:szCs w:val="12"/>
                <w:color w:val="auto"/>
              </w:rPr>
              <w:t>Network(1)</w:t>
            </w: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13,541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(1,192)</w:t>
            </w:r>
          </w:p>
        </w:tc>
      </w:tr>
      <w:tr>
        <w:trPr>
          <w:trHeight w:val="162"/>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Rights of Way</w:t>
            </w:r>
          </w:p>
        </w:tc>
        <w:tc>
          <w:tcPr>
            <w:tcW w:w="6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124,696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(1,386)</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Acquired below-market leases</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1,509</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(289)</w:t>
            </w:r>
          </w:p>
        </w:tc>
      </w:tr>
      <w:tr>
        <w:trPr>
          <w:trHeight w:val="151"/>
        </w:trPr>
        <w:tc>
          <w:tcPr>
            <w:tcW w:w="38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2"/>
                <w:szCs w:val="12"/>
                <w:color w:val="auto"/>
              </w:rPr>
              <w:t>Total intangible assets</w:t>
            </w: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628,004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506,988</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amortization</w:t>
            </w:r>
          </w:p>
        </w:tc>
        <w:tc>
          <w:tcPr>
            <w:tcW w:w="6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3"/>
              </w:rPr>
              <w:t>(96,025)</w:t>
            </w: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(74,167)</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8"/>
        </w:trPr>
        <w:tc>
          <w:tcPr>
            <w:tcW w:w="39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Total intangible assets, net</w:t>
            </w:r>
          </w:p>
        </w:tc>
        <w:tc>
          <w:tcPr>
            <w:tcW w:w="6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7"/>
              </w:rPr>
              <w:t>531,979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432,821</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62"/>
        </w:trPr>
        <w:tc>
          <w:tcPr>
            <w:tcW w:w="3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8"/>
        </w:trPr>
        <w:tc>
          <w:tcPr>
            <w:tcW w:w="3920" w:type="dxa"/>
            <w:vAlign w:val="bottom"/>
            <w:gridSpan w:val="2"/>
          </w:tcPr>
          <w:p>
            <w:pPr>
              <w:spacing w:after="0"/>
              <w:rPr>
                <w:sz w:val="20"/>
                <w:szCs w:val="20"/>
                <w:color w:val="auto"/>
              </w:rPr>
            </w:pPr>
            <w:r>
              <w:rPr>
                <w:rFonts w:ascii="Arial" w:cs="Arial" w:eastAsia="Arial" w:hAnsi="Arial"/>
                <w:sz w:val="12"/>
                <w:szCs w:val="12"/>
                <w:color w:val="auto"/>
              </w:rPr>
              <w:t>Finite life intangible liabilities: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6"/>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Acquired above-market leases</w:t>
            </w:r>
          </w:p>
        </w:tc>
        <w:tc>
          <w:tcPr>
            <w:tcW w:w="620" w:type="dxa"/>
            <w:vAlign w:val="bottom"/>
            <w:shd w:val="clear" w:color="auto" w:fill="CFF0FC"/>
          </w:tcPr>
          <w:p>
            <w:pPr>
              <w:jc w:val="right"/>
              <w:ind w:right="5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32"/>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3,440</w:t>
            </w:r>
          </w:p>
        </w:tc>
        <w:tc>
          <w:tcPr>
            <w:tcW w:w="22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(182)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(624)</w:t>
            </w:r>
          </w:p>
        </w:tc>
      </w:tr>
      <w:tr>
        <w:trPr>
          <w:trHeight w:val="151"/>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39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w:t>
            </w:r>
          </w:p>
        </w:tc>
        <w:tc>
          <w:tcPr>
            <w:tcW w:w="6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3,258</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2"/>
                <w:szCs w:val="12"/>
                <w:color w:val="auto"/>
              </w:rPr>
              <w:t>Less: Accumulated amortization</w:t>
            </w: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(624)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intangible liabilities, net</w:t>
            </w:r>
            <w:r>
              <w:rPr>
                <w:rFonts w:ascii="Arial" w:cs="Arial" w:eastAsia="Arial" w:hAnsi="Arial"/>
                <w:sz w:val="10"/>
                <w:szCs w:val="10"/>
                <w:color w:val="auto"/>
              </w:rPr>
              <w:t>(2)</w:t>
            </w:r>
          </w:p>
        </w:tc>
        <w:tc>
          <w:tcPr>
            <w:tcW w:w="620" w:type="dxa"/>
            <w:vAlign w:val="bottom"/>
            <w:tcBorders>
              <w:top w:val="single" w:sz="8" w:color="auto"/>
              <w:bottom w:val="single" w:sz="8" w:color="auto"/>
            </w:tcBorders>
            <w:shd w:val="clear" w:color="auto" w:fill="CFF0FC"/>
          </w:tcPr>
          <w:p>
            <w:pPr>
              <w:jc w:val="right"/>
              <w:ind w:right="51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94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4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2,634</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75"/>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382"/>
              <w:spacing w:after="0"/>
              <w:rPr>
                <w:sz w:val="20"/>
                <w:szCs w:val="20"/>
                <w:color w:val="auto"/>
              </w:rPr>
            </w:pPr>
            <w:r>
              <w:rPr>
                <w:rFonts w:ascii="Arial" w:cs="Arial" w:eastAsia="Arial" w:hAnsi="Arial"/>
                <w:sz w:val="12"/>
                <w:szCs w:val="12"/>
                <w:color w:val="auto"/>
              </w:rPr>
              <w:t>106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72"/>
        </w:trPr>
        <w:tc>
          <w:tcPr>
            <w:tcW w:w="3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6" w:name="page107"/>
    <w:bookmarkEnd w:id="106"/>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ind w:left="428" w:hanging="428"/>
        <w:spacing w:after="0"/>
        <w:tabs>
          <w:tab w:leader="none" w:pos="428" w:val="left"/>
        </w:tabs>
        <w:numPr>
          <w:ilvl w:val="0"/>
          <w:numId w:val="18"/>
        </w:numPr>
        <w:rPr>
          <w:rFonts w:ascii="Arial" w:cs="Arial" w:eastAsia="Arial" w:hAnsi="Arial"/>
          <w:sz w:val="10"/>
          <w:szCs w:val="10"/>
          <w:color w:val="auto"/>
        </w:rPr>
      </w:pPr>
      <w:r>
        <w:rPr>
          <w:rFonts w:ascii="Arial" w:cs="Arial" w:eastAsia="Arial" w:hAnsi="Arial"/>
          <w:sz w:val="12"/>
          <w:szCs w:val="12"/>
          <w:color w:val="auto"/>
        </w:rPr>
        <w:t>Reflects the potential to lease additional tower capacity on the existing towers due to their geographical location and capacity as of the valuation date.</w:t>
      </w:r>
    </w:p>
    <w:p>
      <w:pPr>
        <w:spacing w:after="0" w:line="294" w:lineRule="exact"/>
        <w:rPr>
          <w:rFonts w:ascii="Arial" w:cs="Arial" w:eastAsia="Arial" w:hAnsi="Arial"/>
          <w:sz w:val="10"/>
          <w:szCs w:val="10"/>
          <w:color w:val="auto"/>
        </w:rPr>
      </w:pPr>
    </w:p>
    <w:p>
      <w:pPr>
        <w:ind w:left="428" w:hanging="428"/>
        <w:spacing w:after="0"/>
        <w:tabs>
          <w:tab w:leader="none" w:pos="428" w:val="left"/>
        </w:tabs>
        <w:numPr>
          <w:ilvl w:val="0"/>
          <w:numId w:val="18"/>
        </w:numPr>
        <w:rPr>
          <w:rFonts w:ascii="Arial" w:cs="Arial" w:eastAsia="Arial" w:hAnsi="Arial"/>
          <w:sz w:val="10"/>
          <w:szCs w:val="10"/>
          <w:color w:val="auto"/>
        </w:rPr>
      </w:pPr>
      <w:r>
        <w:rPr>
          <w:rFonts w:ascii="Arial" w:cs="Arial" w:eastAsia="Arial" w:hAnsi="Arial"/>
          <w:sz w:val="12"/>
          <w:szCs w:val="12"/>
          <w:color w:val="auto"/>
        </w:rPr>
        <w:t>Recorded in accounts payable, accrued expenses and other liabilities, net on the Consolidated Balance Sheet.</w:t>
      </w:r>
    </w:p>
    <w:p>
      <w:pPr>
        <w:spacing w:after="0" w:line="150"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Company has commenced a wind down of our Consumer CLEC Business, estimated to be completed during the second quarter of 2020. As such, we have accelerated the amortization of the related customer list intangible asset. As of December 31, 2019, the CLEC customer list intangible list asset had a carrying value of $0.8 million.</w:t>
      </w:r>
    </w:p>
    <w:p>
      <w:pPr>
        <w:spacing w:after="0" w:line="115" w:lineRule="exact"/>
        <w:rPr>
          <w:sz w:val="20"/>
          <w:szCs w:val="20"/>
          <w:color w:val="auto"/>
        </w:rPr>
      </w:pPr>
    </w:p>
    <w:p>
      <w:pPr>
        <w:ind w:left="8" w:right="40"/>
        <w:spacing w:after="0" w:line="323" w:lineRule="auto"/>
        <w:rPr>
          <w:sz w:val="20"/>
          <w:szCs w:val="20"/>
          <w:color w:val="auto"/>
        </w:rPr>
      </w:pPr>
      <w:r>
        <w:rPr>
          <w:rFonts w:ascii="Arial" w:cs="Arial" w:eastAsia="Arial" w:hAnsi="Arial"/>
          <w:sz w:val="11"/>
          <w:szCs w:val="11"/>
          <w:color w:val="auto"/>
        </w:rPr>
        <w:t>As of December 31, 2019, the remaining weighted average amortization period of the Company’s intangible assets was 20.4 years. Amortization expense for the years ended December 31, 2019, 2018 and 2017 was $27.2 million, $25.5 million and $18.3 million, respectively. Amortization expense is estimated to be $31.4 million in 2020, $30.6 million in 2021, $29.6 million in 2022, $29.5 million in 2023 and $29.5 million in 2024.</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11. Notes and Other Debt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Notes and other debt is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166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0"/>
                <w:szCs w:val="10"/>
                <w:b w:val="1"/>
                <w:bCs w:val="1"/>
                <w:color w:val="auto"/>
              </w:rPr>
              <w:t>December 31, 2019</w:t>
            </w:r>
          </w:p>
        </w:tc>
        <w:tc>
          <w:tcPr>
            <w:tcW w:w="3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0"/>
                <w:szCs w:val="10"/>
                <w:b w:val="1"/>
                <w:bCs w:val="1"/>
                <w:color w:val="auto"/>
              </w:rPr>
              <w:t>December 31, 2018</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700" w:type="dxa"/>
            <w:vAlign w:val="bottom"/>
            <w:shd w:val="clear" w:color="auto" w:fill="CFF0FC"/>
          </w:tcPr>
          <w:p>
            <w:pPr>
              <w:spacing w:after="0"/>
              <w:rPr>
                <w:sz w:val="20"/>
                <w:szCs w:val="20"/>
                <w:color w:val="auto"/>
              </w:rPr>
            </w:pPr>
            <w:r>
              <w:rPr>
                <w:rFonts w:ascii="Arial" w:cs="Arial" w:eastAsia="Arial" w:hAnsi="Arial"/>
                <w:sz w:val="12"/>
                <w:szCs w:val="12"/>
                <w:color w:val="auto"/>
              </w:rPr>
              <w:t>Principal amount</w:t>
            </w: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5,224,747</w:t>
            </w:r>
          </w:p>
        </w:tc>
        <w:tc>
          <w:tcPr>
            <w:tcW w:w="52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4,965,808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2"/>
                <w:szCs w:val="12"/>
                <w:color w:val="auto"/>
              </w:rPr>
              <w:t>Less unamortized discount, premium and debt issuance costs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2"/>
                <w:szCs w:val="12"/>
                <w:color w:val="auto"/>
              </w:rPr>
              <w:t>(207,068)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(119,575)</w:t>
            </w:r>
          </w:p>
        </w:tc>
        <w:tc>
          <w:tcPr>
            <w:tcW w:w="0" w:type="dxa"/>
            <w:vAlign w:val="bottom"/>
          </w:tcPr>
          <w:p>
            <w:pPr>
              <w:spacing w:after="0"/>
              <w:rPr>
                <w:sz w:val="1"/>
                <w:szCs w:val="1"/>
                <w:color w:val="auto"/>
              </w:rPr>
            </w:pPr>
          </w:p>
        </w:tc>
      </w:tr>
      <w:tr>
        <w:trPr>
          <w:trHeight w:val="171"/>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Notes and other debt less unamortized discount and debt issuance costs</w:t>
            </w:r>
          </w:p>
        </w:tc>
        <w:tc>
          <w:tcPr>
            <w:tcW w:w="9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0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8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5,017,679</w:t>
            </w: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4,846,233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4700" w:type="dxa"/>
            <w:vAlign w:val="bottom"/>
          </w:tcPr>
          <w:p>
            <w:pPr>
              <w:spacing w:after="0"/>
              <w:rPr>
                <w:sz w:val="20"/>
                <w:szCs w:val="20"/>
                <w:color w:val="auto"/>
              </w:rPr>
            </w:pPr>
            <w:r>
              <w:rPr>
                <w:rFonts w:ascii="Arial" w:cs="Arial" w:eastAsia="Arial" w:hAnsi="Arial"/>
                <w:sz w:val="12"/>
                <w:szCs w:val="12"/>
                <w:color w:val="auto"/>
              </w:rPr>
              <w:t>Notes and other debt at December 31, 2019 and 2018 consisted of the following:</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7"/>
          </w:tcPr>
          <w:p>
            <w:pPr>
              <w:jc w:val="right"/>
              <w:ind w:right="1180"/>
              <w:spacing w:after="0"/>
              <w:rPr>
                <w:sz w:val="20"/>
                <w:szCs w:val="20"/>
                <w:color w:val="auto"/>
              </w:rPr>
            </w:pPr>
            <w:r>
              <w:rPr>
                <w:rFonts w:ascii="Arial" w:cs="Arial" w:eastAsia="Arial" w:hAnsi="Arial"/>
                <w:sz w:val="10"/>
                <w:szCs w:val="10"/>
                <w:b w:val="1"/>
                <w:bCs w:val="1"/>
                <w:color w:val="auto"/>
              </w:rPr>
              <w:t>December 31, 2019</w:t>
            </w:r>
          </w:p>
        </w:tc>
        <w:tc>
          <w:tcPr>
            <w:tcW w:w="620" w:type="dxa"/>
            <w:vAlign w:val="bottom"/>
          </w:tcPr>
          <w:p>
            <w:pPr>
              <w:spacing w:after="0"/>
              <w:rPr>
                <w:sz w:val="24"/>
                <w:szCs w:val="24"/>
                <w:color w:val="auto"/>
              </w:rPr>
            </w:pPr>
          </w:p>
        </w:tc>
        <w:tc>
          <w:tcPr>
            <w:tcW w:w="2020" w:type="dxa"/>
            <w:vAlign w:val="bottom"/>
            <w:gridSpan w:val="6"/>
          </w:tcPr>
          <w:p>
            <w:pPr>
              <w:jc w:val="right"/>
              <w:ind w:right="1000"/>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83"/>
        </w:trPr>
        <w:tc>
          <w:tcPr>
            <w:tcW w:w="4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3"/>
          </w:tcPr>
          <w:p>
            <w:pPr>
              <w:jc w:val="center"/>
              <w:ind w:right="52"/>
              <w:spacing w:after="0" w:line="83" w:lineRule="exact"/>
              <w:rPr>
                <w:sz w:val="20"/>
                <w:szCs w:val="20"/>
                <w:color w:val="auto"/>
              </w:rPr>
            </w:pPr>
            <w:r>
              <w:rPr>
                <w:rFonts w:ascii="Arial" w:cs="Arial" w:eastAsia="Arial" w:hAnsi="Arial"/>
                <w:sz w:val="8"/>
                <w:szCs w:val="8"/>
                <w:b w:val="1"/>
                <w:bCs w:val="1"/>
                <w:color w:val="auto"/>
              </w:rPr>
              <w:t>Unamortized Discount,</w:t>
            </w:r>
          </w:p>
        </w:tc>
        <w:tc>
          <w:tcPr>
            <w:tcW w:w="2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jc w:val="center"/>
              <w:ind w:right="23"/>
              <w:spacing w:after="0" w:line="83" w:lineRule="exact"/>
              <w:rPr>
                <w:sz w:val="20"/>
                <w:szCs w:val="20"/>
                <w:color w:val="auto"/>
              </w:rPr>
            </w:pPr>
            <w:r>
              <w:rPr>
                <w:rFonts w:ascii="Arial" w:cs="Arial" w:eastAsia="Arial" w:hAnsi="Arial"/>
                <w:sz w:val="8"/>
                <w:szCs w:val="8"/>
                <w:b w:val="1"/>
                <w:bCs w:val="1"/>
                <w:color w:val="auto"/>
              </w:rPr>
              <w:t>Unamortized Discount,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gridSpan w:val="5"/>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Premium and Debt Issuance</w:t>
            </w: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Premium and Debt</w:t>
            </w:r>
          </w:p>
        </w:tc>
        <w:tc>
          <w:tcPr>
            <w:tcW w:w="0" w:type="dxa"/>
            <w:vAlign w:val="bottom"/>
          </w:tcPr>
          <w:p>
            <w:pPr>
              <w:spacing w:after="0"/>
              <w:rPr>
                <w:sz w:val="1"/>
                <w:szCs w:val="1"/>
                <w:color w:val="auto"/>
              </w:rPr>
            </w:pPr>
          </w:p>
        </w:tc>
      </w:tr>
      <w:tr>
        <w:trPr>
          <w:trHeight w:val="113"/>
        </w:trPr>
        <w:tc>
          <w:tcPr>
            <w:tcW w:w="4700" w:type="dxa"/>
            <w:vAlign w:val="bottom"/>
          </w:tcPr>
          <w:p>
            <w:pPr>
              <w:spacing w:after="0" w:line="114" w:lineRule="exact"/>
              <w:rPr>
                <w:sz w:val="20"/>
                <w:szCs w:val="20"/>
                <w:color w:val="auto"/>
              </w:rPr>
            </w:pPr>
            <w:r>
              <w:rPr>
                <w:rFonts w:ascii="Arial" w:cs="Arial" w:eastAsia="Arial" w:hAnsi="Arial"/>
                <w:sz w:val="10"/>
                <w:szCs w:val="10"/>
                <w:color w:val="auto"/>
              </w:rPr>
              <w:t>(Thousands)</w:t>
            </w: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Principal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620"/>
              <w:spacing w:after="0" w:line="114" w:lineRule="exact"/>
              <w:rPr>
                <w:sz w:val="20"/>
                <w:szCs w:val="20"/>
                <w:color w:val="auto"/>
              </w:rPr>
            </w:pPr>
            <w:r>
              <w:rPr>
                <w:rFonts w:ascii="Arial" w:cs="Arial" w:eastAsia="Arial" w:hAnsi="Arial"/>
                <w:sz w:val="10"/>
                <w:szCs w:val="10"/>
                <w:b w:val="1"/>
                <w:bCs w:val="1"/>
                <w:color w:val="auto"/>
                <w:w w:val="79"/>
              </w:rPr>
              <w:t>Costs</w:t>
            </w:r>
          </w:p>
        </w:tc>
        <w:tc>
          <w:tcPr>
            <w:tcW w:w="1140" w:type="dxa"/>
            <w:vAlign w:val="bottom"/>
            <w:gridSpan w:val="3"/>
          </w:tcPr>
          <w:p>
            <w:pPr>
              <w:jc w:val="right"/>
              <w:ind w:right="332"/>
              <w:spacing w:after="0" w:line="114" w:lineRule="exact"/>
              <w:rPr>
                <w:sz w:val="20"/>
                <w:szCs w:val="20"/>
                <w:color w:val="auto"/>
              </w:rPr>
            </w:pPr>
            <w:r>
              <w:rPr>
                <w:rFonts w:ascii="Arial" w:cs="Arial" w:eastAsia="Arial" w:hAnsi="Arial"/>
                <w:sz w:val="10"/>
                <w:szCs w:val="10"/>
                <w:b w:val="1"/>
                <w:bCs w:val="1"/>
                <w:color w:val="auto"/>
              </w:rPr>
              <w:t>Principal</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1"/>
              </w:rPr>
              <w:t>Issuance Costs</w:t>
            </w:r>
          </w:p>
        </w:tc>
        <w:tc>
          <w:tcPr>
            <w:tcW w:w="0" w:type="dxa"/>
            <w:vAlign w:val="bottom"/>
          </w:tcPr>
          <w:p>
            <w:pPr>
              <w:spacing w:after="0"/>
              <w:rPr>
                <w:sz w:val="1"/>
                <w:szCs w:val="1"/>
                <w:color w:val="auto"/>
              </w:rPr>
            </w:pPr>
          </w:p>
        </w:tc>
      </w:tr>
      <w:tr>
        <w:trPr>
          <w:trHeight w:val="133"/>
        </w:trPr>
        <w:tc>
          <w:tcPr>
            <w:tcW w:w="4700" w:type="dxa"/>
            <w:vAlign w:val="bottom"/>
            <w:tcBorders>
              <w:top w:val="single" w:sz="8" w:color="auto"/>
            </w:tcBorders>
            <w:shd w:val="clear" w:color="auto" w:fill="CFF0FC"/>
          </w:tcPr>
          <w:p>
            <w:pPr>
              <w:spacing w:after="0" w:line="133" w:lineRule="exact"/>
              <w:rPr>
                <w:sz w:val="20"/>
                <w:szCs w:val="20"/>
                <w:color w:val="auto"/>
              </w:rPr>
            </w:pPr>
            <w:r>
              <w:rPr>
                <w:rFonts w:ascii="Arial" w:cs="Arial" w:eastAsia="Arial" w:hAnsi="Arial"/>
                <w:sz w:val="12"/>
                <w:szCs w:val="12"/>
                <w:color w:val="auto"/>
              </w:rPr>
              <w:t>Senior secured term loan B - variable rate, due October 24, 2022</w:t>
            </w: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00" w:type="dxa"/>
            <w:vAlign w:val="bottom"/>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5.66%)</w:t>
            </w:r>
          </w:p>
        </w:tc>
        <w:tc>
          <w:tcPr>
            <w:tcW w:w="1320" w:type="dxa"/>
            <w:vAlign w:val="bottom"/>
            <w:gridSpan w:val="3"/>
            <w:shd w:val="clear" w:color="auto" w:fill="CFF0FC"/>
          </w:tcPr>
          <w:p>
            <w:pPr>
              <w:jc w:val="right"/>
              <w:ind w:right="13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2,044,728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(74,523)</w:t>
            </w:r>
          </w:p>
        </w:tc>
        <w:tc>
          <w:tcPr>
            <w:tcW w:w="620" w:type="dxa"/>
            <w:vAlign w:val="bottom"/>
            <w:shd w:val="clear" w:color="auto" w:fill="CFF0FC"/>
          </w:tcPr>
          <w:p>
            <w:pPr>
              <w:jc w:val="right"/>
              <w:ind w:right="50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2,065,808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(70,337)</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20"/>
                <w:szCs w:val="20"/>
                <w:color w:val="auto"/>
              </w:rPr>
            </w:pPr>
            <w:r>
              <w:rPr>
                <w:rFonts w:ascii="Arial" w:cs="Arial" w:eastAsia="Arial" w:hAnsi="Arial"/>
                <w:sz w:val="12"/>
                <w:szCs w:val="12"/>
                <w:color w:val="auto"/>
              </w:rPr>
              <w:t>Senior secured notes - 6.00%, due April 15, 2023</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(discount is based on imputed interest rate of 6.49%)</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550,000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2"/>
                <w:szCs w:val="12"/>
                <w:color w:val="auto"/>
              </w:rPr>
              <w:t>(5,633)</w:t>
            </w:r>
          </w:p>
        </w:tc>
        <w:tc>
          <w:tcPr>
            <w:tcW w:w="6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550,000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(7,116)</w:t>
            </w:r>
          </w:p>
        </w:tc>
        <w:tc>
          <w:tcPr>
            <w:tcW w:w="0" w:type="dxa"/>
            <w:vAlign w:val="bottom"/>
          </w:tcPr>
          <w:p>
            <w:pPr>
              <w:spacing w:after="0"/>
              <w:rPr>
                <w:sz w:val="1"/>
                <w:szCs w:val="1"/>
                <w:color w:val="auto"/>
              </w:rPr>
            </w:pPr>
          </w:p>
        </w:tc>
      </w:tr>
      <w:tr>
        <w:trPr>
          <w:trHeight w:val="144"/>
        </w:trPr>
        <w:tc>
          <w:tcPr>
            <w:tcW w:w="4700" w:type="dxa"/>
            <w:vAlign w:val="bottom"/>
            <w:shd w:val="clear" w:color="auto" w:fill="CFF0FC"/>
          </w:tcPr>
          <w:p>
            <w:pPr>
              <w:spacing w:after="0"/>
              <w:rPr>
                <w:sz w:val="20"/>
                <w:szCs w:val="20"/>
                <w:color w:val="auto"/>
              </w:rPr>
            </w:pPr>
            <w:r>
              <w:rPr>
                <w:rFonts w:ascii="Arial" w:cs="Arial" w:eastAsia="Arial" w:hAnsi="Arial"/>
                <w:sz w:val="12"/>
                <w:szCs w:val="12"/>
                <w:color w:val="auto"/>
              </w:rPr>
              <w:t>Senior unsecured notes - 8.25%, due October 15, 2023</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9.06%)</w:t>
            </w: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1,110,000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(28,808)</w:t>
            </w:r>
          </w:p>
        </w:tc>
        <w:tc>
          <w:tcPr>
            <w:tcW w:w="6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1,110,000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(34,900)</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20"/>
                <w:szCs w:val="20"/>
                <w:color w:val="auto"/>
              </w:rPr>
            </w:pPr>
            <w:r>
              <w:rPr>
                <w:rFonts w:ascii="Arial" w:cs="Arial" w:eastAsia="Arial" w:hAnsi="Arial"/>
                <w:sz w:val="12"/>
                <w:szCs w:val="12"/>
                <w:color w:val="auto"/>
              </w:rPr>
              <w:t>Senior unsecured notes - 7.125%, due December 15, 2024</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(discount is based on imputed interest rate of 7.38%)</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2"/>
                <w:szCs w:val="12"/>
                <w:color w:val="auto"/>
              </w:rPr>
              <w:t>(6,304)</w:t>
            </w:r>
          </w:p>
        </w:tc>
        <w:tc>
          <w:tcPr>
            <w:tcW w:w="6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600,000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(7,222)</w:t>
            </w:r>
          </w:p>
        </w:tc>
        <w:tc>
          <w:tcPr>
            <w:tcW w:w="0" w:type="dxa"/>
            <w:vAlign w:val="bottom"/>
          </w:tcPr>
          <w:p>
            <w:pPr>
              <w:spacing w:after="0"/>
              <w:rPr>
                <w:sz w:val="1"/>
                <w:szCs w:val="1"/>
                <w:color w:val="auto"/>
              </w:rPr>
            </w:pPr>
          </w:p>
        </w:tc>
      </w:tr>
      <w:tr>
        <w:trPr>
          <w:trHeight w:val="144"/>
        </w:trPr>
        <w:tc>
          <w:tcPr>
            <w:tcW w:w="4700" w:type="dxa"/>
            <w:vAlign w:val="bottom"/>
            <w:shd w:val="clear" w:color="auto" w:fill="CFF0FC"/>
          </w:tcPr>
          <w:p>
            <w:pPr>
              <w:spacing w:after="0"/>
              <w:rPr>
                <w:sz w:val="20"/>
                <w:szCs w:val="20"/>
                <w:color w:val="auto"/>
              </w:rPr>
            </w:pPr>
            <w:r>
              <w:rPr>
                <w:rFonts w:ascii="Arial" w:cs="Arial" w:eastAsia="Arial" w:hAnsi="Arial"/>
                <w:sz w:val="12"/>
                <w:szCs w:val="12"/>
                <w:color w:val="auto"/>
              </w:rPr>
              <w:t>Exchangeable senior unsecured notes - 4.00%, due June 15, 2024</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shd w:val="clear" w:color="auto" w:fill="CFF0FC"/>
          </w:tcPr>
          <w:p>
            <w:pPr>
              <w:spacing w:after="0"/>
              <w:rPr>
                <w:sz w:val="20"/>
                <w:szCs w:val="20"/>
                <w:color w:val="auto"/>
              </w:rPr>
            </w:pPr>
            <w:r>
              <w:rPr>
                <w:rFonts w:ascii="Arial" w:cs="Arial" w:eastAsia="Arial" w:hAnsi="Arial"/>
                <w:sz w:val="12"/>
                <w:szCs w:val="12"/>
                <w:color w:val="auto"/>
              </w:rPr>
              <w:t>(discount is based on imputed interest rate of 11.1%)</w:t>
            </w: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(85,272)</w:t>
            </w:r>
          </w:p>
        </w:tc>
        <w:tc>
          <w:tcPr>
            <w:tcW w:w="6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2"/>
                <w:szCs w:val="12"/>
                <w:color w:val="auto"/>
              </w:rPr>
              <w:t>Senior secured revolving credit facility, variable rate, due April 24, 2022</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575,019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2"/>
                <w:szCs w:val="12"/>
                <w:color w:val="auto"/>
              </w:rPr>
              <w:t>(6,528)</w:t>
            </w:r>
          </w:p>
        </w:tc>
        <w:tc>
          <w:tcPr>
            <w:tcW w:w="6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640,000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vMerge w:val="continue"/>
            <w:shd w:val="clear" w:color="auto" w:fill="CFF0FC"/>
          </w:tcPr>
          <w:p>
            <w:pPr>
              <w:spacing w:after="0"/>
              <w:rPr>
                <w:sz w:val="14"/>
                <w:szCs w:val="14"/>
                <w:color w:val="auto"/>
              </w:rPr>
            </w:pPr>
          </w:p>
        </w:tc>
        <w:tc>
          <w:tcPr>
            <w:tcW w:w="1080" w:type="dxa"/>
            <w:vAlign w:val="bottom"/>
            <w:gridSpan w:val="2"/>
            <w:shd w:val="clear" w:color="auto" w:fill="CFF0FC"/>
          </w:tcPr>
          <w:p>
            <w:pPr>
              <w:spacing w:after="0"/>
              <w:rPr>
                <w:sz w:val="14"/>
                <w:szCs w:val="14"/>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5,224,747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2"/>
                <w:szCs w:val="12"/>
                <w:color w:val="auto"/>
              </w:rPr>
              <w:t>(207,068)</w:t>
            </w:r>
          </w:p>
        </w:tc>
        <w:tc>
          <w:tcPr>
            <w:tcW w:w="620" w:type="dxa"/>
            <w:vAlign w:val="bottom"/>
            <w:shd w:val="clear" w:color="auto" w:fill="CFF0FC"/>
          </w:tcPr>
          <w:p>
            <w:pPr>
              <w:jc w:val="right"/>
              <w:ind w:right="50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4,965,808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(119,575)</w:t>
            </w:r>
          </w:p>
        </w:tc>
        <w:tc>
          <w:tcPr>
            <w:tcW w:w="0" w:type="dxa"/>
            <w:vAlign w:val="bottom"/>
          </w:tcPr>
          <w:p>
            <w:pPr>
              <w:spacing w:after="0"/>
              <w:rPr>
                <w:sz w:val="1"/>
                <w:szCs w:val="1"/>
                <w:color w:val="auto"/>
              </w:rPr>
            </w:pPr>
          </w:p>
        </w:tc>
      </w:tr>
      <w:tr>
        <w:trPr>
          <w:trHeight w:val="419"/>
        </w:trPr>
        <w:tc>
          <w:tcPr>
            <w:tcW w:w="470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2"/>
                <w:szCs w:val="12"/>
                <w:color w:val="auto"/>
              </w:rPr>
              <w:t>107</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7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07" w:name="page108"/>
    <w:bookmarkEnd w:id="1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At December 31, 2019, notes and other debt included the following: (i) $2.05 billion under the senior secured term loan B facility that matures on October 24, 2022 (“Term Loan Facility”) pursuant to the credit agreement by and among the Borrowers (as defined below), the guarantors and lenders party thereto and Bank of America, N.A., as administrative agent and collateral agent (the “Credit Agreement”); (ii) $550.0 million aggregate principal amount of 6.00% Senior Secured Notes due April 15, 2023 (the “2023 Secured Notes”); (iii) $1.11 billion aggregate principal amount of 8.25% Senior Unsecured Notes due October 15, 2023 (the “2023 Notes”); (iv) $600.0 million aggregate principal amount of 7.125% Senior Unsecured Notes due December 15, 2024 (the “2024 Notes”); (v) $345 million aggregate principal amount of 4.00% Exchangeable Senior Notes due June 15, 2024 (the “Exchangeable Notes”) and $575 million under the senior secured revolving credit facility, variable rate, that matures April 24, 2022 pursuant to the Credit Agreement (the “Revolving Credit Facility” and, together with the Term Loan Facility, the “Facilities”). On February 10, 2020, the Operating Partnership and certain of its wholly-owned subsidiaries issued $2.25 billion aggregate principal amount of 7.875% senior secured notes due 2025 (the “2025 Secured Notes”) and used the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Credit Agreement</w:t>
      </w:r>
    </w:p>
    <w:p>
      <w:pPr>
        <w:spacing w:after="0" w:line="150"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Uniti Group LP, Uniti Group Finance 2019 Inc. and CSL Capital, LLC (the “Borrowers”) are party to the Credit Agreement, which as of December 31, 2019, provided for the Term Loan Facility (in an initial principal amount of $2.14 billion) and the Revolving Credit Facility (in an aggregate principal amount of up to $750 million). On February 10, 2020, in connection with the issuance of the 2025 Secured Notes and the effectiveness of the Sixth Amendment described below, the Borrowers repaid all $2.05 billion of outstanding term loans and repaid approximately $156.7 million of revolving loans (and terminated related commitments in an amount equal to $157.6 million). See Note 22.</w:t>
      </w:r>
    </w:p>
    <w:p>
      <w:pPr>
        <w:spacing w:after="0" w:line="10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Revolving Credit Facility presently bears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1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2019, the Borrowers were in compliance with all of the covenants under the Credit Agreement. However, we would be in breach of the requirement to deliver audited financial statements without a going concern opinion if we are unable to provide 2019 audited financial statements without a going concern opinion to lenders under our Credit Agreement by March 30, 2020.</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A termination of the Master Lease would result in an “event of default” under the Credit Agreement if a replacement lease was not entered into within ninety (90) calendar days and we do not maintain pro forma compliance with a consolidated secured leverage ratio, as defined in the Credit Agreement, of 5.00 to 1.00.</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8" w:name="page109"/>
    <w:bookmarkEnd w:id="1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the Fourth Amendment generally limits our ability under the Credit Agreement to (i) prepay unsecured indebtedness and (ii) pay cash dividends in excess of 90% of our REIT taxable income, determined without regard to the dividends paid deduction and excluding any net capital gains.</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On June 24, 2019, we entered into an amendment (the “Fifth Amendment”) to our Credit Agreement to extend the maturity date of $575.9 million of commitments under the Revolving Credit Facility to April 24, 2022 and to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below to fund the repayments.</w:t>
      </w:r>
    </w:p>
    <w:p>
      <w:pPr>
        <w:spacing w:after="0" w:line="128"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an amendment (the “Sixth Amendment”) to our Credit Agreement. In addition to the restrictions imposed by the Fourth Amendment discussed above,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 See Note 22.</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The Notes</w:t>
      </w:r>
    </w:p>
    <w:p>
      <w:pPr>
        <w:spacing w:after="0" w:line="150"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The Borrowers, as co-issuers, have outstanding $550 million aggregate principal amount of the 2023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2023 Secured Notes and the 2023 Notes are guaranteed by the Company and the Subsidiary Guarantors.</w:t>
      </w:r>
    </w:p>
    <w:p>
      <w:pPr>
        <w:spacing w:after="0" w:line="105"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The Operating Partnership and its wholly-owned subsidiaries, CSL Capital, LLC and Uniti Fiber,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105"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On February 10, 2020, the Operating Partnership, CSL Capital, LLC, Uniti Group Finance 2019 Inc. and Uniti Fiber, as co-issuers, issued $2.25 billion aggregate principal amount of the 2025 Secured Notes at an issue price of 100% of par value. See Note 22.</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The Exchangeable Notes</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June 28, 2019, Uniti Fiber, a subsidiary of the Company, issued $345 million aggregate principal amount of the Exchangeable Notes. The Exchangeable Notes are senior unsecured notes and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9" w:name="page110"/>
    <w:bookmarkEnd w:id="1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exchangeable into cash, shares of the Company’s common stock, or a combination thereof, at Uniti Fiber’s election, subject to limitations under the Company's Credit Agreement. The Exchangeable Notes will mature on June 15, 2024, unless earlier exchanged, redeemed or repurchased.</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Uniti Fiber issued the Exchangeable Notes pursuant to an indenture, dated as of June 28, 2019 (the “Indenture”), among Uniti Fiber, the Company, the other guarantors party thereto and Deutsche Bank Trust Company Americas, as trustee. Prior to the close of business on the business day immediately preceding March 15, 2024, the Exchangeable Notes are exchangeable only upon satisfaction of certain conditions and during certain periods described in the Indenture, and thereafter, the Exchangeable Notes are exchangeable at any time until the close of business on the second scheduled trading day immediately preceding the maturity date. The Exchangeable Notes are exchangeable on the terms set forth in the Indenture into cash, shares of the Company’s common stock, or a combination thereof, at Uniti Fiber’s election, subject to limitations under the Company's Credit Agreement. The exchange rate is</w:t>
      </w:r>
    </w:p>
    <w:p>
      <w:pPr>
        <w:spacing w:after="0" w:line="1" w:lineRule="exact"/>
        <w:rPr>
          <w:sz w:val="20"/>
          <w:szCs w:val="20"/>
          <w:color w:val="auto"/>
        </w:rPr>
      </w:pPr>
    </w:p>
    <w:p>
      <w:pPr>
        <w:ind w:right="60"/>
        <w:spacing w:after="0" w:line="289" w:lineRule="auto"/>
        <w:rPr>
          <w:sz w:val="20"/>
          <w:szCs w:val="20"/>
          <w:color w:val="auto"/>
        </w:rPr>
      </w:pPr>
      <w:r>
        <w:rPr>
          <w:rFonts w:ascii="Arial" w:cs="Arial" w:eastAsia="Arial" w:hAnsi="Arial"/>
          <w:sz w:val="11"/>
          <w:szCs w:val="11"/>
          <w:color w:val="auto"/>
        </w:rPr>
        <w:t>initially 80.4602 shares of the Company’s common stock per $1,000 principal amount of Exchangeable Notes (equivalent to an initial exchange price of approximately $12.43 per share of the Company’s common stock). The exchange rate is subject to adjustment in some circumstances as described in the Indenture. In addition, following certain corporate events that occur prior to the maturity date or Uniti Fiber’s delivery of a notice of redemption, Uniti Fiber will increase, in certain circumstances, the exchange rate for a holder who elects to exchange its Exchangeable Notes in connection with such corporate event or notice of redemption, as the case may be.</w:t>
      </w:r>
    </w:p>
    <w:p>
      <w:pPr>
        <w:spacing w:after="0" w:line="110"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If Uniti Fiber or the Company undergoes a fundamental change (as defined in the Indenture), subject to certain conditions, holders may require Uniti Fiber to repurchase for cash all or part of their Exchangeable Notes at a repurchase price equal to 100% of the principal amount of the Exchangeable Notes to be repurchased, plus accrued and unpaid interest, if any, to, but not including, the fundamental change repurchase date.</w:t>
      </w:r>
    </w:p>
    <w:p>
      <w:pPr>
        <w:spacing w:after="0" w:line="92"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Uniti Fiber may redeem all or a portion of the Exchangeable Notes, at any time, at a cash redemption price equal to 100% of the principal amount of the Exchangeable Notes to be redeemed, plus accrued and unpaid interest to, but not including, the redemption date, if the Company’s board of directors determines such redemption is necessary to preserve the Company's status as a real estate investment trust for U.S. federal income tax purposes. Uniti Fiber may not otherwise redeem the Exchangeable Notes prior to June 20, 2022. On or after June 20, 2022 and prior to the 42nd scheduled trading day immediately preceding the maturity date, if the last reported sale price per share of the Company’s common stock has been at least 130% of the exchange price for the Exchangeable Notes for certain specified periods, Uniti Fiber may redeem all or a portion of the Exchangeable Notes at a cash redemption price equal to 100% of the principal amount of the Exchangeable Notes to be redeemed plus accrued and unpaid interest to, but not including, the redemption date.</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On June 28, 2019, Uniti Fiber, the Company and Barclays Capital Inc., on behalf of the initial purchasers involved in the offering of the Exchangeable Notes (the “Initial Purchasers”), entered into a registration rights agreement with respect to the Company’s common stock deliverable upon exchange of the Exchangeable Notes (the “Registration Rights Agreement”). Under the Registration Rights Agreement, the Company has agreed to file a shelf registration statement to register the resale of the common stock of the Company deliverable upon exchange of the Exchangeable Notes. The Company has agreed to use its commercially reasonable efforts to cause such shelf registration statement to become effective on or prior to the 365th day after the issue date of the Exchangeable Notes.</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2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carrying amount of the equity component, which is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0" w:name="page111"/>
    <w:bookmarkEnd w:id="1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be amortized to interest expense using an effective interest rate of 11.1% over the term of the Exchangeable Notes. The equity component is not remeasured as long as it continues to meet the conditions for equity classification.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Debt issuance costs related to the Exchangeable Notes were comprised of commissions payable to the Initial Purchasers of $10.4 million and third-party costs of approximately $1.4 million.</w:t>
      </w:r>
    </w:p>
    <w:p>
      <w:pPr>
        <w:spacing w:after="0" w:line="150" w:lineRule="exact"/>
        <w:rPr>
          <w:sz w:val="20"/>
          <w:szCs w:val="20"/>
          <w:color w:val="auto"/>
        </w:rPr>
      </w:pPr>
    </w:p>
    <w:p>
      <w:pPr>
        <w:ind w:right="180"/>
        <w:spacing w:after="0" w:line="340" w:lineRule="auto"/>
        <w:rPr>
          <w:sz w:val="20"/>
          <w:szCs w:val="20"/>
          <w:color w:val="auto"/>
        </w:rPr>
      </w:pPr>
      <w:r>
        <w:rPr>
          <w:rFonts w:ascii="Arial" w:cs="Arial" w:eastAsia="Arial" w:hAnsi="Arial"/>
          <w:sz w:val="10"/>
          <w:szCs w:val="10"/>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Consolidated Balance Sheets. These costs are amortized to interest expense using the effective interest method over the term of the Exchangeable Notes. Debt issuance costs of $2.9 million attributable to the equity component are netted with the equity component in stockholders’ equity, which netted to $80.8 million.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Deferred Financing Cost</w:t>
      </w:r>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Income. For the year ended December 31, 2019, 2018 and 2017, we recognized $16.2 million, $14.7 million and $13.6 million of non-cash interest expense, respectively, related to the amortization of deferred financing costs.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Aggregate annual maturities of our long-term obligations at December 31, 2019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800" w:type="dxa"/>
            <w:vAlign w:val="bottom"/>
            <w:tcBorders>
              <w:bottom w:val="single" w:sz="8" w:color="CFF0FC"/>
            </w:tcBorders>
          </w:tcPr>
          <w:p>
            <w:pPr>
              <w:spacing w:after="0"/>
              <w:rPr>
                <w:sz w:val="10"/>
                <w:szCs w:val="10"/>
                <w:color w:val="auto"/>
              </w:rPr>
            </w:pPr>
          </w:p>
        </w:tc>
        <w:tc>
          <w:tcPr>
            <w:tcW w:w="122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r>
      <w:tr>
        <w:trPr>
          <w:trHeight w:val="142"/>
        </w:trPr>
        <w:tc>
          <w:tcPr>
            <w:tcW w:w="916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800" w:type="dxa"/>
            <w:vAlign w:val="bottom"/>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21,080</w:t>
            </w:r>
          </w:p>
        </w:tc>
        <w:tc>
          <w:tcPr>
            <w:tcW w:w="120" w:type="dxa"/>
            <w:vAlign w:val="bottom"/>
            <w:shd w:val="clear" w:color="auto" w:fill="CFF0FC"/>
          </w:tcPr>
          <w:p>
            <w:pPr>
              <w:spacing w:after="0"/>
              <w:rPr>
                <w:sz w:val="12"/>
                <w:szCs w:val="12"/>
                <w:color w:val="auto"/>
              </w:rPr>
            </w:pPr>
          </w:p>
        </w:tc>
      </w:tr>
      <w:tr>
        <w:trPr>
          <w:trHeight w:val="153"/>
        </w:trPr>
        <w:tc>
          <w:tcPr>
            <w:tcW w:w="9160" w:type="dxa"/>
            <w:vAlign w:val="bottom"/>
          </w:tcPr>
          <w:p>
            <w:pPr>
              <w:spacing w:after="0"/>
              <w:rPr>
                <w:sz w:val="20"/>
                <w:szCs w:val="20"/>
                <w:color w:val="auto"/>
              </w:rPr>
            </w:pPr>
            <w:r>
              <w:rPr>
                <w:rFonts w:ascii="Arial" w:cs="Arial" w:eastAsia="Arial" w:hAnsi="Arial"/>
                <w:sz w:val="12"/>
                <w:szCs w:val="12"/>
                <w:color w:val="auto"/>
              </w:rPr>
              <w:t>2021</w:t>
            </w:r>
          </w:p>
        </w:tc>
        <w:tc>
          <w:tcPr>
            <w:tcW w:w="8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21,080</w:t>
            </w:r>
          </w:p>
        </w:tc>
        <w:tc>
          <w:tcPr>
            <w:tcW w:w="120" w:type="dxa"/>
            <w:vAlign w:val="bottom"/>
          </w:tcPr>
          <w:p>
            <w:pPr>
              <w:spacing w:after="0"/>
              <w:rPr>
                <w:sz w:val="13"/>
                <w:szCs w:val="13"/>
                <w:color w:val="auto"/>
              </w:rPr>
            </w:pPr>
          </w:p>
        </w:tc>
      </w:tr>
      <w:tr>
        <w:trPr>
          <w:trHeight w:val="153"/>
        </w:trPr>
        <w:tc>
          <w:tcPr>
            <w:tcW w:w="916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8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2,577,587</w:t>
            </w:r>
          </w:p>
        </w:tc>
        <w:tc>
          <w:tcPr>
            <w:tcW w:w="120" w:type="dxa"/>
            <w:vAlign w:val="bottom"/>
            <w:shd w:val="clear" w:color="auto" w:fill="CFF0FC"/>
          </w:tcPr>
          <w:p>
            <w:pPr>
              <w:spacing w:after="0"/>
              <w:rPr>
                <w:sz w:val="13"/>
                <w:szCs w:val="13"/>
                <w:color w:val="auto"/>
              </w:rPr>
            </w:pPr>
          </w:p>
        </w:tc>
      </w:tr>
      <w:tr>
        <w:trPr>
          <w:trHeight w:val="153"/>
        </w:trPr>
        <w:tc>
          <w:tcPr>
            <w:tcW w:w="9160" w:type="dxa"/>
            <w:vAlign w:val="bottom"/>
          </w:tcPr>
          <w:p>
            <w:pPr>
              <w:spacing w:after="0"/>
              <w:rPr>
                <w:sz w:val="20"/>
                <w:szCs w:val="20"/>
                <w:color w:val="auto"/>
              </w:rPr>
            </w:pPr>
            <w:r>
              <w:rPr>
                <w:rFonts w:ascii="Arial" w:cs="Arial" w:eastAsia="Arial" w:hAnsi="Arial"/>
                <w:sz w:val="12"/>
                <w:szCs w:val="12"/>
                <w:color w:val="auto"/>
              </w:rPr>
              <w:t>2023</w:t>
            </w:r>
          </w:p>
        </w:tc>
        <w:tc>
          <w:tcPr>
            <w:tcW w:w="8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1,660,000</w:t>
            </w:r>
          </w:p>
        </w:tc>
        <w:tc>
          <w:tcPr>
            <w:tcW w:w="120" w:type="dxa"/>
            <w:vAlign w:val="bottom"/>
          </w:tcPr>
          <w:p>
            <w:pPr>
              <w:spacing w:after="0"/>
              <w:rPr>
                <w:sz w:val="13"/>
                <w:szCs w:val="13"/>
                <w:color w:val="auto"/>
              </w:rPr>
            </w:pPr>
          </w:p>
        </w:tc>
      </w:tr>
      <w:tr>
        <w:trPr>
          <w:trHeight w:val="153"/>
        </w:trPr>
        <w:tc>
          <w:tcPr>
            <w:tcW w:w="916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8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945,000</w:t>
            </w:r>
          </w:p>
        </w:tc>
        <w:tc>
          <w:tcPr>
            <w:tcW w:w="120" w:type="dxa"/>
            <w:vAlign w:val="bottom"/>
            <w:shd w:val="clear" w:color="auto" w:fill="CFF0FC"/>
          </w:tcPr>
          <w:p>
            <w:pPr>
              <w:spacing w:after="0"/>
              <w:rPr>
                <w:sz w:val="13"/>
                <w:szCs w:val="13"/>
                <w:color w:val="auto"/>
              </w:rPr>
            </w:pPr>
          </w:p>
        </w:tc>
      </w:tr>
      <w:tr>
        <w:trPr>
          <w:trHeight w:val="153"/>
        </w:trPr>
        <w:tc>
          <w:tcPr>
            <w:tcW w:w="91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Thereafter</w:t>
            </w: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58"/>
        </w:trPr>
        <w:tc>
          <w:tcPr>
            <w:tcW w:w="9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5,224,747</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Stock-Based Compensation</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Awards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1" w:name="page112"/>
    <w:bookmarkEnd w:id="11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During the year ended December 31, 2019, the Company granted 833,448 shares of restricted stock to employees, which had a fair value of $12.5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2019, there were 3,965,734 shares available for future issuance under the Equity Plan. The following table sets forth the number of unvested restricted stock awards and the weighted-average fair value of these awards at the date of grant:</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Borders>
              <w:bottom w:val="single" w:sz="8" w:color="CFF0FC"/>
            </w:tcBorders>
          </w:tcPr>
          <w:p>
            <w:pPr>
              <w:spacing w:after="0"/>
              <w:rPr>
                <w:sz w:val="10"/>
                <w:szCs w:val="10"/>
                <w:color w:val="auto"/>
              </w:rPr>
            </w:pPr>
          </w:p>
        </w:tc>
        <w:tc>
          <w:tcPr>
            <w:tcW w:w="144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w w:val="93"/>
              </w:rPr>
              <w:t>Restricted Awards</w:t>
            </w: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7"/>
              </w:rPr>
              <w:t>Weighted Average Fair Value at Grant Date</w:t>
            </w:r>
          </w:p>
        </w:tc>
        <w:tc>
          <w:tcPr>
            <w:tcW w:w="26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r>
      <w:tr>
        <w:trPr>
          <w:trHeight w:val="142"/>
        </w:trPr>
        <w:tc>
          <w:tcPr>
            <w:tcW w:w="61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2018</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667,628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18.03</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12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40" w:type="dxa"/>
            <w:vAlign w:val="bottom"/>
          </w:tcPr>
          <w:p>
            <w:pPr>
              <w:jc w:val="right"/>
              <w:spacing w:after="0"/>
              <w:rPr>
                <w:sz w:val="20"/>
                <w:szCs w:val="20"/>
                <w:color w:val="auto"/>
              </w:rPr>
            </w:pPr>
            <w:r>
              <w:rPr>
                <w:rFonts w:ascii="Arial" w:cs="Arial" w:eastAsia="Arial" w:hAnsi="Arial"/>
                <w:sz w:val="12"/>
                <w:szCs w:val="12"/>
                <w:color w:val="auto"/>
              </w:rPr>
              <w:t>833,448</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11.62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1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(22,042)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14.71</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Vested</w:t>
            </w:r>
          </w:p>
        </w:tc>
        <w:tc>
          <w:tcPr>
            <w:tcW w:w="14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(356,949)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17.92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2019</w:t>
            </w:r>
          </w:p>
        </w:tc>
        <w:tc>
          <w:tcPr>
            <w:tcW w:w="14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1,122,085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16.09</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9,212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208" w:right="260" w:hanging="208"/>
        <w:spacing w:after="0" w:line="276" w:lineRule="auto"/>
        <w:tabs>
          <w:tab w:leader="none" w:pos="208" w:val="left"/>
        </w:tabs>
        <w:numPr>
          <w:ilvl w:val="0"/>
          <w:numId w:val="19"/>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31, 2019. The market value as of December 31, 2019 was $8.21 per share, which was the closing price of our common stock reported for transactions effected on the NASDAQ Global Select Market on December 31, 2019, the final trading day of 2019.</w:t>
      </w:r>
    </w:p>
    <w:p>
      <w:pPr>
        <w:spacing w:after="0" w:line="115" w:lineRule="exact"/>
        <w:rPr>
          <w:sz w:val="20"/>
          <w:szCs w:val="20"/>
          <w:color w:val="auto"/>
        </w:rPr>
      </w:pPr>
    </w:p>
    <w:p>
      <w:pPr>
        <w:ind w:left="8" w:right="440"/>
        <w:spacing w:after="0" w:line="276" w:lineRule="auto"/>
        <w:rPr>
          <w:sz w:val="20"/>
          <w:szCs w:val="20"/>
          <w:color w:val="auto"/>
        </w:rPr>
      </w:pPr>
      <w:r>
        <w:rPr>
          <w:rFonts w:ascii="Arial" w:cs="Arial" w:eastAsia="Arial" w:hAnsi="Arial"/>
          <w:sz w:val="12"/>
          <w:szCs w:val="12"/>
          <w:color w:val="auto"/>
        </w:rPr>
        <w:t>During the year ended December 31, 2018, there were 396,705 shares of restricted stock granted with a weighted-average fair value of $14.02 per share. During the year ended December 31, 2017, there were 234,294 shares of restricted stock granted with a weighted-average fair value of $25.56 per share.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total fair value of shares vested for the years ended December 31, 2019, 2018 and 2017 was $6.4 million, $6.9 million and $2.9 million,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2019, total unrecognized compensation expense on restricted awards was approximately $11.4 million, and the expense is expected to be recognized over a weighted average vesting period of 1.2 years.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Performance Awards</w:t>
      </w:r>
    </w:p>
    <w:p>
      <w:pPr>
        <w:spacing w:after="0" w:line="150" w:lineRule="exact"/>
        <w:rPr>
          <w:sz w:val="20"/>
          <w:szCs w:val="20"/>
          <w:color w:val="auto"/>
        </w:rPr>
      </w:pPr>
    </w:p>
    <w:p>
      <w:pPr>
        <w:ind w:left="8" w:right="100"/>
        <w:spacing w:after="0" w:line="259" w:lineRule="auto"/>
        <w:rPr>
          <w:sz w:val="20"/>
          <w:szCs w:val="20"/>
          <w:color w:val="auto"/>
        </w:rPr>
      </w:pPr>
      <w:r>
        <w:rPr>
          <w:rFonts w:ascii="Arial" w:cs="Arial" w:eastAsia="Arial" w:hAnsi="Arial"/>
          <w:sz w:val="12"/>
          <w:szCs w:val="12"/>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2" w:name="page113"/>
    <w:bookmarkEnd w:id="11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On April 4, 2019, we issued 255,517 PSUs equal to 100% of the target amount, with an aggregate fair value of $4.9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year ended December 31, 2019, no PSUs were forfeited due to termination of service. The following table sets forth the number of unvested PSUs and the weighted-average fair value of these awards at the date of grant:</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tcBorders>
              <w:bottom w:val="single" w:sz="8" w:color="CFF0FC"/>
            </w:tcBorders>
          </w:tcPr>
          <w:p>
            <w:pPr>
              <w:spacing w:after="0"/>
              <w:rPr>
                <w:sz w:val="10"/>
                <w:szCs w:val="10"/>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w w:val="91"/>
              </w:rPr>
              <w:t>Performance Awards</w:t>
            </w: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7"/>
              </w:rPr>
              <w:t>Weighted Average Fair Value at Grant Date</w:t>
            </w:r>
          </w:p>
        </w:tc>
        <w:tc>
          <w:tcPr>
            <w:tcW w:w="26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w w:val="93"/>
              </w:rPr>
              <w:t>Aggregate Intrinsic Value</w:t>
            </w:r>
            <w:r>
              <w:rPr>
                <w:rFonts w:ascii="Arial" w:cs="Arial" w:eastAsia="Arial" w:hAnsi="Arial"/>
                <w:sz w:val="8"/>
                <w:szCs w:val="8"/>
                <w:b w:val="1"/>
                <w:bCs w:val="1"/>
                <w:color w:val="auto"/>
                <w:w w:val="93"/>
              </w:rPr>
              <w:t>(1)</w:t>
            </w:r>
            <w:r>
              <w:rPr>
                <w:rFonts w:ascii="Arial" w:cs="Arial" w:eastAsia="Arial" w:hAnsi="Arial"/>
                <w:sz w:val="10"/>
                <w:szCs w:val="10"/>
                <w:b w:val="1"/>
                <w:bCs w:val="1"/>
                <w:color w:val="auto"/>
                <w:w w:val="93"/>
              </w:rPr>
              <w:t xml:space="preserve"> ($000s)</w:t>
            </w:r>
          </w:p>
        </w:tc>
        <w:tc>
          <w:tcPr>
            <w:tcW w:w="120" w:type="dxa"/>
            <w:vAlign w:val="bottom"/>
            <w:tcBorders>
              <w:bottom w:val="single" w:sz="8" w:color="CFF0FC"/>
            </w:tcBorders>
          </w:tcPr>
          <w:p>
            <w:pPr>
              <w:spacing w:after="0"/>
              <w:rPr>
                <w:sz w:val="10"/>
                <w:szCs w:val="10"/>
                <w:color w:val="auto"/>
              </w:rPr>
            </w:pPr>
          </w:p>
        </w:tc>
      </w:tr>
      <w:tr>
        <w:trPr>
          <w:trHeight w:val="142"/>
        </w:trPr>
        <w:tc>
          <w:tcPr>
            <w:tcW w:w="6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Unvested balance December 31, 2018</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363,204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23.35</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618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80" w:type="dxa"/>
            <w:vAlign w:val="bottom"/>
          </w:tcPr>
          <w:p>
            <w:pPr>
              <w:jc w:val="right"/>
              <w:spacing w:after="0"/>
              <w:rPr>
                <w:sz w:val="20"/>
                <w:szCs w:val="20"/>
                <w:color w:val="auto"/>
              </w:rPr>
            </w:pPr>
            <w:r>
              <w:rPr>
                <w:rFonts w:ascii="Arial" w:cs="Arial" w:eastAsia="Arial" w:hAnsi="Arial"/>
                <w:sz w:val="12"/>
                <w:szCs w:val="12"/>
                <w:color w:val="auto"/>
              </w:rPr>
              <w:t>255,517</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18.99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Forfeited</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(25,415)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20.71</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Vested</w:t>
            </w:r>
          </w:p>
        </w:tc>
        <w:tc>
          <w:tcPr>
            <w:tcW w:w="15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(76,245)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Pr>
          <w:p>
            <w:pPr>
              <w:jc w:val="right"/>
              <w:spacing w:after="0"/>
              <w:rPr>
                <w:sz w:val="20"/>
                <w:szCs w:val="20"/>
                <w:color w:val="auto"/>
              </w:rPr>
            </w:pPr>
            <w:r>
              <w:rPr>
                <w:rFonts w:ascii="Arial" w:cs="Arial" w:eastAsia="Arial" w:hAnsi="Arial"/>
                <w:sz w:val="12"/>
                <w:szCs w:val="12"/>
                <w:color w:val="auto"/>
              </w:rPr>
              <w:t>20.71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Unvested balance, December 31, 2019</w:t>
            </w:r>
          </w:p>
        </w:tc>
        <w:tc>
          <w:tcPr>
            <w:tcW w:w="150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517,061</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21.72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4,245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left="208" w:right="260" w:hanging="208"/>
        <w:spacing w:after="0" w:line="276" w:lineRule="auto"/>
        <w:tabs>
          <w:tab w:leader="none" w:pos="208" w:val="left"/>
        </w:tabs>
        <w:numPr>
          <w:ilvl w:val="0"/>
          <w:numId w:val="20"/>
        </w:numPr>
        <w:rPr>
          <w:rFonts w:ascii="Arial" w:cs="Arial" w:eastAsia="Arial" w:hAnsi="Arial"/>
          <w:sz w:val="10"/>
          <w:szCs w:val="10"/>
          <w:color w:val="auto"/>
        </w:rPr>
      </w:pPr>
      <w:r>
        <w:rPr>
          <w:rFonts w:ascii="Arial" w:cs="Arial" w:eastAsia="Arial" w:hAnsi="Arial"/>
          <w:sz w:val="12"/>
          <w:szCs w:val="12"/>
          <w:color w:val="auto"/>
        </w:rPr>
        <w:t>The aggregate intrinsic value is calculated as the market value of our common stock as of December 31, 2019. The market value as of December 31, 2019 was $8.21 per share, which was the closing price of our common stock reported for transactions effected on the NASDAQ Global Select Market on December 31, 2019, the final trading day of 2019.</w:t>
      </w:r>
    </w:p>
    <w:p>
      <w:pPr>
        <w:spacing w:after="0" w:line="115" w:lineRule="exact"/>
        <w:rPr>
          <w:sz w:val="20"/>
          <w:szCs w:val="20"/>
          <w:color w:val="auto"/>
        </w:rPr>
      </w:pPr>
    </w:p>
    <w:p>
      <w:pPr>
        <w:ind w:left="8" w:right="360"/>
        <w:spacing w:after="0" w:line="276" w:lineRule="auto"/>
        <w:rPr>
          <w:sz w:val="20"/>
          <w:szCs w:val="20"/>
          <w:color w:val="auto"/>
        </w:rPr>
      </w:pPr>
      <w:r>
        <w:rPr>
          <w:rFonts w:ascii="Arial" w:cs="Arial" w:eastAsia="Arial" w:hAnsi="Arial"/>
          <w:sz w:val="12"/>
          <w:szCs w:val="12"/>
          <w:color w:val="auto"/>
        </w:rPr>
        <w:t>During the year ended December 31, 2018, there were 169,549 PSUs granted with a weighted-average fair value of $19.30 per share. During the year ended December 31, 2017, there were 91,995 PSUs granted with a weighted-average fair value of $33.75 per share.</w:t>
      </w:r>
    </w:p>
    <w:p>
      <w:pPr>
        <w:spacing w:after="0" w:line="115"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As of December 31, 2019, total unrecognized compensation expense related to PSUs was approximately $5.1 million, and the weighted-average vesting period was 1.5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2019, 2018 and 2017:</w:t>
      </w:r>
    </w:p>
    <w:p>
      <w:pPr>
        <w:spacing w:after="0" w:line="182" w:lineRule="exact"/>
        <w:rPr>
          <w:sz w:val="20"/>
          <w:szCs w:val="20"/>
          <w:color w:val="auto"/>
        </w:rPr>
      </w:pPr>
    </w:p>
    <w:p>
      <w:pPr>
        <w:ind w:left="7388"/>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-635</wp:posOffset>
            </wp:positionV>
            <wp:extent cx="413194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4131945" cy="5715"/>
                    </a:xfrm>
                    <a:prstGeom prst="rect">
                      <a:avLst/>
                    </a:prstGeom>
                    <a:noFill/>
                  </pic:spPr>
                </pic:pic>
              </a:graphicData>
            </a:graphic>
          </wp:anchor>
        </w:drawing>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60" w:type="dxa"/>
            <w:vAlign w:val="bottom"/>
            <w:tcBorders>
              <w:bottom w:val="single" w:sz="8" w:color="CFF0FC"/>
            </w:tcBorders>
          </w:tcPr>
          <w:p>
            <w:pPr>
              <w:spacing w:after="0"/>
              <w:rPr>
                <w:sz w:val="10"/>
                <w:szCs w:val="10"/>
                <w:color w:val="auto"/>
              </w:rPr>
            </w:pPr>
          </w:p>
        </w:tc>
        <w:tc>
          <w:tcPr>
            <w:tcW w:w="14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2019</w:t>
            </w: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200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FF0FC"/>
            </w:tcBorders>
          </w:tcPr>
          <w:p>
            <w:pPr>
              <w:spacing w:after="0"/>
              <w:rPr>
                <w:sz w:val="10"/>
                <w:szCs w:val="10"/>
                <w:color w:val="auto"/>
              </w:rPr>
            </w:pPr>
          </w:p>
        </w:tc>
        <w:tc>
          <w:tcPr>
            <w:tcW w:w="200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10"/>
                <w:szCs w:val="10"/>
                <w:color w:val="auto"/>
              </w:rPr>
            </w:pPr>
          </w:p>
        </w:tc>
      </w:tr>
      <w:tr>
        <w:trPr>
          <w:trHeight w:val="142"/>
        </w:trPr>
        <w:tc>
          <w:tcPr>
            <w:tcW w:w="6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2"/>
                <w:szCs w:val="1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FF0FC"/>
          </w:tcPr>
          <w:p>
            <w:pPr>
              <w:spacing w:after="0"/>
              <w:rPr>
                <w:sz w:val="12"/>
                <w:szCs w:val="1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40" w:type="dxa"/>
            <w:vAlign w:val="bottom"/>
            <w:shd w:val="clear" w:color="auto" w:fill="CFF0FC"/>
          </w:tcPr>
          <w:p>
            <w:pPr>
              <w:spacing w:after="0"/>
              <w:rPr>
                <w:sz w:val="12"/>
                <w:szCs w:val="12"/>
                <w:color w:val="auto"/>
              </w:rPr>
            </w:pPr>
          </w:p>
        </w:tc>
      </w:tr>
      <w:tr>
        <w:trPr>
          <w:trHeight w:val="153"/>
        </w:trPr>
        <w:tc>
          <w:tcPr>
            <w:tcW w:w="6100" w:type="dxa"/>
            <w:vAlign w:val="bottom"/>
            <w:gridSpan w:val="2"/>
          </w:tcPr>
          <w:p>
            <w:pPr>
              <w:spacing w:after="0"/>
              <w:rPr>
                <w:sz w:val="20"/>
                <w:szCs w:val="20"/>
                <w:color w:val="auto"/>
              </w:rPr>
            </w:pPr>
            <w:r>
              <w:rPr>
                <w:rFonts w:ascii="Arial" w:cs="Arial" w:eastAsia="Arial" w:hAnsi="Arial"/>
                <w:sz w:val="12"/>
                <w:szCs w:val="12"/>
                <w:color w:val="auto"/>
              </w:rPr>
              <w:t>Expected volatility</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57.5%</w:t>
            </w:r>
          </w:p>
        </w:tc>
        <w:tc>
          <w:tcPr>
            <w:tcW w:w="2240" w:type="dxa"/>
            <w:vAlign w:val="bottom"/>
            <w:gridSpan w:val="2"/>
          </w:tcPr>
          <w:p>
            <w:pPr>
              <w:jc w:val="right"/>
              <w:ind w:right="140"/>
              <w:spacing w:after="0"/>
              <w:rPr>
                <w:sz w:val="20"/>
                <w:szCs w:val="20"/>
                <w:color w:val="auto"/>
              </w:rPr>
            </w:pPr>
            <w:r>
              <w:rPr>
                <w:rFonts w:ascii="Arial" w:cs="Arial" w:eastAsia="Arial" w:hAnsi="Arial"/>
                <w:sz w:val="12"/>
                <w:szCs w:val="12"/>
                <w:color w:val="auto"/>
              </w:rPr>
              <w:t>48.5%</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33.6%</w:t>
            </w:r>
          </w:p>
        </w:tc>
      </w:tr>
      <w:tr>
        <w:trPr>
          <w:trHeight w:val="153"/>
        </w:trPr>
        <w:tc>
          <w:tcPr>
            <w:tcW w:w="6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annual dividend</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0.0%</w:t>
            </w: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0.0%</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0.0%</w:t>
            </w:r>
          </w:p>
        </w:tc>
      </w:tr>
      <w:tr>
        <w:trPr>
          <w:trHeight w:val="153"/>
        </w:trPr>
        <w:tc>
          <w:tcPr>
            <w:tcW w:w="6100" w:type="dxa"/>
            <w:vAlign w:val="bottom"/>
            <w:gridSpan w:val="2"/>
          </w:tcPr>
          <w:p>
            <w:pPr>
              <w:spacing w:after="0"/>
              <w:rPr>
                <w:sz w:val="20"/>
                <w:szCs w:val="20"/>
                <w:color w:val="auto"/>
              </w:rPr>
            </w:pPr>
            <w:r>
              <w:rPr>
                <w:rFonts w:ascii="Arial" w:cs="Arial" w:eastAsia="Arial" w:hAnsi="Arial"/>
                <w:sz w:val="12"/>
                <w:szCs w:val="12"/>
                <w:color w:val="auto"/>
              </w:rPr>
              <w:t>Risk free rate</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2.3%</w:t>
            </w:r>
          </w:p>
        </w:tc>
        <w:tc>
          <w:tcPr>
            <w:tcW w:w="2240" w:type="dxa"/>
            <w:vAlign w:val="bottom"/>
            <w:gridSpan w:val="2"/>
          </w:tcPr>
          <w:p>
            <w:pPr>
              <w:jc w:val="right"/>
              <w:ind w:right="140"/>
              <w:spacing w:after="0"/>
              <w:rPr>
                <w:sz w:val="20"/>
                <w:szCs w:val="20"/>
                <w:color w:val="auto"/>
              </w:rPr>
            </w:pPr>
            <w:r>
              <w:rPr>
                <w:rFonts w:ascii="Arial" w:cs="Arial" w:eastAsia="Arial" w:hAnsi="Arial"/>
                <w:sz w:val="12"/>
                <w:szCs w:val="12"/>
                <w:color w:val="auto"/>
              </w:rPr>
              <w:t>2.3%</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1.5%</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ind w:left="8" w:right="120"/>
        <w:spacing w:after="0" w:line="285" w:lineRule="auto"/>
        <w:rPr>
          <w:sz w:val="20"/>
          <w:szCs w:val="20"/>
          <w:color w:val="auto"/>
        </w:rPr>
      </w:pPr>
      <w:r>
        <w:rPr>
          <w:rFonts w:ascii="Arial" w:cs="Arial" w:eastAsia="Arial" w:hAnsi="Arial"/>
          <w:sz w:val="11"/>
          <w:szCs w:val="11"/>
          <w:color w:val="auto"/>
        </w:rPr>
        <w:t>On May 17, 2018, our stockholders approved and adopted the Uniti Group Inc. Employee Stock Purchase Plan (the “ESPP”). The ESPP authorizes us to issue up to 2,000,000 shares of our common stock to any of our employees so long as the employee is employed on the first day of the applicable offering period. Under the ESPP, there are two six-month plan periods during each calendar year, one beginning January 1 and ending on June 30, and one beginning on July 1 and ending on December 31. Under the terms of the ESPP, employees can choose each plan period to have up to 15% of their annual base earnings, limited to $25,000 withheld to purchase our common stock. The purchase price of the stock is 85% of the lower of its beginning-of-period or end-of-period market price. Under the ESPP, no shares were sold to employees during the year ended 2018. As of December 31, 2019, there were 1,916,713 shares available for future issuance under the ESPP. The following table summarizes the assumptions used to value the purchase rights granted under the ESPP during the years ended December 31, 2019 and 2018:</w:t>
      </w:r>
    </w:p>
    <w:p>
      <w:pPr>
        <w:spacing w:after="0" w:line="1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3" w:name="page114"/>
    <w:bookmarkEnd w:id="1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5" w:lineRule="exact"/>
        <w:rPr>
          <w:sz w:val="20"/>
          <w:szCs w:val="20"/>
          <w:color w:val="auto"/>
        </w:rPr>
      </w:pPr>
    </w:p>
    <w:p>
      <w:pPr>
        <w:ind w:left="7960"/>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-635</wp:posOffset>
            </wp:positionV>
            <wp:extent cx="339471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394710" cy="571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40" w:type="dxa"/>
            <w:vAlign w:val="bottom"/>
            <w:tcBorders>
              <w:bottom w:val="single" w:sz="8" w:color="CFF0FC"/>
            </w:tcBorders>
          </w:tcPr>
          <w:p>
            <w:pPr>
              <w:spacing w:after="0"/>
              <w:rPr>
                <w:sz w:val="10"/>
                <w:szCs w:val="10"/>
                <w:color w:val="auto"/>
              </w:rPr>
            </w:pPr>
          </w:p>
        </w:tc>
        <w:tc>
          <w:tcPr>
            <w:tcW w:w="18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2019</w:t>
            </w:r>
          </w:p>
        </w:tc>
        <w:tc>
          <w:tcPr>
            <w:tcW w:w="70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2540" w:type="dxa"/>
            <w:vAlign w:val="bottom"/>
            <w:tcBorders>
              <w:bottom w:val="single" w:sz="8" w:color="auto"/>
            </w:tcBorders>
          </w:tcPr>
          <w:p>
            <w:pPr>
              <w:jc w:val="right"/>
              <w:ind w:right="1122"/>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10"/>
                <w:szCs w:val="10"/>
                <w:color w:val="auto"/>
              </w:rPr>
            </w:pPr>
          </w:p>
        </w:tc>
      </w:tr>
      <w:tr>
        <w:trPr>
          <w:trHeight w:val="142"/>
        </w:trPr>
        <w:tc>
          <w:tcPr>
            <w:tcW w:w="76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280" w:type="dxa"/>
            <w:vAlign w:val="bottom"/>
            <w:shd w:val="clear" w:color="auto" w:fill="CFF0FC"/>
          </w:tcPr>
          <w:p>
            <w:pPr>
              <w:spacing w:after="0"/>
              <w:rPr>
                <w:sz w:val="12"/>
                <w:szCs w:val="12"/>
                <w:color w:val="auto"/>
              </w:rPr>
            </w:pPr>
          </w:p>
        </w:tc>
        <w:tc>
          <w:tcPr>
            <w:tcW w:w="2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FF0FC"/>
          </w:tcPr>
          <w:p>
            <w:pPr>
              <w:spacing w:after="0"/>
              <w:rPr>
                <w:sz w:val="12"/>
                <w:szCs w:val="12"/>
                <w:color w:val="auto"/>
              </w:rPr>
            </w:pPr>
          </w:p>
        </w:tc>
      </w:tr>
      <w:tr>
        <w:trPr>
          <w:trHeight w:val="153"/>
        </w:trPr>
        <w:tc>
          <w:tcPr>
            <w:tcW w:w="7660" w:type="dxa"/>
            <w:vAlign w:val="bottom"/>
            <w:gridSpan w:val="2"/>
          </w:tcPr>
          <w:p>
            <w:pPr>
              <w:spacing w:after="0"/>
              <w:rPr>
                <w:sz w:val="20"/>
                <w:szCs w:val="20"/>
                <w:color w:val="auto"/>
              </w:rPr>
            </w:pPr>
            <w:r>
              <w:rPr>
                <w:rFonts w:ascii="Arial" w:cs="Arial" w:eastAsia="Arial" w:hAnsi="Arial"/>
                <w:sz w:val="12"/>
                <w:szCs w:val="12"/>
                <w:color w:val="auto"/>
              </w:rPr>
              <w:t>Expected volatility</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24.0%</w:t>
            </w:r>
          </w:p>
        </w:tc>
        <w:tc>
          <w:tcPr>
            <w:tcW w:w="2660" w:type="dxa"/>
            <w:vAlign w:val="bottom"/>
            <w:gridSpan w:val="2"/>
          </w:tcPr>
          <w:p>
            <w:pPr>
              <w:jc w:val="right"/>
              <w:ind w:right="20"/>
              <w:spacing w:after="0"/>
              <w:rPr>
                <w:sz w:val="20"/>
                <w:szCs w:val="20"/>
                <w:color w:val="auto"/>
              </w:rPr>
            </w:pPr>
            <w:r>
              <w:rPr>
                <w:rFonts w:ascii="Arial" w:cs="Arial" w:eastAsia="Arial" w:hAnsi="Arial"/>
                <w:sz w:val="12"/>
                <w:szCs w:val="12"/>
                <w:color w:val="auto"/>
              </w:rPr>
              <w:t>37.0%</w:t>
            </w:r>
          </w:p>
        </w:tc>
      </w:tr>
      <w:tr>
        <w:trPr>
          <w:trHeight w:val="153"/>
        </w:trPr>
        <w:tc>
          <w:tcPr>
            <w:tcW w:w="76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annual dividend</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w:t>
            </w:r>
          </w:p>
        </w:tc>
        <w:tc>
          <w:tcPr>
            <w:tcW w:w="26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11.3%</w:t>
            </w:r>
          </w:p>
        </w:tc>
      </w:tr>
      <w:tr>
        <w:trPr>
          <w:trHeight w:val="153"/>
        </w:trPr>
        <w:tc>
          <w:tcPr>
            <w:tcW w:w="7660" w:type="dxa"/>
            <w:vAlign w:val="bottom"/>
            <w:gridSpan w:val="2"/>
          </w:tcPr>
          <w:p>
            <w:pPr>
              <w:spacing w:after="0"/>
              <w:rPr>
                <w:sz w:val="20"/>
                <w:szCs w:val="20"/>
                <w:color w:val="auto"/>
              </w:rPr>
            </w:pPr>
            <w:r>
              <w:rPr>
                <w:rFonts w:ascii="Arial" w:cs="Arial" w:eastAsia="Arial" w:hAnsi="Arial"/>
                <w:sz w:val="12"/>
                <w:szCs w:val="12"/>
                <w:color w:val="auto"/>
              </w:rPr>
              <w:t>Risk free rate</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2.1%</w:t>
            </w:r>
          </w:p>
        </w:tc>
        <w:tc>
          <w:tcPr>
            <w:tcW w:w="266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r>
    </w:tbl>
    <w:p>
      <w:pPr>
        <w:spacing w:after="0" w:line="13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For the years ended December 31, 2019, 2018 and 2017, we recognized $10.8 million, $8.1 million and $7.7 million, respectively, of compensation expense related to restricted stock awards, performance-based awards and the ESPP, which is recorded in general and administrative expense on our Consolidated Statement of Income.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Earnings Per Share</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2"/>
          <w:szCs w:val="12"/>
          <w:i w:val="1"/>
          <w:iCs w:val="1"/>
          <w:color w:val="auto"/>
        </w:rPr>
        <w:t>Earnings per Share</w:t>
      </w:r>
      <w:r>
        <w:rPr>
          <w:rFonts w:ascii="Arial" w:cs="Arial" w:eastAsia="Arial" w:hAnsi="Arial"/>
          <w:sz w:val="12"/>
          <w:szCs w:val="12"/>
          <w:color w:val="auto"/>
        </w:rPr>
        <w:t>.</w:t>
      </w:r>
    </w:p>
    <w:p>
      <w:pPr>
        <w:spacing w:after="0" w:line="115"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We also issue PSUs that contain forfeitable rights to receive dividends and are therefore considered non-participating restrictive shares and are not dilutive under the two-class method until performance conditions are met. During the year ended December 31, 2017, approximately 76,000 PSUs were excluded from the computation of diluted net loss per share because their effect is anti-dilutive as a result of our net loss for the period.</w:t>
      </w:r>
    </w:p>
    <w:p>
      <w:pPr>
        <w:spacing w:after="0" w:line="92" w:lineRule="exact"/>
        <w:rPr>
          <w:sz w:val="20"/>
          <w:szCs w:val="20"/>
          <w:color w:val="auto"/>
        </w:rPr>
      </w:pPr>
    </w:p>
    <w:p>
      <w:pPr>
        <w:ind w:right="40"/>
        <w:spacing w:after="0" w:line="256" w:lineRule="auto"/>
        <w:rPr>
          <w:rFonts w:ascii="Arial" w:cs="Arial" w:eastAsia="Arial" w:hAnsi="Arial"/>
          <w:sz w:val="12"/>
          <w:szCs w:val="12"/>
          <w:color w:val="auto"/>
        </w:rPr>
      </w:pPr>
      <w:r>
        <w:rPr>
          <w:rFonts w:ascii="Arial" w:cs="Arial" w:eastAsia="Arial" w:hAnsi="Arial"/>
          <w:sz w:val="12"/>
          <w:szCs w:val="12"/>
          <w:color w:val="auto"/>
        </w:rPr>
        <w:t xml:space="preserve">Prior to the second quarter of 2019, the earnings-per-share impact of the Company’s 3% Series A Convertible Preferred Stock, $0.0001 par value (the “Series A Shares”) </w:t>
      </w:r>
      <w:hyperlink w:anchor="page127">
        <w:r>
          <w:rPr>
            <w:rFonts w:ascii="Arial" w:cs="Arial" w:eastAsia="Arial" w:hAnsi="Arial"/>
            <w:sz w:val="12"/>
            <w:szCs w:val="12"/>
            <w:color w:val="auto"/>
          </w:rPr>
          <w:t xml:space="preserve">(See Note </w:t>
        </w:r>
      </w:hyperlink>
      <w:r>
        <w:rPr>
          <w:rFonts w:ascii="Arial" w:cs="Arial" w:eastAsia="Arial" w:hAnsi="Arial"/>
          <w:sz w:val="12"/>
          <w:szCs w:val="12"/>
          <w:color w:val="auto"/>
        </w:rPr>
        <w:t>19),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 shares. During the second quarter of 2019, the Company received notice from the holder of the Series A Shares of its election to convert all its shares, and the Company made an election to issue shares upon conversion, which occurred on July 2, 2019. As a result, the earnings-per-share impact for the year ended December 31, 2019 is calculated based on the shares outstanding from the issuance date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5213350</wp:posOffset>
            </wp:positionH>
            <wp:positionV relativeFrom="paragraph">
              <wp:posOffset>-386715</wp:posOffset>
            </wp:positionV>
            <wp:extent cx="37211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dilutive effect of the Exchangeable Notes (see Note 11)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dilutive effect of the Warrants (see Note 8) is calculated using the treasury-stock method. During the year ended December 31, 2019, the Warrants were excluded from diluted shares outstanding because the exercise price exceeded the average market price of our common stock for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-297815</wp:posOffset>
            </wp:positionV>
            <wp:extent cx="3568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56870" cy="5715"/>
                    </a:xfrm>
                    <a:prstGeom prst="rect">
                      <a:avLst/>
                    </a:prstGeom>
                    <a:noFill/>
                  </pic:spPr>
                </pic:pic>
              </a:graphicData>
            </a:graphic>
          </wp:anchor>
        </w:drawing>
      </w:r>
    </w:p>
    <w:p>
      <w:pPr>
        <w:spacing w:after="0" w:line="104" w:lineRule="exact"/>
        <w:rPr>
          <w:sz w:val="20"/>
          <w:szCs w:val="20"/>
          <w:color w:val="auto"/>
        </w:rPr>
      </w:pPr>
    </w:p>
    <w:p>
      <w:pPr>
        <w:ind w:right="60"/>
        <w:spacing w:after="0" w:line="259" w:lineRule="auto"/>
        <w:rPr>
          <w:rFonts w:ascii="Arial" w:cs="Arial" w:eastAsia="Arial" w:hAnsi="Arial"/>
          <w:sz w:val="12"/>
          <w:szCs w:val="12"/>
          <w:color w:val="0000EE"/>
        </w:rPr>
      </w:pPr>
      <w:hyperlink w:anchor="page96">
        <w:r>
          <w:rPr>
            <w:rFonts w:ascii="Arial" w:cs="Arial" w:eastAsia="Arial" w:hAnsi="Arial"/>
            <w:sz w:val="12"/>
            <w:szCs w:val="12"/>
            <w:color w:val="auto"/>
          </w:rPr>
          <w:t xml:space="preserve">As part of the acquisition of Tower Cloud on August 31, 2016, we may be obligated to pay contingent consideration upon achievement of certain defined operational and financial milestones. See </w:t>
        </w:r>
        <w:r>
          <w:rPr>
            <w:rFonts w:ascii="Arial" w:cs="Arial" w:eastAsia="Arial" w:hAnsi="Arial"/>
            <w:sz w:val="12"/>
            <w:szCs w:val="12"/>
            <w:u w:val="single" w:color="auto"/>
            <w:color w:val="0000EE"/>
          </w:rPr>
          <w:t>Note 6. At the Company’s discretion,</w:t>
        </w:r>
      </w:hyperlink>
      <w:r>
        <w:rPr>
          <w:rFonts w:ascii="Arial" w:cs="Arial" w:eastAsia="Arial" w:hAnsi="Arial"/>
          <w:sz w:val="12"/>
          <w:szCs w:val="12"/>
          <w:color w:val="auto"/>
        </w:rPr>
        <w:t xml:space="preserve"> </w:t>
      </w:r>
      <w:hyperlink w:anchor="page96">
        <w:r>
          <w:rPr>
            <w:rFonts w:ascii="Arial" w:cs="Arial" w:eastAsia="Arial" w:hAnsi="Arial"/>
            <w:sz w:val="12"/>
            <w:szCs w:val="12"/>
            <w:u w:val="single" w:color="auto"/>
            <w:color w:val="0000EE"/>
          </w:rPr>
          <w:t>a combination of cash and Uniti common shares may be used to satisfy the contingent consideration payments, provided that at least 50% of the aggregate amount of payments is satisfied in cash. The arrangement provides Uniti the</w:t>
        </w:r>
      </w:hyperlink>
      <w:r>
        <w:rPr>
          <w:rFonts w:ascii="Arial" w:cs="Arial" w:eastAsia="Arial" w:hAnsi="Arial"/>
          <w:sz w:val="12"/>
          <w:szCs w:val="12"/>
          <w:u w:val="single" w:color="auto"/>
          <w:color w:val="0000EE"/>
        </w:rPr>
        <w:t xml:space="preserve"> </w:t>
      </w:r>
      <w:hyperlink w:anchor="page96">
        <w:r>
          <w:rPr>
            <w:rFonts w:ascii="Arial" w:cs="Arial" w:eastAsia="Arial" w:hAnsi="Arial"/>
            <w:sz w:val="12"/>
            <w:szCs w:val="12"/>
            <w:u w:val="single" w:color="auto"/>
            <w:color w:val="0000EE"/>
          </w:rPr>
          <w:t>option to cash settle, and it is our policy to settle 100% of the obligation in cash upon the achievement of the defined milestones. As such, there is no impact to our share count for the purposes of the earnings per share calculation.</w:t>
        </w:r>
        <w:r>
          <w:rPr>
            <w:rFonts w:ascii="Arial" w:cs="Arial" w:eastAsia="Arial" w:hAnsi="Arial"/>
            <w:sz w:val="12"/>
            <w:szCs w:val="12"/>
            <w:color w:val="0000EE"/>
          </w:rPr>
          <w:t xml:space="preserve"> </w:t>
        </w:r>
        <w:r>
          <w:rPr>
            <w:rFonts w:ascii="Arial" w:cs="Arial" w:eastAsia="Arial" w:hAnsi="Arial"/>
            <w:sz w:val="12"/>
            <w:szCs w:val="12"/>
            <w:color w:val="000000"/>
          </w:rPr>
          <w:t>See</w:t>
        </w:r>
      </w:hyperlink>
      <w:r>
        <w:rPr>
          <w:rFonts w:ascii="Arial" w:cs="Arial" w:eastAsia="Arial" w:hAnsi="Arial"/>
          <w:sz w:val="12"/>
          <w:szCs w:val="12"/>
          <w:color w:val="0000EE"/>
        </w:rPr>
        <w:t xml:space="preserve"> </w:t>
      </w:r>
      <w:r>
        <w:rPr>
          <w:rFonts w:ascii="Arial" w:cs="Arial" w:eastAsia="Arial" w:hAnsi="Arial"/>
          <w:sz w:val="12"/>
          <w:szCs w:val="12"/>
          <w:color w:val="000000"/>
        </w:rPr>
        <w:t>the accompanying table for the impact.</w:t>
      </w:r>
    </w:p>
    <w:p>
      <w:pPr>
        <w:spacing w:after="0" w:line="124"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4" w:name="page115"/>
    <w:bookmarkEnd w:id="1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sets forth the computation of basic and diluted earnings per share under the two-class method: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6"/>
              </w:rPr>
              <w:t>Year Ended December 31,</w:t>
            </w: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0"/>
              </w:rPr>
              <w:t>2018</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spacing w:after="0"/>
              <w:rPr>
                <w:sz w:val="20"/>
                <w:szCs w:val="20"/>
                <w:color w:val="auto"/>
              </w:rPr>
            </w:pPr>
            <w:r>
              <w:rPr>
                <w:rFonts w:ascii="Arial" w:cs="Arial" w:eastAsia="Arial" w:hAnsi="Arial"/>
                <w:sz w:val="12"/>
                <w:szCs w:val="12"/>
                <w:color w:val="auto"/>
              </w:rPr>
              <w:t>Basic earnings per share:</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Numerator:</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0"/>
              <w:spacing w:after="0"/>
              <w:rPr>
                <w:sz w:val="20"/>
                <w:szCs w:val="20"/>
                <w:color w:val="auto"/>
              </w:rPr>
            </w:pPr>
            <w:r>
              <w:rPr>
                <w:rFonts w:ascii="Arial" w:cs="Arial" w:eastAsia="Arial" w:hAnsi="Arial"/>
                <w:sz w:val="12"/>
                <w:szCs w:val="12"/>
                <w:color w:val="auto"/>
              </w:rPr>
              <w:t>Net income (loss) attributable to shareholders</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10,582</w:t>
            </w:r>
          </w:p>
        </w:tc>
        <w:tc>
          <w:tcPr>
            <w:tcW w:w="24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16,187</w:t>
            </w:r>
          </w:p>
        </w:tc>
        <w:tc>
          <w:tcPr>
            <w:tcW w:w="24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(9,439)</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(549)</w:t>
            </w: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(2,594)</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53"/>
        </w:trPr>
        <w:tc>
          <w:tcPr>
            <w:tcW w:w="5140" w:type="dxa"/>
            <w:vAlign w:val="bottom"/>
            <w:gridSpan w:val="2"/>
          </w:tcPr>
          <w:p>
            <w:pPr>
              <w:ind w:left="320"/>
              <w:spacing w:after="0"/>
              <w:rPr>
                <w:sz w:val="20"/>
                <w:szCs w:val="20"/>
                <w:color w:val="auto"/>
              </w:rPr>
            </w:pPr>
            <w:r>
              <w:rPr>
                <w:rFonts w:ascii="Arial" w:cs="Arial" w:eastAsia="Arial" w:hAnsi="Arial"/>
                <w:sz w:val="12"/>
                <w:szCs w:val="12"/>
                <w:color w:val="auto"/>
              </w:rPr>
              <w:t>Dividends declared on convertible preferred stock</w:t>
            </w:r>
          </w:p>
        </w:tc>
        <w:tc>
          <w:tcPr>
            <w:tcW w:w="44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(656)</w:t>
            </w:r>
          </w:p>
        </w:tc>
        <w:tc>
          <w:tcPr>
            <w:tcW w:w="24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44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(2,624)</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(993)</w:t>
            </w: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(2,980)</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60"/>
              <w:spacing w:after="0"/>
              <w:rPr>
                <w:sz w:val="20"/>
                <w:szCs w:val="20"/>
                <w:color w:val="auto"/>
              </w:rPr>
            </w:pPr>
            <w:r>
              <w:rPr>
                <w:rFonts w:ascii="Arial" w:cs="Arial" w:eastAsia="Arial" w:hAnsi="Arial"/>
                <w:sz w:val="12"/>
                <w:szCs w:val="12"/>
                <w:color w:val="auto"/>
              </w:rPr>
              <w:t>Net income (loss) attributable to common shares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8,384</w:t>
            </w:r>
          </w:p>
        </w:tc>
        <w:tc>
          <w:tcPr>
            <w:tcW w:w="24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7,989</w:t>
            </w:r>
          </w:p>
        </w:tc>
        <w:tc>
          <w:tcPr>
            <w:tcW w:w="24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(16,552)</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Denominator:</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187,358</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176,169</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168,693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Basic earnings (loss) per common share</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496"/>
        </w:trPr>
        <w:tc>
          <w:tcPr>
            <w:tcW w:w="50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6"/>
              </w:rPr>
              <w:t>Year Ended December 31,</w:t>
            </w:r>
          </w:p>
        </w:tc>
        <w:tc>
          <w:tcPr>
            <w:tcW w:w="2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0"/>
              </w:rPr>
              <w:t>2018</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gridSpan w:val="2"/>
          </w:tcPr>
          <w:p>
            <w:pPr>
              <w:spacing w:after="0"/>
              <w:rPr>
                <w:sz w:val="20"/>
                <w:szCs w:val="20"/>
                <w:color w:val="auto"/>
              </w:rPr>
            </w:pPr>
            <w:r>
              <w:rPr>
                <w:rFonts w:ascii="Arial" w:cs="Arial" w:eastAsia="Arial" w:hAnsi="Arial"/>
                <w:sz w:val="12"/>
                <w:szCs w:val="12"/>
                <w:color w:val="auto"/>
              </w:rPr>
              <w:t>Diluted earnings per share:</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Numerator:</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0"/>
              <w:spacing w:after="0"/>
              <w:rPr>
                <w:sz w:val="20"/>
                <w:szCs w:val="20"/>
                <w:color w:val="auto"/>
              </w:rPr>
            </w:pPr>
            <w:r>
              <w:rPr>
                <w:rFonts w:ascii="Arial" w:cs="Arial" w:eastAsia="Arial" w:hAnsi="Arial"/>
                <w:sz w:val="12"/>
                <w:szCs w:val="12"/>
                <w:color w:val="auto"/>
              </w:rPr>
              <w:t>Net income (loss) attributable to shareholders</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10,582</w:t>
            </w:r>
          </w:p>
        </w:tc>
        <w:tc>
          <w:tcPr>
            <w:tcW w:w="24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16,187</w:t>
            </w:r>
          </w:p>
        </w:tc>
        <w:tc>
          <w:tcPr>
            <w:tcW w:w="24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(9,439)</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Less: Income allocated to participating securities</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(549)</w:t>
            </w: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(1,665)</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53"/>
        </w:trPr>
        <w:tc>
          <w:tcPr>
            <w:tcW w:w="5140" w:type="dxa"/>
            <w:vAlign w:val="bottom"/>
            <w:gridSpan w:val="2"/>
          </w:tcPr>
          <w:p>
            <w:pPr>
              <w:ind w:left="320"/>
              <w:spacing w:after="0"/>
              <w:rPr>
                <w:sz w:val="20"/>
                <w:szCs w:val="20"/>
                <w:color w:val="auto"/>
              </w:rPr>
            </w:pPr>
            <w:r>
              <w:rPr>
                <w:rFonts w:ascii="Arial" w:cs="Arial" w:eastAsia="Arial" w:hAnsi="Arial"/>
                <w:sz w:val="12"/>
                <w:szCs w:val="12"/>
                <w:color w:val="auto"/>
              </w:rPr>
              <w:t>Dividends declared on convertible preferred stock</w:t>
            </w:r>
          </w:p>
        </w:tc>
        <w:tc>
          <w:tcPr>
            <w:tcW w:w="44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(656)</w:t>
            </w:r>
          </w:p>
        </w:tc>
        <w:tc>
          <w:tcPr>
            <w:tcW w:w="24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(2,624)</w:t>
            </w:r>
          </w:p>
        </w:tc>
        <w:tc>
          <w:tcPr>
            <w:tcW w:w="440" w:type="dxa"/>
            <w:vAlign w:val="bottom"/>
          </w:tcPr>
          <w:p>
            <w:pPr>
              <w:spacing w:after="0"/>
              <w:rPr>
                <w:sz w:val="13"/>
                <w:szCs w:val="13"/>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(2,624)</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Amortization of discount on convertible preferred stock</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(993)</w:t>
            </w: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(2,980)</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(2,980)</w:t>
            </w:r>
          </w:p>
        </w:tc>
        <w:tc>
          <w:tcPr>
            <w:tcW w:w="0" w:type="dxa"/>
            <w:vAlign w:val="bottom"/>
          </w:tcPr>
          <w:p>
            <w:pPr>
              <w:spacing w:after="0"/>
              <w:rPr>
                <w:sz w:val="1"/>
                <w:szCs w:val="1"/>
                <w:color w:val="auto"/>
              </w:rPr>
            </w:pPr>
          </w:p>
        </w:tc>
      </w:tr>
      <w:tr>
        <w:trPr>
          <w:trHeight w:val="153"/>
        </w:trPr>
        <w:tc>
          <w:tcPr>
            <w:tcW w:w="5140" w:type="dxa"/>
            <w:vAlign w:val="bottom"/>
            <w:gridSpan w:val="2"/>
          </w:tcPr>
          <w:p>
            <w:pPr>
              <w:ind w:left="320"/>
              <w:spacing w:after="0"/>
              <w:rPr>
                <w:sz w:val="20"/>
                <w:szCs w:val="20"/>
                <w:color w:val="auto"/>
              </w:rPr>
            </w:pPr>
            <w:r>
              <w:rPr>
                <w:rFonts w:ascii="Arial" w:cs="Arial" w:eastAsia="Arial" w:hAnsi="Arial"/>
                <w:sz w:val="12"/>
                <w:szCs w:val="12"/>
                <w:color w:val="auto"/>
              </w:rPr>
              <w:t>Impact on if-converted dilutive securities</w:t>
            </w:r>
          </w:p>
        </w:tc>
        <w:tc>
          <w:tcPr>
            <w:tcW w:w="440" w:type="dxa"/>
            <w:vAlign w:val="bottom"/>
          </w:tcPr>
          <w:p>
            <w:pPr>
              <w:spacing w:after="0"/>
              <w:rPr>
                <w:sz w:val="13"/>
                <w:szCs w:val="13"/>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Mark-to-market gain on share settled contingent consideration arrangements</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(1,433)</w:t>
            </w: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(4,944)</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60"/>
              <w:spacing w:after="0"/>
              <w:rPr>
                <w:sz w:val="20"/>
                <w:szCs w:val="20"/>
                <w:color w:val="auto"/>
              </w:rPr>
            </w:pPr>
            <w:r>
              <w:rPr>
                <w:rFonts w:ascii="Arial" w:cs="Arial" w:eastAsia="Arial" w:hAnsi="Arial"/>
                <w:sz w:val="12"/>
                <w:szCs w:val="12"/>
                <w:color w:val="auto"/>
              </w:rPr>
              <w:t>Net income (loss) attributable to common shares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8,384</w:t>
            </w:r>
          </w:p>
        </w:tc>
        <w:tc>
          <w:tcPr>
            <w:tcW w:w="24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7,485</w:t>
            </w:r>
          </w:p>
        </w:tc>
        <w:tc>
          <w:tcPr>
            <w:tcW w:w="24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80"/>
              <w:spacing w:after="0"/>
              <w:rPr>
                <w:sz w:val="20"/>
                <w:szCs w:val="20"/>
                <w:color w:val="auto"/>
              </w:rPr>
            </w:pPr>
            <w:r>
              <w:rPr>
                <w:rFonts w:ascii="Arial" w:cs="Arial" w:eastAsia="Arial" w:hAnsi="Arial"/>
                <w:sz w:val="12"/>
                <w:szCs w:val="12"/>
                <w:color w:val="auto"/>
              </w:rPr>
              <w:t>(21,496)</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Denominator:</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160"/>
              <w:spacing w:after="0"/>
              <w:rPr>
                <w:sz w:val="20"/>
                <w:szCs w:val="20"/>
                <w:color w:val="auto"/>
              </w:rPr>
            </w:pPr>
            <w:r>
              <w:rPr>
                <w:rFonts w:ascii="Arial" w:cs="Arial" w:eastAsia="Arial" w:hAnsi="Arial"/>
                <w:sz w:val="12"/>
                <w:szCs w:val="12"/>
                <w:color w:val="auto"/>
              </w:rPr>
              <w:t>Basic weighted-average common shares outstanding</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187,358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176,169</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168,693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Contingent consideration (See Note 5)</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ind w:left="320"/>
              <w:spacing w:after="0"/>
              <w:rPr>
                <w:sz w:val="20"/>
                <w:szCs w:val="20"/>
                <w:color w:val="auto"/>
              </w:rPr>
            </w:pPr>
            <w:r>
              <w:rPr>
                <w:rFonts w:ascii="Arial" w:cs="Arial" w:eastAsia="Arial" w:hAnsi="Arial"/>
                <w:sz w:val="12"/>
                <w:szCs w:val="12"/>
                <w:color w:val="auto"/>
              </w:rPr>
              <w:t>Impact on if-converted dilutive securities</w:t>
            </w:r>
          </w:p>
        </w:tc>
        <w:tc>
          <w:tcPr>
            <w:tcW w:w="440" w:type="dxa"/>
            <w:vAlign w:val="bottom"/>
          </w:tcPr>
          <w:p>
            <w:pPr>
              <w:spacing w:after="0"/>
              <w:rPr>
                <w:sz w:val="13"/>
                <w:szCs w:val="13"/>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Effect of dilutive non-participating securities</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Weighted-average shares for dilutive earnings per common share</w:t>
            </w:r>
          </w:p>
        </w:tc>
        <w:tc>
          <w:tcPr>
            <w:tcW w:w="4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187,358</w:t>
            </w:r>
          </w:p>
        </w:tc>
        <w:tc>
          <w:tcPr>
            <w:tcW w:w="2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177,071</w:t>
            </w:r>
          </w:p>
        </w:tc>
        <w:tc>
          <w:tcPr>
            <w:tcW w:w="24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168,989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Dilutive earnings (loss) per common share</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r>
        <w:trPr>
          <w:trHeight w:val="27"/>
        </w:trPr>
        <w:tc>
          <w:tcPr>
            <w:tcW w:w="50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Segment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management, including our chief executive officer, who is our chief operating decision maker, manages our operations as four operating business segments in addition to our corporate operations and include: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5" w:name="page116"/>
    <w:bookmarkEnd w:id="1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i w:val="1"/>
          <w:iCs w:val="1"/>
          <w:u w:val="single" w:color="auto"/>
          <w:color w:val="auto"/>
        </w:rPr>
        <w:t>Leasing</w:t>
      </w:r>
      <w:r>
        <w:rPr>
          <w:rFonts w:ascii="Arial" w:cs="Arial" w:eastAsia="Arial" w:hAnsi="Arial"/>
          <w:sz w:val="12"/>
          <w:szCs w:val="12"/>
          <w:color w:val="auto"/>
        </w:rPr>
        <w:t>: Represents a component of our REIT operations and includes the results from our leasing business, Uniti Leasing, which is engaged in the acquisition of mission-critical communications assets and leasing them back to anchor</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on either an exclusive or shared-tenant basis.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Fiber Infrastructure</w:t>
      </w:r>
      <w:r>
        <w:rPr>
          <w:rFonts w:ascii="Arial" w:cs="Arial" w:eastAsia="Arial" w:hAnsi="Arial"/>
          <w:sz w:val="12"/>
          <w:szCs w:val="12"/>
          <w:color w:val="auto"/>
        </w:rPr>
        <w:t>: Represents the operations of our fiber business, Uniti Fiber, which is a leading provider of infrastructure solutions, including cell site backhaul and dark fiber, to the telecommunications industry.</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i w:val="1"/>
          <w:iCs w:val="1"/>
          <w:u w:val="single" w:color="auto"/>
          <w:color w:val="auto"/>
        </w:rPr>
        <w:t>Towers</w:t>
      </w:r>
      <w:r>
        <w:rPr>
          <w:rFonts w:ascii="Arial" w:cs="Arial" w:eastAsia="Arial" w:hAnsi="Arial"/>
          <w:sz w:val="12"/>
          <w:szCs w:val="12"/>
          <w:color w:val="auto"/>
        </w:rPr>
        <w:t>: Represents the operations of our towers business, Uniti Towers, through which we acquire and construct tower and tower-related real estate and lease space on communications towers to wireless service providers and other</w:t>
      </w:r>
      <w:r>
        <w:rPr>
          <w:rFonts w:ascii="Arial" w:cs="Arial" w:eastAsia="Arial" w:hAnsi="Arial"/>
          <w:sz w:val="12"/>
          <w:szCs w:val="12"/>
          <w:i w:val="1"/>
          <w:iCs w:val="1"/>
          <w:color w:val="auto"/>
        </w:rPr>
        <w:t xml:space="preserve"> </w:t>
      </w:r>
      <w:r>
        <w:rPr>
          <w:rFonts w:ascii="Arial" w:cs="Arial" w:eastAsia="Arial" w:hAnsi="Arial"/>
          <w:sz w:val="12"/>
          <w:szCs w:val="12"/>
          <w:color w:val="auto"/>
        </w:rPr>
        <w:t>tenants in the United States. On April 2, 2019, the Company completed the sale of LATAM and no longer has on-going operations in Latin America. During 2019, the Company completed the sale of substantially all of its ground lease business located across the United States. See Note 6. In February 2020, we entered into a definitive agreement to sell 486 of our U.S. towers located across 32 states for total cash consideration of approximately $190 million, subject to adjustments. See Note 22</w:t>
      </w:r>
      <w:r>
        <w:rPr>
          <w:rFonts w:ascii="Arial" w:cs="Arial" w:eastAsia="Arial" w:hAnsi="Arial"/>
          <w:sz w:val="12"/>
          <w:szCs w:val="12"/>
          <w:i w:val="1"/>
          <w:iCs w:val="1"/>
          <w:color w:val="auto"/>
        </w:rPr>
        <w:t>.</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i w:val="1"/>
          <w:iCs w:val="1"/>
          <w:u w:val="single" w:color="auto"/>
          <w:color w:val="auto"/>
        </w:rPr>
        <w:t>Consumer CLEC</w:t>
      </w:r>
      <w:r>
        <w:rPr>
          <w:rFonts w:ascii="Arial" w:cs="Arial" w:eastAsia="Arial" w:hAnsi="Arial"/>
          <w:sz w:val="12"/>
          <w:szCs w:val="12"/>
          <w:color w:val="auto"/>
        </w:rPr>
        <w:t>: Represents the operations of Talk America Services (“Talk America”) through which we operate the Consumer CLEC Business, which prior to the Spin-Off was reported as an integrated operation within Windstream.</w:t>
      </w:r>
      <w:r>
        <w:rPr>
          <w:rFonts w:ascii="Arial" w:cs="Arial" w:eastAsia="Arial" w:hAnsi="Arial"/>
          <w:sz w:val="12"/>
          <w:szCs w:val="12"/>
          <w:i w:val="1"/>
          <w:iCs w:val="1"/>
          <w:color w:val="auto"/>
        </w:rPr>
        <w:t xml:space="preserve"> </w:t>
      </w:r>
      <w:r>
        <w:rPr>
          <w:rFonts w:ascii="Arial" w:cs="Arial" w:eastAsia="Arial" w:hAnsi="Arial"/>
          <w:sz w:val="12"/>
          <w:szCs w:val="12"/>
          <w:color w:val="auto"/>
        </w:rPr>
        <w:t>Talk America provides local telephone, high-speed internet and long distance services to customers in the eastern and central United States. We have commenced a wind down of our Consumer CLEC business, which we estimate will be completed during the second quarter of 2020.</w:t>
      </w:r>
    </w:p>
    <w:p>
      <w:pPr>
        <w:spacing w:after="0" w:line="122"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i w:val="1"/>
          <w:iCs w:val="1"/>
          <w:u w:val="single" w:color="auto"/>
          <w:color w:val="auto"/>
        </w:rPr>
        <w:t>Corporate</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Represents our corporate office and shared service functions. Certain costs and expenses, primarily related to headcount, insurance, professional fees and similar charges, that are directly attributable to operations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segments are allocated to the respective segments.</w:t>
      </w:r>
    </w:p>
    <w:p>
      <w:pPr>
        <w:spacing w:after="0" w:line="115"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costs associated with Windstream’s bankruptcy, costs associated with litigation claims made against us, and costs associated with the implementation of our new enterprise resource planning system, the write off of unamortized deferred financing costs, costs incurred as a result of the early repayment of debt, gains or losses on dispositions,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6" w:name="page117"/>
    <w:bookmarkEnd w:id="1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Selected financial data related to our segments is presented below for the years ended December 31, 2019, 2018 and 2017: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Year Ended December 31, 2019</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3"/>
        </w:trPr>
        <w:tc>
          <w:tcPr>
            <w:tcW w:w="4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r>
      <w:tr>
        <w:trPr>
          <w:trHeight w:val="113"/>
        </w:trPr>
        <w:tc>
          <w:tcPr>
            <w:tcW w:w="42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1"/>
              </w:rPr>
              <w:t>Fiber Infrastructure</w:t>
            </w:r>
          </w:p>
        </w:tc>
        <w:tc>
          <w:tcPr>
            <w:tcW w:w="22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03"/>
              <w:spacing w:after="0" w:line="114" w:lineRule="exact"/>
              <w:rPr>
                <w:sz w:val="20"/>
                <w:szCs w:val="20"/>
                <w:color w:val="auto"/>
              </w:rPr>
            </w:pPr>
            <w:r>
              <w:rPr>
                <w:rFonts w:ascii="Arial" w:cs="Arial" w:eastAsia="Arial" w:hAnsi="Arial"/>
                <w:sz w:val="10"/>
                <w:szCs w:val="10"/>
                <w:b w:val="1"/>
                <w:bCs w:val="1"/>
                <w:color w:val="auto"/>
              </w:rPr>
              <w:t>Towers</w:t>
            </w:r>
          </w:p>
        </w:tc>
        <w:tc>
          <w:tcPr>
            <w:tcW w:w="240" w:type="dxa"/>
            <w:vAlign w:val="bottom"/>
            <w:tcBorders>
              <w:bottom w:val="single" w:sz="8" w:color="CFF0FC"/>
            </w:tcBorders>
            <w:gridSpan w:val="2"/>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
              <w:spacing w:after="0" w:line="114" w:lineRule="exact"/>
              <w:rPr>
                <w:sz w:val="20"/>
                <w:szCs w:val="20"/>
                <w:color w:val="auto"/>
              </w:rPr>
            </w:pPr>
            <w:r>
              <w:rPr>
                <w:rFonts w:ascii="Arial" w:cs="Arial" w:eastAsia="Arial" w:hAnsi="Arial"/>
                <w:sz w:val="10"/>
                <w:szCs w:val="10"/>
                <w:b w:val="1"/>
                <w:bCs w:val="1"/>
                <w:color w:val="auto"/>
                <w:w w:val="79"/>
              </w:rPr>
              <w:t>Segments</w:t>
            </w:r>
          </w:p>
        </w:tc>
        <w:tc>
          <w:tcPr>
            <w:tcW w:w="140" w:type="dxa"/>
            <w:vAlign w:val="bottom"/>
            <w:tcBorders>
              <w:bottom w:val="single" w:sz="8" w:color="CFF0FC"/>
            </w:tcBorders>
          </w:tcPr>
          <w:p>
            <w:pPr>
              <w:spacing w:after="0"/>
              <w:rPr>
                <w:sz w:val="9"/>
                <w:szCs w:val="9"/>
                <w:color w:val="auto"/>
              </w:rPr>
            </w:pPr>
          </w:p>
        </w:tc>
      </w:tr>
      <w:tr>
        <w:trPr>
          <w:trHeight w:val="142"/>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Revenues</w:t>
            </w: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716,640</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315,605</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14,693</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10,673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1,057,611</w:t>
            </w:r>
          </w:p>
        </w:tc>
        <w:tc>
          <w:tcPr>
            <w:tcW w:w="140" w:type="dxa"/>
            <w:vAlign w:val="bottom"/>
            <w:shd w:val="clear" w:color="auto" w:fill="CFF0FC"/>
          </w:tcPr>
          <w:p>
            <w:pPr>
              <w:spacing w:after="0"/>
              <w:rPr>
                <w:sz w:val="12"/>
                <w:szCs w:val="12"/>
                <w:color w:val="auto"/>
              </w:rPr>
            </w:pPr>
          </w:p>
        </w:tc>
      </w:tr>
      <w:tr>
        <w:trPr>
          <w:trHeight w:val="153"/>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711,119</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126,754</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w w:val="71"/>
              </w:rPr>
              <w:t>$</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(595)</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1,955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(26,494)</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812,739</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spacing w:after="0"/>
              <w:rPr>
                <w:sz w:val="20"/>
                <w:szCs w:val="20"/>
                <w:color w:val="auto"/>
              </w:rPr>
            </w:pPr>
            <w:r>
              <w:rPr>
                <w:rFonts w:ascii="Arial" w:cs="Arial" w:eastAsia="Arial" w:hAnsi="Arial"/>
                <w:sz w:val="12"/>
                <w:szCs w:val="12"/>
                <w:color w:val="auto"/>
              </w:rPr>
              <w:t>Adjusted EBITDA margin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2"/>
                <w:szCs w:val="12"/>
                <w:color w:val="auto"/>
              </w:rPr>
              <w:t>99.2%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40.2%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18.3%</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76.8%</w:t>
            </w: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Less: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Interest expense,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390,112</w:t>
            </w: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282,107</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114,566</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1,879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728</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405,754</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Other income,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(24,219)</w:t>
            </w: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43,708</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Gain on sale of real estate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(28,995)</w:t>
            </w: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Stock-based compensation</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10,808</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tcBorders>
              <w:bottom w:val="single" w:sz="8" w:color="CFF0FC"/>
            </w:tcBorders>
            <w:gridSpan w:val="3"/>
          </w:tcPr>
          <w:p>
            <w:pPr>
              <w:ind w:left="80"/>
              <w:spacing w:after="0"/>
              <w:rPr>
                <w:sz w:val="20"/>
                <w:szCs w:val="20"/>
                <w:color w:val="auto"/>
              </w:rPr>
            </w:pPr>
            <w:r>
              <w:rPr>
                <w:rFonts w:ascii="Arial" w:cs="Arial" w:eastAsia="Arial" w:hAnsi="Arial"/>
                <w:sz w:val="12"/>
                <w:szCs w:val="12"/>
                <w:color w:val="auto"/>
              </w:rPr>
              <w:t>Income tax expense</w:t>
            </w: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4,663</w:t>
            </w:r>
          </w:p>
        </w:tc>
        <w:tc>
          <w:tcPr>
            <w:tcW w:w="140" w:type="dxa"/>
            <w:vAlign w:val="bottom"/>
            <w:tcBorders>
              <w:bottom w:val="single" w:sz="8" w:color="CFF0FC"/>
            </w:tcBorders>
          </w:tcPr>
          <w:p>
            <w:pPr>
              <w:spacing w:after="0"/>
              <w:rPr>
                <w:sz w:val="13"/>
                <w:szCs w:val="13"/>
                <w:color w:val="auto"/>
              </w:rPr>
            </w:pPr>
          </w:p>
        </w:tc>
      </w:tr>
      <w:tr>
        <w:trPr>
          <w:trHeight w:val="149"/>
        </w:trPr>
        <w:tc>
          <w:tcPr>
            <w:tcW w:w="43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Net income</w:t>
            </w: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10,908</w:t>
            </w:r>
          </w:p>
        </w:tc>
        <w:tc>
          <w:tcPr>
            <w:tcW w:w="140" w:type="dxa"/>
            <w:vAlign w:val="bottom"/>
            <w:tcBorders>
              <w:bottom w:val="single" w:sz="8" w:color="CFF0FC"/>
            </w:tcBorders>
            <w:shd w:val="clear" w:color="auto" w:fill="CFF0FC"/>
          </w:tcPr>
          <w:p>
            <w:pPr>
              <w:spacing w:after="0"/>
              <w:rPr>
                <w:sz w:val="12"/>
                <w:szCs w:val="12"/>
                <w:color w:val="auto"/>
              </w:rPr>
            </w:pPr>
          </w:p>
        </w:tc>
      </w:tr>
      <w:tr>
        <w:trPr>
          <w:trHeight w:val="153"/>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2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338,543</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233,506</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99,234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671,298</w:t>
            </w:r>
          </w:p>
        </w:tc>
        <w:tc>
          <w:tcPr>
            <w:tcW w:w="140" w:type="dxa"/>
            <w:vAlign w:val="bottom"/>
            <w:shd w:val="clear" w:color="auto" w:fill="CFF0FC"/>
          </w:tcPr>
          <w:p>
            <w:pPr>
              <w:spacing w:after="0"/>
              <w:rPr>
                <w:sz w:val="13"/>
                <w:szCs w:val="13"/>
                <w:color w:val="auto"/>
              </w:rPr>
            </w:pPr>
          </w:p>
        </w:tc>
      </w:tr>
      <w:tr>
        <w:trPr>
          <w:trHeight w:val="594"/>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Year Ended December 31, 2018</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83"/>
        </w:trPr>
        <w:tc>
          <w:tcPr>
            <w:tcW w:w="4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jc w:val="center"/>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r>
      <w:tr>
        <w:trPr>
          <w:trHeight w:val="113"/>
        </w:trPr>
        <w:tc>
          <w:tcPr>
            <w:tcW w:w="4220" w:type="dxa"/>
            <w:vAlign w:val="bottom"/>
            <w:tcBorders>
              <w:bottom w:val="single" w:sz="8" w:color="auto"/>
            </w:tcBorders>
            <w:gridSpan w:val="2"/>
          </w:tcPr>
          <w:p>
            <w:pPr>
              <w:spacing w:after="0" w:line="114" w:lineRule="exact"/>
              <w:rPr>
                <w:sz w:val="20"/>
                <w:szCs w:val="20"/>
                <w:color w:val="auto"/>
              </w:rPr>
            </w:pPr>
            <w:r>
              <w:rPr>
                <w:rFonts w:ascii="Arial" w:cs="Arial" w:eastAsia="Arial" w:hAnsi="Arial"/>
                <w:sz w:val="10"/>
                <w:szCs w:val="10"/>
                <w:color w:val="auto"/>
              </w:rPr>
              <w:t>(Thousands)</w:t>
            </w:r>
          </w:p>
        </w:tc>
        <w:tc>
          <w:tcPr>
            <w:tcW w:w="8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Leasing</w:t>
            </w:r>
          </w:p>
        </w:tc>
        <w:tc>
          <w:tcPr>
            <w:tcW w:w="2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rPr>
              <w:t>Towers</w:t>
            </w:r>
          </w:p>
        </w:tc>
        <w:tc>
          <w:tcPr>
            <w:tcW w:w="220" w:type="dxa"/>
            <w:vAlign w:val="bottom"/>
            <w:tcBorders>
              <w:bottom w:val="single" w:sz="8" w:color="CFF0FC"/>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40" w:type="dxa"/>
            <w:vAlign w:val="bottom"/>
            <w:tcBorders>
              <w:bottom w:val="single" w:sz="8" w:color="CFF0FC"/>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
              <w:spacing w:after="0" w:line="114" w:lineRule="exact"/>
              <w:rPr>
                <w:sz w:val="20"/>
                <w:szCs w:val="20"/>
                <w:color w:val="auto"/>
              </w:rPr>
            </w:pPr>
            <w:r>
              <w:rPr>
                <w:rFonts w:ascii="Arial" w:cs="Arial" w:eastAsia="Arial" w:hAnsi="Arial"/>
                <w:sz w:val="10"/>
                <w:szCs w:val="10"/>
                <w:b w:val="1"/>
                <w:bCs w:val="1"/>
                <w:color w:val="auto"/>
                <w:w w:val="79"/>
              </w:rPr>
              <w:t>Segments</w:t>
            </w:r>
          </w:p>
        </w:tc>
        <w:tc>
          <w:tcPr>
            <w:tcW w:w="140" w:type="dxa"/>
            <w:vAlign w:val="bottom"/>
            <w:tcBorders>
              <w:bottom w:val="single" w:sz="8" w:color="CFF0FC"/>
            </w:tcBorders>
          </w:tcPr>
          <w:p>
            <w:pPr>
              <w:spacing w:after="0"/>
              <w:rPr>
                <w:sz w:val="9"/>
                <w:szCs w:val="9"/>
                <w:color w:val="auto"/>
              </w:rPr>
            </w:pPr>
          </w:p>
        </w:tc>
      </w:tr>
      <w:tr>
        <w:trPr>
          <w:trHeight w:val="142"/>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Revenues</w:t>
            </w: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699,847</w:t>
            </w:r>
          </w:p>
        </w:tc>
        <w:tc>
          <w:tcPr>
            <w:tcW w:w="200" w:type="dxa"/>
            <w:vAlign w:val="bottom"/>
            <w:shd w:val="clear" w:color="auto" w:fill="CFF0FC"/>
          </w:tcPr>
          <w:p>
            <w:pPr>
              <w:spacing w:after="0"/>
              <w:rPr>
                <w:sz w:val="12"/>
                <w:szCs w:val="12"/>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289,239</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14,617</w:t>
            </w: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13,931</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1,017,634</w:t>
            </w:r>
          </w:p>
        </w:tc>
        <w:tc>
          <w:tcPr>
            <w:tcW w:w="140" w:type="dxa"/>
            <w:vAlign w:val="bottom"/>
            <w:shd w:val="clear" w:color="auto" w:fill="CFF0FC"/>
          </w:tcPr>
          <w:p>
            <w:pPr>
              <w:spacing w:after="0"/>
              <w:rPr>
                <w:sz w:val="12"/>
                <w:szCs w:val="12"/>
                <w:color w:val="auto"/>
              </w:rPr>
            </w:pPr>
          </w:p>
        </w:tc>
      </w:tr>
      <w:tr>
        <w:trPr>
          <w:trHeight w:val="153"/>
        </w:trPr>
        <w:tc>
          <w:tcPr>
            <w:tcW w:w="4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697,545</w:t>
            </w:r>
          </w:p>
        </w:tc>
        <w:tc>
          <w:tcPr>
            <w:tcW w:w="2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123,389</w:t>
            </w: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22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3,353</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(21,759)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802,883</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spacing w:after="0"/>
              <w:rPr>
                <w:sz w:val="20"/>
                <w:szCs w:val="20"/>
                <w:color w:val="auto"/>
              </w:rPr>
            </w:pPr>
            <w:r>
              <w:rPr>
                <w:rFonts w:ascii="Arial" w:cs="Arial" w:eastAsia="Arial" w:hAnsi="Arial"/>
                <w:sz w:val="12"/>
                <w:szCs w:val="12"/>
                <w:color w:val="auto"/>
              </w:rPr>
              <w:t>Adjusted EBITDA margin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99.7%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2"/>
                <w:szCs w:val="12"/>
                <w:color w:val="auto"/>
              </w:rPr>
              <w:t>42.7%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24.1%</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78.9%</w:t>
            </w: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Less: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Interest expense,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319,591</w:t>
            </w: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337,126</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105,651</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6,704</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451,750</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Other income,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(4,504)</w:t>
            </w: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17,410</w:t>
            </w:r>
          </w:p>
        </w:tc>
        <w:tc>
          <w:tcPr>
            <w:tcW w:w="140" w:type="dxa"/>
            <w:vAlign w:val="bottom"/>
            <w:shd w:val="clear" w:color="auto" w:fill="CFF0FC"/>
          </w:tcPr>
          <w:p>
            <w:pPr>
              <w:spacing w:after="0"/>
              <w:rPr>
                <w:sz w:val="13"/>
                <w:szCs w:val="13"/>
                <w:color w:val="auto"/>
              </w:rPr>
            </w:pP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Stock-based compensation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8,064</w:t>
            </w: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(5,421)</w:t>
            </w:r>
          </w:p>
        </w:tc>
      </w:tr>
      <w:tr>
        <w:trPr>
          <w:trHeight w:val="153"/>
        </w:trPr>
        <w:tc>
          <w:tcPr>
            <w:tcW w:w="4300" w:type="dxa"/>
            <w:vAlign w:val="bottom"/>
            <w:gridSpan w:val="3"/>
          </w:tcPr>
          <w:p>
            <w:pPr>
              <w:ind w:left="80"/>
              <w:spacing w:after="0"/>
              <w:rPr>
                <w:sz w:val="20"/>
                <w:szCs w:val="20"/>
                <w:color w:val="auto"/>
              </w:rPr>
            </w:pPr>
            <w:r>
              <w:rPr>
                <w:rFonts w:ascii="Arial" w:cs="Arial" w:eastAsia="Arial" w:hAnsi="Arial"/>
                <w:sz w:val="12"/>
                <w:szCs w:val="12"/>
                <w:color w:val="auto"/>
              </w:rPr>
              <w:t>Other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(552)</w:t>
            </w:r>
          </w:p>
        </w:tc>
      </w:tr>
      <w:tr>
        <w:trPr>
          <w:trHeight w:val="149"/>
        </w:trPr>
        <w:tc>
          <w:tcPr>
            <w:tcW w:w="43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Net income</w:t>
            </w: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86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7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16,545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53"/>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152,140</w:t>
            </w:r>
          </w:p>
        </w:tc>
        <w:tc>
          <w:tcPr>
            <w:tcW w:w="20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199,689</w:t>
            </w:r>
          </w:p>
        </w:tc>
        <w:tc>
          <w:tcPr>
            <w:tcW w:w="2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74,932</w:t>
            </w:r>
          </w:p>
        </w:tc>
        <w:tc>
          <w:tcPr>
            <w:tcW w:w="22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426,875</w:t>
            </w:r>
          </w:p>
        </w:tc>
        <w:tc>
          <w:tcPr>
            <w:tcW w:w="140" w:type="dxa"/>
            <w:vAlign w:val="bottom"/>
            <w:shd w:val="clear" w:color="auto" w:fill="CFF0FC"/>
          </w:tcPr>
          <w:p>
            <w:pPr>
              <w:spacing w:after="0"/>
              <w:rPr>
                <w:sz w:val="13"/>
                <w:szCs w:val="13"/>
                <w:color w:val="auto"/>
              </w:rPr>
            </w:pPr>
          </w:p>
        </w:tc>
      </w:tr>
      <w:tr>
        <w:trPr>
          <w:trHeight w:val="288"/>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ind w:right="600"/>
              <w:spacing w:after="0"/>
              <w:rPr>
                <w:sz w:val="20"/>
                <w:szCs w:val="20"/>
                <w:color w:val="auto"/>
              </w:rPr>
            </w:pPr>
            <w:r>
              <w:rPr>
                <w:rFonts w:ascii="Arial" w:cs="Arial" w:eastAsia="Arial" w:hAnsi="Arial"/>
                <w:sz w:val="12"/>
                <w:szCs w:val="12"/>
                <w:color w:val="auto"/>
                <w:w w:val="89"/>
              </w:rPr>
              <w:t>117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2"/>
        </w:trPr>
        <w:tc>
          <w:tcPr>
            <w:tcW w:w="4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7" w:name="page118"/>
    <w:bookmarkEnd w:id="11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7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0"/>
                <w:szCs w:val="10"/>
                <w:b w:val="1"/>
                <w:bCs w:val="1"/>
                <w:color w:val="auto"/>
              </w:rPr>
              <w:t>Year Ended December 31, 2017</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right"/>
              <w:ind w:right="2"/>
              <w:spacing w:after="0" w:line="83" w:lineRule="exact"/>
              <w:rPr>
                <w:sz w:val="20"/>
                <w:szCs w:val="20"/>
                <w:color w:val="auto"/>
              </w:rPr>
            </w:pPr>
            <w:r>
              <w:rPr>
                <w:rFonts w:ascii="Arial" w:cs="Arial" w:eastAsia="Arial" w:hAnsi="Arial"/>
                <w:sz w:val="8"/>
                <w:szCs w:val="8"/>
                <w:b w:val="1"/>
                <w:bCs w:val="1"/>
                <w:color w:val="auto"/>
              </w:rPr>
              <w:t>Total of Reportable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2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(Thousands)</w:t>
            </w:r>
          </w:p>
        </w:tc>
        <w:tc>
          <w:tcPr>
            <w:tcW w:w="1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2"/>
              <w:spacing w:after="0" w:line="114" w:lineRule="exact"/>
              <w:rPr>
                <w:sz w:val="20"/>
                <w:szCs w:val="20"/>
                <w:color w:val="auto"/>
              </w:rPr>
            </w:pPr>
            <w:r>
              <w:rPr>
                <w:rFonts w:ascii="Arial" w:cs="Arial" w:eastAsia="Arial" w:hAnsi="Arial"/>
                <w:sz w:val="10"/>
                <w:szCs w:val="10"/>
                <w:b w:val="1"/>
                <w:bCs w:val="1"/>
                <w:color w:val="auto"/>
              </w:rPr>
              <w:t>Leasing</w:t>
            </w:r>
          </w:p>
        </w:tc>
        <w:tc>
          <w:tcPr>
            <w:tcW w:w="2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w w:val="93"/>
              </w:rPr>
              <w:t>Fiber Infrastructure</w:t>
            </w: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03"/>
              <w:spacing w:after="0" w:line="114" w:lineRule="exact"/>
              <w:rPr>
                <w:sz w:val="20"/>
                <w:szCs w:val="20"/>
                <w:color w:val="auto"/>
              </w:rPr>
            </w:pPr>
            <w:r>
              <w:rPr>
                <w:rFonts w:ascii="Arial" w:cs="Arial" w:eastAsia="Arial" w:hAnsi="Arial"/>
                <w:sz w:val="10"/>
                <w:szCs w:val="10"/>
                <w:b w:val="1"/>
                <w:bCs w:val="1"/>
                <w:color w:val="auto"/>
              </w:rPr>
              <w:t>Towers</w:t>
            </w:r>
          </w:p>
        </w:tc>
        <w:tc>
          <w:tcPr>
            <w:tcW w:w="26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w w:val="90"/>
              </w:rPr>
              <w:t>Consumer CLEC</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Corporate</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222"/>
              <w:spacing w:after="0" w:line="114" w:lineRule="exact"/>
              <w:rPr>
                <w:sz w:val="20"/>
                <w:szCs w:val="20"/>
                <w:color w:val="auto"/>
              </w:rPr>
            </w:pPr>
            <w:r>
              <w:rPr>
                <w:rFonts w:ascii="Arial" w:cs="Arial" w:eastAsia="Arial" w:hAnsi="Arial"/>
                <w:sz w:val="10"/>
                <w:szCs w:val="10"/>
                <w:b w:val="1"/>
                <w:bCs w:val="1"/>
                <w:color w:val="auto"/>
              </w:rPr>
              <w:t>Segments</w:t>
            </w:r>
          </w:p>
        </w:tc>
        <w:tc>
          <w:tcPr>
            <w:tcW w:w="1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Revenues</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685,099</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202,791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18,087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916,032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683,651</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83,987</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(831)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(21,839)</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749,524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tcPr>
          <w:p>
            <w:pPr>
              <w:spacing w:after="0"/>
              <w:rPr>
                <w:sz w:val="20"/>
                <w:szCs w:val="20"/>
                <w:color w:val="auto"/>
              </w:rPr>
            </w:pPr>
            <w:r>
              <w:rPr>
                <w:rFonts w:ascii="Arial" w:cs="Arial" w:eastAsia="Arial" w:hAnsi="Arial"/>
                <w:sz w:val="12"/>
                <w:szCs w:val="12"/>
                <w:color w:val="auto"/>
              </w:rPr>
              <w:t>Adjusted EBITDA margin</w:t>
            </w:r>
          </w:p>
        </w:tc>
        <w:tc>
          <w:tcPr>
            <w:tcW w:w="1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99.8%</w:t>
            </w:r>
          </w:p>
        </w:tc>
        <w:tc>
          <w:tcPr>
            <w:tcW w:w="3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41.4%</w:t>
            </w:r>
          </w:p>
        </w:tc>
        <w:tc>
          <w:tcPr>
            <w:tcW w:w="2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25.2%</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53"/>
        </w:trPr>
        <w:tc>
          <w:tcPr>
            <w:tcW w:w="4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tcPr>
          <w:p>
            <w:pPr>
              <w:ind w:left="80"/>
              <w:spacing w:after="0"/>
              <w:rPr>
                <w:sz w:val="20"/>
                <w:szCs w:val="20"/>
                <w:color w:val="auto"/>
              </w:rPr>
            </w:pPr>
            <w:r>
              <w:rPr>
                <w:rFonts w:ascii="Arial" w:cs="Arial" w:eastAsia="Arial" w:hAnsi="Arial"/>
                <w:sz w:val="12"/>
                <w:szCs w:val="12"/>
                <w:color w:val="auto"/>
              </w:rPr>
              <w:t>Interest expense, net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305,994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347,999</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78,307</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4,907</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434,205</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tcPr>
          <w:p>
            <w:pPr>
              <w:ind w:left="80"/>
              <w:spacing w:after="0"/>
              <w:rPr>
                <w:sz w:val="20"/>
                <w:szCs w:val="20"/>
                <w:color w:val="auto"/>
              </w:rPr>
            </w:pPr>
            <w:r>
              <w:rPr>
                <w:rFonts w:ascii="Arial" w:cs="Arial" w:eastAsia="Arial" w:hAnsi="Arial"/>
                <w:sz w:val="12"/>
                <w:szCs w:val="12"/>
                <w:color w:val="auto"/>
              </w:rPr>
              <w:t>Other expense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11,284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Transaction related and other costs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38,005</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7,713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Income tax benefit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2"/>
                <w:szCs w:val="12"/>
                <w:color w:val="auto"/>
              </w:rPr>
              <w:t>Net loss</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(8,828)</w:t>
            </w:r>
          </w:p>
        </w:tc>
        <w:tc>
          <w:tcPr>
            <w:tcW w:w="0" w:type="dxa"/>
            <w:vAlign w:val="bottom"/>
          </w:tcPr>
          <w:p>
            <w:pPr>
              <w:spacing w:after="0"/>
              <w:rPr>
                <w:sz w:val="1"/>
                <w:szCs w:val="1"/>
                <w:color w:val="auto"/>
              </w:rPr>
            </w:pPr>
          </w:p>
        </w:tc>
      </w:tr>
      <w:tr>
        <w:trPr>
          <w:trHeight w:val="153"/>
        </w:trPr>
        <w:tc>
          <w:tcPr>
            <w:tcW w:w="4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gridSpan w:val="2"/>
          </w:tcPr>
          <w:p>
            <w:pPr>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0"/>
                <w:szCs w:val="10"/>
                <w:color w:val="auto"/>
              </w:rPr>
              <w:t>(1)</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152,918</w:t>
            </w:r>
          </w:p>
        </w:tc>
        <w:tc>
          <w:tcPr>
            <w:tcW w:w="22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104,540</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63</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257,521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28" w:right="100" w:hanging="428"/>
        <w:spacing w:after="0" w:line="276" w:lineRule="auto"/>
        <w:tabs>
          <w:tab w:leader="none" w:pos="428" w:val="left"/>
        </w:tabs>
        <w:numPr>
          <w:ilvl w:val="0"/>
          <w:numId w:val="21"/>
        </w:numPr>
        <w:rPr>
          <w:rFonts w:ascii="Arial" w:cs="Arial" w:eastAsia="Arial" w:hAnsi="Arial"/>
          <w:sz w:val="10"/>
          <w:szCs w:val="10"/>
          <w:color w:val="auto"/>
        </w:rPr>
      </w:pPr>
      <w:r>
        <w:rPr>
          <w:rFonts w:ascii="Arial" w:cs="Arial" w:eastAsia="Arial" w:hAnsi="Arial"/>
          <w:sz w:val="12"/>
          <w:szCs w:val="12"/>
          <w:color w:val="auto"/>
        </w:rPr>
        <w:t>Segment capital expenditures represents capital expenditures, the Bluebird and NMS asset acquisitions (see Note 6) and ground lease investments as reported in the investing activities section of the Consolidated Statement of Cash Flows.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assets by business segment as of December 31, 2019 and December 31, 2018 are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0"/>
                <w:szCs w:val="10"/>
                <w:b w:val="1"/>
                <w:bCs w:val="1"/>
                <w:color w:val="auto"/>
              </w:rPr>
              <w:t>December 31,</w:t>
            </w:r>
          </w:p>
        </w:tc>
        <w:tc>
          <w:tcPr>
            <w:tcW w:w="1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7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151"/>
        </w:trPr>
        <w:tc>
          <w:tcPr>
            <w:tcW w:w="7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Leasing</w:t>
            </w: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2,341,734</w:t>
            </w:r>
          </w:p>
        </w:tc>
        <w:tc>
          <w:tcPr>
            <w:tcW w:w="30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5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2,119,045</w:t>
            </w:r>
          </w:p>
        </w:tc>
        <w:tc>
          <w:tcPr>
            <w:tcW w:w="120" w:type="dxa"/>
            <w:vAlign w:val="bottom"/>
            <w:shd w:val="clear" w:color="auto" w:fill="CFF0FC"/>
          </w:tcPr>
          <w:p>
            <w:pPr>
              <w:spacing w:after="0"/>
              <w:rPr>
                <w:sz w:val="13"/>
                <w:szCs w:val="13"/>
                <w:color w:val="auto"/>
              </w:rPr>
            </w:pPr>
          </w:p>
        </w:tc>
      </w:tr>
      <w:tr>
        <w:trPr>
          <w:trHeight w:val="153"/>
        </w:trPr>
        <w:tc>
          <w:tcPr>
            <w:tcW w:w="7480" w:type="dxa"/>
            <w:vAlign w:val="bottom"/>
            <w:gridSpan w:val="2"/>
          </w:tcPr>
          <w:p>
            <w:pPr>
              <w:spacing w:after="0"/>
              <w:rPr>
                <w:sz w:val="20"/>
                <w:szCs w:val="20"/>
                <w:color w:val="auto"/>
              </w:rPr>
            </w:pPr>
            <w:r>
              <w:rPr>
                <w:rFonts w:ascii="Arial" w:cs="Arial" w:eastAsia="Arial" w:hAnsi="Arial"/>
                <w:sz w:val="12"/>
                <w:szCs w:val="12"/>
                <w:color w:val="auto"/>
              </w:rPr>
              <w:t>Fiber Infrastructure</w:t>
            </w: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2,362,267</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2,194,311</w:t>
            </w:r>
          </w:p>
        </w:tc>
        <w:tc>
          <w:tcPr>
            <w:tcW w:w="120" w:type="dxa"/>
            <w:vAlign w:val="bottom"/>
          </w:tcPr>
          <w:p>
            <w:pPr>
              <w:spacing w:after="0"/>
              <w:rPr>
                <w:sz w:val="13"/>
                <w:szCs w:val="13"/>
                <w:color w:val="auto"/>
              </w:rPr>
            </w:pPr>
          </w:p>
        </w:tc>
      </w:tr>
      <w:tr>
        <w:trPr>
          <w:trHeight w:val="153"/>
        </w:trPr>
        <w:tc>
          <w:tcPr>
            <w:tcW w:w="7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Towers</w:t>
            </w:r>
          </w:p>
        </w:tc>
        <w:tc>
          <w:tcPr>
            <w:tcW w:w="4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235,888</w:t>
            </w:r>
          </w:p>
        </w:tc>
        <w:tc>
          <w:tcPr>
            <w:tcW w:w="3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231,749</w:t>
            </w:r>
          </w:p>
        </w:tc>
        <w:tc>
          <w:tcPr>
            <w:tcW w:w="120" w:type="dxa"/>
            <w:vAlign w:val="bottom"/>
            <w:shd w:val="clear" w:color="auto" w:fill="CFF0FC"/>
          </w:tcPr>
          <w:p>
            <w:pPr>
              <w:spacing w:after="0"/>
              <w:rPr>
                <w:sz w:val="13"/>
                <w:szCs w:val="13"/>
                <w:color w:val="auto"/>
              </w:rPr>
            </w:pPr>
          </w:p>
        </w:tc>
      </w:tr>
      <w:tr>
        <w:trPr>
          <w:trHeight w:val="153"/>
        </w:trPr>
        <w:tc>
          <w:tcPr>
            <w:tcW w:w="7480" w:type="dxa"/>
            <w:vAlign w:val="bottom"/>
            <w:gridSpan w:val="2"/>
          </w:tcPr>
          <w:p>
            <w:pPr>
              <w:spacing w:after="0"/>
              <w:rPr>
                <w:sz w:val="20"/>
                <w:szCs w:val="20"/>
                <w:color w:val="auto"/>
              </w:rPr>
            </w:pPr>
            <w:r>
              <w:rPr>
                <w:rFonts w:ascii="Arial" w:cs="Arial" w:eastAsia="Arial" w:hAnsi="Arial"/>
                <w:sz w:val="12"/>
                <w:szCs w:val="12"/>
                <w:color w:val="auto"/>
              </w:rPr>
              <w:t>Consumer CLEC</w:t>
            </w: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10,687</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10,374</w:t>
            </w:r>
          </w:p>
        </w:tc>
        <w:tc>
          <w:tcPr>
            <w:tcW w:w="120" w:type="dxa"/>
            <w:vAlign w:val="bottom"/>
          </w:tcPr>
          <w:p>
            <w:pPr>
              <w:spacing w:after="0"/>
              <w:rPr>
                <w:sz w:val="13"/>
                <w:szCs w:val="13"/>
                <w:color w:val="auto"/>
              </w:rPr>
            </w:pPr>
          </w:p>
        </w:tc>
      </w:tr>
      <w:tr>
        <w:trPr>
          <w:trHeight w:val="153"/>
        </w:trPr>
        <w:tc>
          <w:tcPr>
            <w:tcW w:w="7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Corporate</w:t>
            </w:r>
          </w:p>
        </w:tc>
        <w:tc>
          <w:tcPr>
            <w:tcW w:w="42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66,424</w:t>
            </w:r>
          </w:p>
        </w:tc>
        <w:tc>
          <w:tcPr>
            <w:tcW w:w="3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37,458</w:t>
            </w:r>
          </w:p>
        </w:tc>
        <w:tc>
          <w:tcPr>
            <w:tcW w:w="120" w:type="dxa"/>
            <w:vAlign w:val="bottom"/>
            <w:shd w:val="clear" w:color="auto" w:fill="CFF0FC"/>
          </w:tcPr>
          <w:p>
            <w:pPr>
              <w:spacing w:after="0"/>
              <w:rPr>
                <w:sz w:val="13"/>
                <w:szCs w:val="13"/>
                <w:color w:val="auto"/>
              </w:rPr>
            </w:pPr>
          </w:p>
        </w:tc>
      </w:tr>
      <w:tr>
        <w:trPr>
          <w:trHeight w:val="149"/>
        </w:trPr>
        <w:tc>
          <w:tcPr>
            <w:tcW w:w="7480" w:type="dxa"/>
            <w:vAlign w:val="bottom"/>
            <w:gridSpan w:val="2"/>
          </w:tcPr>
          <w:p>
            <w:pPr>
              <w:spacing w:after="0"/>
              <w:rPr>
                <w:sz w:val="20"/>
                <w:szCs w:val="20"/>
                <w:color w:val="auto"/>
              </w:rPr>
            </w:pPr>
            <w:r>
              <w:rPr>
                <w:rFonts w:ascii="Arial" w:cs="Arial" w:eastAsia="Arial" w:hAnsi="Arial"/>
                <w:sz w:val="12"/>
                <w:szCs w:val="12"/>
                <w:color w:val="auto"/>
              </w:rPr>
              <w:t>Total of reportable segments</w:t>
            </w: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5,017,000</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4,592,937</w:t>
            </w:r>
          </w:p>
        </w:tc>
        <w:tc>
          <w:tcPr>
            <w:tcW w:w="120" w:type="dxa"/>
            <w:vAlign w:val="bottom"/>
          </w:tcPr>
          <w:p>
            <w:pPr>
              <w:spacing w:after="0"/>
              <w:rPr>
                <w:sz w:val="12"/>
                <w:szCs w:val="12"/>
                <w:color w:val="auto"/>
              </w:rPr>
            </w:pPr>
          </w:p>
        </w:tc>
      </w:tr>
    </w:tbl>
    <w:p>
      <w:pPr>
        <w:spacing w:after="0" w:line="2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15. Commitments and Contingencies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Litigation</w:t>
      </w:r>
    </w:p>
    <w:p>
      <w:pPr>
        <w:spacing w:after="0" w:line="150"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5" w:lineRule="exact"/>
        <w:rPr>
          <w:sz w:val="20"/>
          <w:szCs w:val="20"/>
          <w:color w:val="auto"/>
        </w:rPr>
      </w:pPr>
    </w:p>
    <w:p>
      <w:pPr>
        <w:ind w:left="8" w:right="60"/>
        <w:spacing w:after="0" w:line="256" w:lineRule="auto"/>
        <w:rPr>
          <w:sz w:val="20"/>
          <w:szCs w:val="20"/>
          <w:color w:val="auto"/>
        </w:rPr>
      </w:pPr>
      <w:r>
        <w:rPr>
          <w:rFonts w:ascii="Arial" w:cs="Arial" w:eastAsia="Arial" w:hAnsi="Arial"/>
          <w:sz w:val="12"/>
          <w:szCs w:val="12"/>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 If Windstream assumes the Separation and Distribution Agreement and/or the Master Lease in bankruptcy, it would be obligated to honor all indemnification claims arising</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8" w:name="page119"/>
    <w:bookmarkEnd w:id="1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under such agreement. If the Separation and Distribution Agreement and or the Master Lease are rejected in Windstream’s bankruptcy, any claims on the applicable indemnity would be treated as unsecured claims, and, if that were to occur, there can be no assurance we would receive any related indemnification payments from Windstream in connection with the applicable indemnity claims.</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On July 25, 2019, in connection with Windstream’s bankruptcy, Windstream Holdings and Windstream Services, LLC (“Windstream Services”) filed a complaint with the U.S. Bankruptcy Court for the Southern District of New York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 As further described below, an adverse determination in the adversary proceeding with Windstream could materially adversely affect our results of operations, liquidity and financial condition and our status as a REIT.</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2"/>
          <w:szCs w:val="12"/>
          <w:i w:val="1"/>
          <w:iCs w:val="1"/>
          <w:color w:val="auto"/>
        </w:rPr>
        <w:t>Rejection</w:t>
      </w:r>
      <w:r>
        <w:rPr>
          <w:rFonts w:ascii="Arial" w:cs="Arial" w:eastAsia="Arial" w:hAnsi="Arial"/>
          <w:sz w:val="12"/>
          <w:szCs w:val="12"/>
          <w:color w:val="auto"/>
        </w:rPr>
        <w:t>. In bankruptcy, Windstream has the option to assume or reject the Master Lease. Because the Master Lease is a single indivisible Master Lease with a single rent payment, it must be assumed or rejected in whole and cannot be</w:t>
      </w:r>
      <w:r>
        <w:rPr>
          <w:rFonts w:ascii="Arial" w:cs="Arial" w:eastAsia="Arial" w:hAnsi="Arial"/>
          <w:sz w:val="12"/>
          <w:szCs w:val="12"/>
          <w:i w:val="1"/>
          <w:iCs w:val="1"/>
          <w:color w:val="auto"/>
        </w:rPr>
        <w:t xml:space="preserve"> </w:t>
      </w:r>
      <w:r>
        <w:rPr>
          <w:rFonts w:ascii="Arial" w:cs="Arial" w:eastAsia="Arial" w:hAnsi="Arial"/>
          <w:sz w:val="12"/>
          <w:szCs w:val="12"/>
          <w:color w:val="auto"/>
        </w:rPr>
        <w:t>sub-divided by facility or market.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we believe Windstream would require approval from the applicable PUC and the FCC to cease providing service in those markets. As a result, although we can provide no assurances, we believe the probability of Windstream rejecting the Master Lease in bankruptcy to be remote. A rejection of the Master Lease, or even a temporary disruption in payments to us, would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our debt service obligations and could otherwise affect our ability to maintain REIT status.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A rejection of the Master Lease by Windstream could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 An acceleration of debt under our senior secured credit facilities due to an uncured “event of default” under our Credit Agreement would also result in an “event of default” under the terms of our outstanding notes. Such an “event of default” would give the holders of the applicable debt obligation the right to accelerate our repayment obligations relating to such debt.</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Master Lease contains no provision that contemplates renegotiation of the lease and the bankruptcy court has no ability to unilaterally reset the rent or terms of the lease. In addition, our Credit Agreement prohibits us from amending the Master Lease in a manner that, among other provisions, pro forma for any such amendment, would result in our consolidated secured leverage ratio exceeding 5.00 to 1.00, and management has no intention to enter into a lease amendment that would violate our debt covenants. However, it is difficult to predict what could occur in Windstream’s bankruptcy restructuring, including as a result of the adversary proceeding brought by Windstream related to the Master Lease if the Settlement is not implemented.</w:t>
      </w:r>
    </w:p>
    <w:p>
      <w:pPr>
        <w:spacing w:after="0" w:line="124" w:lineRule="exact"/>
        <w:rPr>
          <w:sz w:val="20"/>
          <w:szCs w:val="20"/>
          <w:color w:val="auto"/>
        </w:rPr>
      </w:pPr>
    </w:p>
    <w:p>
      <w:pPr>
        <w:ind w:right="20"/>
        <w:spacing w:after="0" w:line="263" w:lineRule="auto"/>
        <w:rPr>
          <w:rFonts w:ascii="Arial" w:cs="Arial" w:eastAsia="Arial" w:hAnsi="Arial"/>
          <w:sz w:val="12"/>
          <w:szCs w:val="12"/>
          <w:color w:val="auto"/>
        </w:rPr>
      </w:pPr>
      <w:r>
        <w:rPr>
          <w:rFonts w:ascii="Arial" w:cs="Arial" w:eastAsia="Arial" w:hAnsi="Arial"/>
          <w:sz w:val="12"/>
          <w:szCs w:val="12"/>
          <w:i w:val="1"/>
          <w:iCs w:val="1"/>
          <w:color w:val="auto"/>
        </w:rPr>
        <w:t>Mediation</w:t>
      </w:r>
      <w:r>
        <w:rPr>
          <w:rFonts w:ascii="Arial" w:cs="Arial" w:eastAsia="Arial" w:hAnsi="Arial"/>
          <w:sz w:val="12"/>
          <w:szCs w:val="12"/>
          <w:color w:val="auto"/>
        </w:rPr>
        <w:t>. Uniti, Windstream and Windstream’s creditors have been engaged in mediation in the Windstream bankruptcy to resolve claims brought by Windstream against Uniti. We have recently announced an agreement in principle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to resolve any and all claims and causes of action that have been or may be asserted against Uniti by Windstream, including all litigation brought by Windstream and certain of its creditors in the context of Windstream’s bankruptcy. All litigation between Windstream and Uniti will be stayed while the parties negotiate and prepare the definitive documentation to implement the Settlement </w:t>
      </w:r>
      <w:hyperlink w:anchor="page128">
        <w:r>
          <w:rPr>
            <w:rFonts w:ascii="Arial" w:cs="Arial" w:eastAsia="Arial" w:hAnsi="Arial"/>
            <w:sz w:val="12"/>
            <w:szCs w:val="12"/>
            <w:color w:val="auto"/>
          </w:rPr>
          <w:t>(see Note 22)</w:t>
        </w:r>
      </w:hyperlink>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-24765</wp:posOffset>
            </wp:positionV>
            <wp:extent cx="35941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59410" cy="5715"/>
                    </a:xfrm>
                    <a:prstGeom prst="rect">
                      <a:avLst/>
                    </a:prstGeom>
                    <a:noFill/>
                  </pic:spPr>
                </pic:pic>
              </a:graphicData>
            </a:graphic>
          </wp:anchor>
        </w:drawing>
      </w:r>
    </w:p>
    <w:p>
      <w:pPr>
        <w:spacing w:after="0" w:line="102"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We are committed to seeking a successful resolution that would involve release of all claims against us and continuation of the Master Lease. Discussions among the parties to the mediation continue but, to date, no agreement has been reached, and we cannot predict if or when an agreement will be reached or what its impact or terms would be. Although we believe that a successful renegotiation of the Master Lease is in the interests of all</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9" w:name="page120"/>
    <w:bookmarkEnd w:id="1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parties, any such resolution could result in transfers of value to Windstream that could adversely affect our consolidated results of operations, liquidity, and financial condition.</w:t>
      </w:r>
    </w:p>
    <w:p>
      <w:pPr>
        <w:spacing w:after="0" w:line="150"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i w:val="1"/>
          <w:iCs w:val="1"/>
          <w:color w:val="auto"/>
        </w:rPr>
        <w:t>Recharacterization / Pending Master Lease Litigation</w:t>
      </w:r>
      <w:r>
        <w:rPr>
          <w:rFonts w:ascii="Arial" w:cs="Arial" w:eastAsia="Arial" w:hAnsi="Arial"/>
          <w:sz w:val="11"/>
          <w:szCs w:val="11"/>
          <w:color w:val="auto"/>
        </w:rPr>
        <w:t>. On July 25, 2019, in connection with Windstream’s bankruptcy, Windstream Holdings and Windstream Services filed a complaint with the U.S. Bankruptcy Court for the Southern</w:t>
      </w:r>
      <w:r>
        <w:rPr>
          <w:rFonts w:ascii="Arial" w:cs="Arial" w:eastAsia="Arial" w:hAnsi="Arial"/>
          <w:sz w:val="11"/>
          <w:szCs w:val="11"/>
          <w:i w:val="1"/>
          <w:iCs w:val="1"/>
          <w:color w:val="auto"/>
        </w:rPr>
        <w:t xml:space="preserve"> </w:t>
      </w:r>
      <w:r>
        <w:rPr>
          <w:rFonts w:ascii="Arial" w:cs="Arial" w:eastAsia="Arial" w:hAnsi="Arial"/>
          <w:sz w:val="11"/>
          <w:szCs w:val="11"/>
          <w:color w:val="auto"/>
        </w:rPr>
        <w:t>District of New York against Uniti and certain of its affiliates, alleging¸ among other things, that (1) the Master Lease should be recharacterized as a financing arrangement, (2) rent payments and tenant capital improvements made by Windstream under the Master Lease since at least the third quarter of 2017 constitute constructive fraudulent transfers, (3) the Master Lease is a lease of personal property and (4) Uniti has breached its non-competition obligations to Windstream under the Master Lease, each of which allegations is discussed in more detail below. As described above, the trial for the recharacterization claim has been stayed.</w:t>
      </w:r>
    </w:p>
    <w:p>
      <w:pPr>
        <w:spacing w:after="0" w:line="111"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u w:val="single" w:color="auto"/>
          <w:color w:val="auto"/>
        </w:rPr>
        <w:t>Recharacterization</w:t>
      </w:r>
      <w:r>
        <w:rPr>
          <w:rFonts w:ascii="Arial" w:cs="Arial" w:eastAsia="Arial" w:hAnsi="Arial"/>
          <w:sz w:val="11"/>
          <w:szCs w:val="11"/>
          <w:color w:val="auto"/>
        </w:rPr>
        <w:t>. Windstream asserts that the Master Lease should be recharacterized as a financing arrangement. If the Master Lease were recharacterized as a financing arrangement, Windstream has argued that Windstream should be deemed the true owner of the property subject to the Master Lease, and Uniti should be treated as a creditor of Windstream rather than as a landlord. In evaluating a recharacterization claim, the Bankruptcy Court will look to assess, among other things, the “economic realities” of the transaction and may reach conclusions notwithstanding positions previously taken by Windstream or Uniti as to the nature of the Master Lease, whether publicly or otherwise. In assessing claims for recharacterization of a transaction involving a lease, bankruptcy courts have previously considered such factors as (i) whether the lessor retains residual value at the termination of the lease, (ii) whether “rental” payments were calculated to compensate the lessor for the use of the property, or were structured for another purpose, such as providing a specific return on investment, (iii) whether in a sale-leaseback transaction the purchase price charged for the assets related to the fair market value of the assets or a substantially different amount, such as the amount of financing required by the lessee, (iv) whether the property was purchased specifically for the lessee’s use, (v) whether structuring the transaction as a lease conveyed tax advantages for the parties, and (vi) who bears the risk and benefits of ownership, including whether the lessee retains obligations typically associated with ownership, such as responsibility for property taxes and insurance. Because any determination by the Bankruptcy Court will involve complex factual and legal analysis, including with respect to the factors described above, we cannot provide any assurances as to how the Bankruptcy Court may rule on these issues.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Were the Bankruptcy Court to hold that the Master Lease should be recharacterized as a financing arrangement, it could significantly affect or even eliminate current payments to us under the Master Lease and could significantly affect the ultimate treatment of our claims (including potentially through changing our status to that of a creditor that would share in creditor recoveries from the estate rather than receive rent payments). The Bankruptcy Court could determine that Windstream is the true owner of the property subject to the Master Lease, and we have argued that such property would be deemed to be owned by Windstream Holdings as the counterparty to the Master Lease and that Uniti would have a claim against Windstream Holdings that is secured by such property. Windstream has argued that such property would instead be owned by the operating subsidiaries that previously held it and that our claims would be against Windstream Holdings as the counterparty to the Master Lease. In such an event, the Bankruptcy Court would also determine if our claims are secured by an interest in the leased property. If the Bankruptcy Court were to determine that our claims are not secured by an interest in the leased property, our claims could be unsecured and structurally subordinated to the claims of creditors at Windstream Holdings’ subsidiaries, including Windstream Services. Windstream Services is the issuer of substantially all of Windstream’s debt obligations and certain of its operating subsidiaries guarantee such debt obligations. Were we to be treated as an unsecured creditor of Windstream Holdings, we would not be able to recover any value from Windstream Services or such other operating subsidiaries until all of their respective debt obligations have been satisfied and, in such event, the notes and the guarantees of the notes would only be secured on a first-priority basis by certain of our assets that do not constitute the property subject to the Master Lease. In the event of such an adverse determination, our ability to meet our debt and other obligations could be materially impaired. In addition, recharacterization of the Master Lease as a financing arrangement, depending on the findings of fact and law of, and remedies applied by, the Bankruptcy Court, could affect the U.S. federal income tax treatment of the Master Lease, our status as a REIT (see “Risk Factors—Risks Related to the Status of Uniti as a REIT—Recent developments surrounding Windstream could adversely affect our ability to continue to qualify as a REIT”) and could materially adversely affect our consolidated results of operations, liquidity, and financial condition.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0" w:name="page121"/>
    <w:bookmarkEnd w:id="1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u w:val="single" w:color="auto"/>
          <w:color w:val="auto"/>
        </w:rPr>
        <w:t>Constructive Fraudulent Transfer</w:t>
      </w:r>
      <w:r>
        <w:rPr>
          <w:rFonts w:ascii="Arial" w:cs="Arial" w:eastAsia="Arial" w:hAnsi="Arial"/>
          <w:sz w:val="12"/>
          <w:szCs w:val="12"/>
          <w:color w:val="auto"/>
        </w:rPr>
        <w:t>. Windstream alleges that rent payments and tenant capital improvements made by Windstream under the Master Lease since at least the third quarter of 2017 constitute constructive fraudulent transfers. If the constructive fraudulent transfer claim were successful, Uniti may be required to repay Windstream the amount of rent payments made by Windstream above fair market rent as determined by the Bankruptcy Court and the aggregate amount of all tenant capital improvements made by Windstream, in each case since the date on which the Bankruptcy Court found Windstream to have been insolvent. In its complaint in the adversary proceeding, Windstream alleges that it has paid approximately $366 million for tenant capital improvements under the Master Lease from the fourth quarter of 2017 through November 2019, in addition to making substantial rent payments. As any such calculation of fair market rent and any resulting damages would be a fact-intensive inquiry, it is not possible to provide a likely range of damages at this time, but any such damages award could materially adversely affect our consolidated results of operations, liquidity, and financial condition.</w:t>
      </w:r>
    </w:p>
    <w:p>
      <w:pPr>
        <w:spacing w:after="0" w:line="128"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u w:val="single" w:color="auto"/>
          <w:color w:val="auto"/>
        </w:rPr>
        <w:t>Master Lease for Personal Property</w:t>
      </w:r>
      <w:r>
        <w:rPr>
          <w:rFonts w:ascii="Arial" w:cs="Arial" w:eastAsia="Arial" w:hAnsi="Arial"/>
          <w:sz w:val="12"/>
          <w:szCs w:val="12"/>
          <w:color w:val="auto"/>
        </w:rPr>
        <w:t>. Windstream alleges that the Master Lease is a lease of personal property. If the Master Lease were determined to be a lease of personal property, the deadline for Windstream Holdings to assume or reject the Master Lease would be the confirmation of its plan of reorganization by the Bankruptcy Court, which would extend the deadline that would otherwise be applicable under the bankruptcy code if the Master Lease were treated as a lease of real property, and Windstream could seek from the Bankruptcy Court relief from its current performance obligations during the bankruptcy case. In addition, if the Master Lease were determined to be a lease of personal property, this could also impact our status as a REIT if the Internal Revenue Service were to determine that our gross income is not sufficiently derived from real property. See “Risk Factors— Risks Related to the Status of Uniti as a REIT—Recent developments surrounding Windstream could adversely affect our ability to continue to qualify as a REIT.” On January 21, 2020, Windstream agreed to stay, without prejudice, its action seeking a determination that the Master Lease is a lease of personal property.</w:t>
      </w:r>
    </w:p>
    <w:p>
      <w:pPr>
        <w:spacing w:after="0" w:line="12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u w:val="single" w:color="auto"/>
          <w:color w:val="auto"/>
        </w:rPr>
        <w:t>Breach of Contract</w:t>
      </w:r>
      <w:r>
        <w:rPr>
          <w:rFonts w:ascii="Arial" w:cs="Arial" w:eastAsia="Arial" w:hAnsi="Arial"/>
          <w:sz w:val="12"/>
          <w:szCs w:val="12"/>
          <w:color w:val="auto"/>
        </w:rPr>
        <w:t>. Windstream alleges that Uniti has breached its non-competition obligations to Windstream under the Master Lease and that Windstream is entitled to damages and/or an abatement of rent as a result of such breach, although no damages amount has been asserted. We believe this claim is without merit and in any event do not believe damages would be material.</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While the Windstream Master Lease litigation is currently stayed, it is difficult to predict what could occur in Windstream’s bankruptcy restructuring. However, any adverse determination or judicial decision on one or more of the claims against us could materially adversely affect our consolidated results of operations, liquidity, and financial condition or, in certain circumstances, cause us to file for voluntary Chapter 11 protection. As discussed in Note 22, the Settlement, if effectuated, would result in mutual releases with respect to any and all liability related to any claims and causes of action that currently exist between Uniti and Windstream. As of the date of this Annual Report on Form 10-K, we are unable to determine what, if any, portion of the consideration to be paid to Windstream would be classified as settlement of litigation, and therefore, we have not recorded any liabilities associated with these claims in our Consolidated Balance Sheet. However, we could incur a loss related to the Settlement in future periods.</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In addition,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13"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1" w:name="page122"/>
    <w:bookmarkEnd w:id="1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but no decision has been issued. We intend to defend this matter vigorously, and, because it is still in its preliminary stages, we have not yet determined what effect this lawsuit will have, if any, on our financial position or results of operations. As of the date of this Annual Report on Form 10-K, we are unable to estimate a reasonably possible range of loss and therefore have not recorded any liabilities associated with these claims in our Consolidated Balance Sheet.</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On October 25, 2019, Ibrahim E. Safadi filed a putative class action in the U.S. District Court for the Eastern District of Arkansas against the Company and certain of our officers alleging violations of federal securities laws (the “Safadi Action”). The putative class action seeks to represent investors who acquired the Company’s securities between April 20, 2015 and February 15, 2019. The lawsuit asserts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lawsuit seeks class certification, unspecified monetary damages, costs and attorneys’ fees and other relief. We intend to defend this matter vigorously, and, because it is still in its preliminary stages, we have not yet determined what effect this lawsuit will have, if any, on our financial position or results of operations. As of the date of this Annual Report on Form 10-K, we are unable to estimate a reasonably possible range of loss and therefore have not recorded any liabilities associated with these claims in our Consolidated Balance Sheet.</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On December 6, 2019, Phil Queder filed a putative class action in the U.S. District Court for the Eastern District of Arkansas against the Company and certain of our officers alleging violations of federal securities laws (the “Queder Action”). The putative class action seeks to represent investors who acquired the Company’s securities between April 20, 2015 and February 15, 2019. The lawsuit asserts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lawsuit seeks class certification, unspecified monetary damages, costs and attorneys’ fees and other relief. We intend to defend this matter vigorously, and, because it is still in its preliminary stages, we have not yet determined what effect this lawsuit will have, if any, on our financial position or results of operations. As of the date of this Annual Report on Form 10-K, we are unable to estimate a reasonably possible range of loss and therefore have not recorded any liabilities associated with these claims in our Consolidated Balance Sheet.</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On December 23, 2019, Michael Avery filed a putative class action in the U.S. District Court for the Eastern District of Arkansas against the Company and certain of our officers alleging violations of federal securities laws. The putative class action seeks to represent investors who acquired the Company’s securities between April 20, 2015 and June 24, 2019 (the “Avery Action”). The lawsuit asserts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which would have certain consequences for the Company’s liquidity. The lawsuit seeks class certification, unspecified monetary damages, costs and attorneys’ fees and other relief. We intend to defend this matter vigorously, and, because it is still in its preliminary stages, we have not yet determined what effect this lawsuit will have, if any, on our financial position or results of operations. On March 9, 2020, the plaintiff in the Avery Action filed a notice of voluntary dismissal of the action without prejudice. As a result, we have not recorded any liabilities associated with these claims in our Consolidated Balance Sheet.</w:t>
      </w:r>
    </w:p>
    <w:p>
      <w:pPr>
        <w:spacing w:after="0" w:line="11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On December 30, 2019, various putative shareholders of the Company filed motions to consolidate the Safadi, Queder, and Avery Actions and to appoint a lead plaintiff and lead counsel in the consolidated action. The Court has not yet ruled on those motions.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2" w:name="page123"/>
    <w:bookmarkEnd w:id="1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 as of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Commitments</w:t>
      </w:r>
    </w:p>
    <w:p>
      <w:pPr>
        <w:spacing w:after="0" w:line="15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u w:val="single" w:color="auto"/>
          <w:color w:val="auto"/>
        </w:rPr>
        <w:t>Bluebird Lease</w:t>
      </w:r>
      <w:r>
        <w:rPr>
          <w:rFonts w:ascii="Arial" w:cs="Arial" w:eastAsia="Arial" w:hAnsi="Arial"/>
          <w:sz w:val="12"/>
          <w:szCs w:val="12"/>
          <w:color w:val="auto"/>
        </w:rPr>
        <w:t>. Under the terms of the Bluebird Lease (see Note 6), we have the right, but not the obligation, to fund growth capital expenditures. As of December 31, 2019, the Company has committed to fund approximately $11.2 million of growth capital expenditures over the next twelve months.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Accumulated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Changes in accumulated other comprehensive income (loss) by component is as follows for the years ended December 31, 2019, 2018 and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2019</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2018</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2017</w:t>
            </w:r>
          </w:p>
        </w:tc>
        <w:tc>
          <w:tcPr>
            <w:tcW w:w="120" w:type="dxa"/>
            <w:vAlign w:val="bottom"/>
            <w:tcBorders>
              <w:bottom w:val="single" w:sz="8" w:color="CFF0FC"/>
            </w:tcBorders>
          </w:tcPr>
          <w:p>
            <w:pPr>
              <w:spacing w:after="0"/>
              <w:rPr>
                <w:sz w:val="13"/>
                <w:szCs w:val="13"/>
                <w:color w:val="auto"/>
              </w:rPr>
            </w:pPr>
          </w:p>
        </w:tc>
      </w:tr>
      <w:tr>
        <w:trPr>
          <w:trHeight w:val="151"/>
        </w:trPr>
        <w:tc>
          <w:tcPr>
            <w:tcW w:w="6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flow hedge changes in fair value gain (loss):</w:t>
            </w: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Balance at beginning of period</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30,042</w:t>
            </w:r>
          </w:p>
        </w:tc>
        <w:tc>
          <w:tcPr>
            <w:tcW w:w="26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6,351</w:t>
            </w:r>
          </w:p>
        </w:tc>
        <w:tc>
          <w:tcPr>
            <w:tcW w:w="26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(6,102)</w:t>
            </w: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comprehensive income (loss) before reclassifications</w:t>
            </w: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(51,288)</w:t>
            </w: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21,626</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(7,735)</w:t>
            </w: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Amounts reclassified from accumulated other comprehensive income</w:t>
            </w:r>
          </w:p>
        </w:tc>
        <w:tc>
          <w:tcPr>
            <w:tcW w:w="3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(3,324)</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2,624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20,630</w:t>
            </w:r>
          </w:p>
        </w:tc>
        <w:tc>
          <w:tcPr>
            <w:tcW w:w="120" w:type="dxa"/>
            <w:vAlign w:val="bottom"/>
          </w:tcPr>
          <w:p>
            <w:pPr>
              <w:spacing w:after="0"/>
              <w:rPr>
                <w:sz w:val="14"/>
                <w:szCs w:val="14"/>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1"/>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Net other comprehensive income (loss)</w:t>
            </w:r>
          </w:p>
        </w:tc>
        <w:tc>
          <w:tcPr>
            <w:tcW w:w="34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(24,570)</w:t>
            </w: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30,601</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6,793</w:t>
            </w:r>
          </w:p>
        </w:tc>
        <w:tc>
          <w:tcPr>
            <w:tcW w:w="120" w:type="dxa"/>
            <w:vAlign w:val="bottom"/>
            <w:shd w:val="clear" w:color="auto" w:fill="CFF0FC"/>
          </w:tcPr>
          <w:p>
            <w:pPr>
              <w:spacing w:after="0"/>
              <w:rPr>
                <w:sz w:val="13"/>
                <w:szCs w:val="13"/>
                <w:color w:val="auto"/>
              </w:rPr>
            </w:pP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Less:  Other comprehensive income attributable to noncontrolling interest</w:t>
            </w:r>
          </w:p>
        </w:tc>
        <w:tc>
          <w:tcPr>
            <w:tcW w:w="3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(1,128)</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559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442</w:t>
            </w:r>
          </w:p>
        </w:tc>
        <w:tc>
          <w:tcPr>
            <w:tcW w:w="120" w:type="dxa"/>
            <w:vAlign w:val="bottom"/>
          </w:tcPr>
          <w:p>
            <w:pPr>
              <w:spacing w:after="0"/>
              <w:rPr>
                <w:sz w:val="14"/>
                <w:szCs w:val="14"/>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1"/>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34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(23,442)</w:t>
            </w: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30,042</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6,351</w:t>
            </w:r>
          </w:p>
        </w:tc>
        <w:tc>
          <w:tcPr>
            <w:tcW w:w="120" w:type="dxa"/>
            <w:vAlign w:val="bottom"/>
            <w:shd w:val="clear" w:color="auto" w:fill="CFF0FC"/>
          </w:tcPr>
          <w:p>
            <w:pPr>
              <w:spacing w:after="0"/>
              <w:rPr>
                <w:sz w:val="13"/>
                <w:szCs w:val="13"/>
                <w:color w:val="auto"/>
              </w:rPr>
            </w:pPr>
          </w:p>
        </w:tc>
      </w:tr>
      <w:tr>
        <w:trPr>
          <w:trHeight w:val="151"/>
        </w:trPr>
        <w:tc>
          <w:tcPr>
            <w:tcW w:w="6300" w:type="dxa"/>
            <w:vAlign w:val="bottom"/>
            <w:gridSpan w:val="2"/>
          </w:tcPr>
          <w:p>
            <w:pPr>
              <w:spacing w:after="0"/>
              <w:rPr>
                <w:sz w:val="20"/>
                <w:szCs w:val="20"/>
                <w:color w:val="auto"/>
              </w:rPr>
            </w:pPr>
            <w:r>
              <w:rPr>
                <w:rFonts w:ascii="Arial" w:cs="Arial" w:eastAsia="Arial" w:hAnsi="Arial"/>
                <w:sz w:val="12"/>
                <w:szCs w:val="12"/>
                <w:color w:val="auto"/>
              </w:rPr>
              <w:t>Foreign currency translation gain (loss):</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Balance at beginning of period</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1,470</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(267)</w:t>
            </w: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Translation adjustments</w:t>
            </w:r>
          </w:p>
        </w:tc>
        <w:tc>
          <w:tcPr>
            <w:tcW w:w="3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(1,440)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1,660</w:t>
            </w:r>
          </w:p>
        </w:tc>
        <w:tc>
          <w:tcPr>
            <w:tcW w:w="120" w:type="dxa"/>
            <w:vAlign w:val="bottom"/>
          </w:tcPr>
          <w:p>
            <w:pPr>
              <w:spacing w:after="0"/>
              <w:rPr>
                <w:sz w:val="14"/>
                <w:szCs w:val="14"/>
                <w:color w:val="auto"/>
              </w:rPr>
            </w:pPr>
          </w:p>
        </w:tc>
      </w:tr>
      <w:tr>
        <w:trPr>
          <w:trHeight w:val="162"/>
        </w:trPr>
        <w:tc>
          <w:tcPr>
            <w:tcW w:w="6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Amounts reclassified from accumulated other comprehensive income</w:t>
            </w: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(63)</w:t>
            </w:r>
          </w:p>
        </w:tc>
        <w:tc>
          <w:tcPr>
            <w:tcW w:w="3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1"/>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Net other comprehensive income (loss)</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1,393</w:t>
            </w:r>
          </w:p>
        </w:tc>
        <w:tc>
          <w:tcPr>
            <w:tcW w:w="120" w:type="dxa"/>
            <w:vAlign w:val="bottom"/>
          </w:tcPr>
          <w:p>
            <w:pPr>
              <w:spacing w:after="0"/>
              <w:rPr>
                <w:sz w:val="13"/>
                <w:szCs w:val="13"/>
                <w:color w:val="auto"/>
              </w:rPr>
            </w:pPr>
          </w:p>
        </w:tc>
      </w:tr>
      <w:tr>
        <w:trPr>
          <w:trHeight w:val="162"/>
        </w:trPr>
        <w:tc>
          <w:tcPr>
            <w:tcW w:w="6300" w:type="dxa"/>
            <w:vAlign w:val="bottom"/>
            <w:gridSpan w:val="2"/>
          </w:tcPr>
          <w:p>
            <w:pPr>
              <w:ind w:left="160"/>
              <w:spacing w:after="0"/>
              <w:rPr>
                <w:sz w:val="20"/>
                <w:szCs w:val="20"/>
                <w:color w:val="auto"/>
              </w:rPr>
            </w:pPr>
            <w:r>
              <w:rPr>
                <w:rFonts w:ascii="Arial" w:cs="Arial" w:eastAsia="Arial" w:hAnsi="Arial"/>
                <w:sz w:val="12"/>
                <w:szCs w:val="12"/>
                <w:color w:val="auto"/>
              </w:rPr>
              <w:t>Less:  Other comprehensive loss attributable to noncontrolling interest</w:t>
            </w:r>
          </w:p>
        </w:tc>
        <w:tc>
          <w:tcPr>
            <w:tcW w:w="3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(33)</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(77)</w:t>
            </w:r>
          </w:p>
        </w:tc>
      </w:tr>
      <w:tr>
        <w:trPr>
          <w:trHeight w:val="151"/>
        </w:trPr>
        <w:tc>
          <w:tcPr>
            <w:tcW w:w="630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2"/>
                <w:szCs w:val="12"/>
                <w:color w:val="auto"/>
              </w:rPr>
              <w:t>Balance at end of period</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2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1,470</w:t>
            </w:r>
          </w:p>
        </w:tc>
        <w:tc>
          <w:tcPr>
            <w:tcW w:w="120" w:type="dxa"/>
            <w:vAlign w:val="bottom"/>
            <w:tcBorders>
              <w:top w:val="single" w:sz="8" w:color="CFF0FC"/>
            </w:tcBorders>
            <w:shd w:val="clear" w:color="auto" w:fill="CFF0FC"/>
          </w:tcPr>
          <w:p>
            <w:pPr>
              <w:spacing w:after="0"/>
              <w:rPr>
                <w:sz w:val="13"/>
                <w:szCs w:val="13"/>
                <w:color w:val="auto"/>
              </w:rPr>
            </w:pPr>
          </w:p>
        </w:tc>
      </w:tr>
      <w:tr>
        <w:trPr>
          <w:trHeight w:val="142"/>
        </w:trPr>
        <w:tc>
          <w:tcPr>
            <w:tcW w:w="6300" w:type="dxa"/>
            <w:vAlign w:val="bottom"/>
            <w:gridSpan w:val="2"/>
          </w:tcPr>
          <w:p>
            <w:pPr>
              <w:spacing w:after="0"/>
              <w:rPr>
                <w:sz w:val="20"/>
                <w:szCs w:val="20"/>
                <w:color w:val="auto"/>
              </w:rPr>
            </w:pPr>
            <w:r>
              <w:rPr>
                <w:rFonts w:ascii="Arial" w:cs="Arial" w:eastAsia="Arial" w:hAnsi="Arial"/>
                <w:sz w:val="12"/>
                <w:szCs w:val="12"/>
                <w:color w:val="auto"/>
              </w:rPr>
              <w:t>Accumulated other comprehensive income (loss) at end of period</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(23,442)</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30,105</w:t>
            </w:r>
          </w:p>
        </w:tc>
        <w:tc>
          <w:tcPr>
            <w:tcW w:w="26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7,821</w:t>
            </w:r>
          </w:p>
        </w:tc>
        <w:tc>
          <w:tcPr>
            <w:tcW w:w="120" w:type="dxa"/>
            <w:vAlign w:val="bottom"/>
          </w:tcPr>
          <w:p>
            <w:pPr>
              <w:spacing w:after="0"/>
              <w:rPr>
                <w:sz w:val="12"/>
                <w:szCs w:val="12"/>
                <w:color w:val="auto"/>
              </w:rPr>
            </w:pPr>
          </w:p>
        </w:tc>
      </w:tr>
      <w:tr>
        <w:trPr>
          <w:trHeight w:val="27"/>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Income Taxes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3" w:name="page124"/>
    <w:bookmarkEnd w:id="1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2" w:lineRule="exact"/>
        <w:rPr>
          <w:sz w:val="20"/>
          <w:szCs w:val="20"/>
          <w:color w:val="auto"/>
        </w:rPr>
      </w:pPr>
    </w:p>
    <w:p>
      <w:pPr>
        <w:ind w:right="300"/>
        <w:spacing w:after="0" w:line="259" w:lineRule="auto"/>
        <w:rPr>
          <w:sz w:val="20"/>
          <w:szCs w:val="20"/>
          <w:color w:val="auto"/>
        </w:rPr>
      </w:pPr>
      <w:r>
        <w:rPr>
          <w:rFonts w:ascii="Arial" w:cs="Arial" w:eastAsia="Arial" w:hAnsi="Arial"/>
          <w:sz w:val="12"/>
          <w:szCs w:val="12"/>
          <w:color w:val="auto"/>
        </w:rPr>
        <w:t>Subject to the temporary restriction imposed by the waiver and amendment to our Credit Agreement (see Note 11), our ability to make cash distributions to our shareholders in amounts exceeding 90% of our REIT taxable income, determined without regard to the dividends paid deduction and excluding any capital gains, generally will be restricted. As a result, we recorded a provision in our Consolidated Financial Statements for U.S. federal income taxes related to the activities of the REIT and its passthrough subsidiaries for 2019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have elected to treat the subsidiaries through which we operate Uniti Fiber and Talk America, as well as certain portions of Uniti Towers, as TRSs. TRSs enable us to engage in activities that result in income that does not constitute qualifying income for a REIT. Our TRSs are subject to U.S. federal, state and local corporate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Income tax expense (benefit) for the years ended December 31, 2019, 2018 and 2017 as reported in the accompanying Consolidated Statements of Income was comprised of the following:</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w w:val="97"/>
              </w:rPr>
              <w:t>Year Ended December 31,</w:t>
            </w: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9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Current</w:t>
            </w:r>
          </w:p>
        </w:tc>
        <w:tc>
          <w:tcPr>
            <w:tcW w:w="2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ind w:left="160"/>
              <w:spacing w:after="0"/>
              <w:rPr>
                <w:sz w:val="20"/>
                <w:szCs w:val="20"/>
                <w:color w:val="auto"/>
              </w:rPr>
            </w:pPr>
            <w:r>
              <w:rPr>
                <w:rFonts w:ascii="Arial" w:cs="Arial" w:eastAsia="Arial" w:hAnsi="Arial"/>
                <w:sz w:val="12"/>
                <w:szCs w:val="12"/>
                <w:color w:val="auto"/>
              </w:rPr>
              <w:t>Federal</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10,401</w:t>
            </w:r>
          </w:p>
        </w:tc>
        <w:tc>
          <w:tcPr>
            <w:tcW w:w="24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674</w:t>
            </w:r>
          </w:p>
        </w:tc>
        <w:tc>
          <w:tcPr>
            <w:tcW w:w="24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1,456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20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1,290</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Foreign</w:t>
            </w: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current expense</w:t>
            </w:r>
          </w:p>
        </w:tc>
        <w:tc>
          <w:tcPr>
            <w:tcW w:w="20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16,091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1,964</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w:t>
            </w:r>
          </w:p>
        </w:tc>
        <w:tc>
          <w:tcPr>
            <w:tcW w:w="20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ind w:left="160"/>
              <w:spacing w:after="0"/>
              <w:rPr>
                <w:sz w:val="20"/>
                <w:szCs w:val="20"/>
                <w:color w:val="auto"/>
              </w:rPr>
            </w:pPr>
            <w:r>
              <w:rPr>
                <w:rFonts w:ascii="Arial" w:cs="Arial" w:eastAsia="Arial" w:hAnsi="Arial"/>
                <w:sz w:val="12"/>
                <w:szCs w:val="12"/>
                <w:color w:val="auto"/>
              </w:rPr>
              <w:t>Federal</w:t>
            </w:r>
          </w:p>
        </w:tc>
        <w:tc>
          <w:tcPr>
            <w:tcW w:w="20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(9,378)</w:t>
            </w:r>
          </w:p>
        </w:tc>
        <w:tc>
          <w:tcPr>
            <w:tcW w:w="220" w:type="dxa"/>
            <w:vAlign w:val="bottom"/>
          </w:tcPr>
          <w:p>
            <w:pPr>
              <w:spacing w:after="0"/>
              <w:rPr>
                <w:sz w:val="13"/>
                <w:szCs w:val="1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(5,451)</w:t>
            </w:r>
          </w:p>
        </w:tc>
        <w:tc>
          <w:tcPr>
            <w:tcW w:w="44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(36,956)</w:t>
            </w: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20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(2,050)</w:t>
            </w:r>
          </w:p>
        </w:tc>
        <w:tc>
          <w:tcPr>
            <w:tcW w:w="22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(1,770)</w:t>
            </w:r>
          </w:p>
        </w:tc>
        <w:tc>
          <w:tcPr>
            <w:tcW w:w="4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(3,837)</w:t>
            </w:r>
          </w:p>
        </w:tc>
        <w:tc>
          <w:tcPr>
            <w:tcW w:w="0" w:type="dxa"/>
            <w:vAlign w:val="bottom"/>
          </w:tcPr>
          <w:p>
            <w:pPr>
              <w:spacing w:after="0"/>
              <w:rPr>
                <w:sz w:val="1"/>
                <w:szCs w:val="1"/>
                <w:color w:val="auto"/>
              </w:rPr>
            </w:pPr>
          </w:p>
        </w:tc>
      </w:tr>
      <w:tr>
        <w:trPr>
          <w:trHeight w:val="153"/>
        </w:trPr>
        <w:tc>
          <w:tcPr>
            <w:tcW w:w="5240" w:type="dxa"/>
            <w:vAlign w:val="bottom"/>
            <w:gridSpan w:val="2"/>
          </w:tcPr>
          <w:p>
            <w:pPr>
              <w:ind w:left="160"/>
              <w:spacing w:after="0"/>
              <w:rPr>
                <w:sz w:val="20"/>
                <w:szCs w:val="20"/>
                <w:color w:val="auto"/>
              </w:rPr>
            </w:pPr>
            <w:r>
              <w:rPr>
                <w:rFonts w:ascii="Arial" w:cs="Arial" w:eastAsia="Arial" w:hAnsi="Arial"/>
                <w:sz w:val="12"/>
                <w:szCs w:val="12"/>
                <w:color w:val="auto"/>
              </w:rPr>
              <w:t>Foreign</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(164)</w:t>
            </w:r>
          </w:p>
        </w:tc>
        <w:tc>
          <w:tcPr>
            <w:tcW w:w="44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FF0FC"/>
          </w:tcPr>
          <w:p>
            <w:pPr>
              <w:ind w:left="240"/>
              <w:spacing w:after="0"/>
              <w:rPr>
                <w:sz w:val="20"/>
                <w:szCs w:val="20"/>
                <w:color w:val="auto"/>
              </w:rPr>
            </w:pPr>
            <w:r>
              <w:rPr>
                <w:rFonts w:ascii="Arial" w:cs="Arial" w:eastAsia="Arial" w:hAnsi="Arial"/>
                <w:sz w:val="12"/>
                <w:szCs w:val="12"/>
                <w:color w:val="auto"/>
              </w:rPr>
              <w:t>Total deferred expense</w:t>
            </w: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(11,428)</w:t>
            </w:r>
          </w:p>
        </w:tc>
        <w:tc>
          <w:tcPr>
            <w:tcW w:w="22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(7,385)</w:t>
            </w:r>
          </w:p>
        </w:tc>
        <w:tc>
          <w:tcPr>
            <w:tcW w:w="4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(41,171)</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2"/>
                <w:szCs w:val="12"/>
                <w:color w:val="auto"/>
              </w:rPr>
              <w:t>Total income tax expense (benefit)</w:t>
            </w: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40" w:type="dxa"/>
            <w:vAlign w:val="bottom"/>
            <w:gridSpan w:val="2"/>
            <w:vMerge w:val="continue"/>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4,663</w:t>
            </w:r>
          </w:p>
        </w:tc>
        <w:tc>
          <w:tcPr>
            <w:tcW w:w="24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(5,421)</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576"/>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261"/>
              <w:spacing w:after="0"/>
              <w:rPr>
                <w:sz w:val="20"/>
                <w:szCs w:val="20"/>
                <w:color w:val="auto"/>
              </w:rPr>
            </w:pPr>
            <w:r>
              <w:rPr>
                <w:rFonts w:ascii="Arial" w:cs="Arial" w:eastAsia="Arial" w:hAnsi="Arial"/>
                <w:sz w:val="12"/>
                <w:szCs w:val="12"/>
                <w:color w:val="auto"/>
              </w:rPr>
              <w:t>124</w:t>
            </w: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9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4" w:name="page125"/>
    <w:bookmarkEnd w:id="1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An income tax expense reconciliation between the U.S. statutory tax rate and the effective tax rate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w w:val="99"/>
              </w:rPr>
              <w:t>Year Ended December 31,</w:t>
            </w: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from continuing operations, before tax</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15,571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11,124</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(47,667)</w:t>
            </w:r>
          </w:p>
        </w:tc>
        <w:tc>
          <w:tcPr>
            <w:tcW w:w="0" w:type="dxa"/>
            <w:vAlign w:val="bottom"/>
          </w:tcPr>
          <w:p>
            <w:pPr>
              <w:spacing w:after="0"/>
              <w:rPr>
                <w:sz w:val="1"/>
                <w:szCs w:val="1"/>
                <w:color w:val="auto"/>
              </w:rPr>
            </w:pPr>
          </w:p>
        </w:tc>
      </w:tr>
      <w:tr>
        <w:trPr>
          <w:trHeight w:val="153"/>
        </w:trPr>
        <w:tc>
          <w:tcPr>
            <w:tcW w:w="5180" w:type="dxa"/>
            <w:vAlign w:val="bottom"/>
            <w:gridSpan w:val="2"/>
          </w:tcPr>
          <w:p>
            <w:pPr>
              <w:spacing w:after="0"/>
              <w:rPr>
                <w:sz w:val="20"/>
                <w:szCs w:val="20"/>
                <w:color w:val="auto"/>
              </w:rPr>
            </w:pPr>
            <w:r>
              <w:rPr>
                <w:rFonts w:ascii="Arial" w:cs="Arial" w:eastAsia="Arial" w:hAnsi="Arial"/>
                <w:sz w:val="12"/>
                <w:szCs w:val="12"/>
                <w:color w:val="auto"/>
              </w:rPr>
              <w:t>Income tax at U.S. statutory federal rate</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3,270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2,336</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(16,687)</w:t>
            </w: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Increases (decreases) resulting from:</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State taxes, net of federal benefit</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407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(655)</w:t>
            </w: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Benefit of REIT status</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(2,188)</w:t>
            </w:r>
          </w:p>
        </w:tc>
        <w:tc>
          <w:tcPr>
            <w:tcW w:w="2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(5,687)</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Capitalized transaction costs</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(4,820)</w:t>
            </w: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Change in valuation allowance</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(8,176)</w:t>
            </w: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Adjustment of deferred tax balances</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(26)</w:t>
            </w: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Permanent differences</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gridSpan w:val="2"/>
          </w:tcPr>
          <w:p>
            <w:pPr>
              <w:ind w:left="160"/>
              <w:spacing w:after="0"/>
              <w:rPr>
                <w:sz w:val="20"/>
                <w:szCs w:val="20"/>
                <w:color w:val="auto"/>
              </w:rPr>
            </w:pPr>
            <w:r>
              <w:rPr>
                <w:rFonts w:ascii="Arial" w:cs="Arial" w:eastAsia="Arial" w:hAnsi="Arial"/>
                <w:sz w:val="12"/>
                <w:szCs w:val="12"/>
                <w:color w:val="auto"/>
              </w:rPr>
              <w:t>Foreign taxes</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2,948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(111)</w:t>
            </w:r>
          </w:p>
        </w:tc>
        <w:tc>
          <w:tcPr>
            <w:tcW w:w="44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53"/>
        </w:trPr>
        <w:tc>
          <w:tcPr>
            <w:tcW w:w="5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Rate differential</w:t>
            </w:r>
          </w:p>
        </w:tc>
        <w:tc>
          <w:tcPr>
            <w:tcW w:w="4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(1,319)</w:t>
            </w: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(17,038)</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2"/>
                <w:szCs w:val="12"/>
                <w:color w:val="auto"/>
              </w:rPr>
              <w:t>Income tax expense (benefit)</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4,663</w:t>
            </w:r>
          </w:p>
        </w:tc>
        <w:tc>
          <w:tcPr>
            <w:tcW w:w="24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200"/>
              <w:spacing w:after="0"/>
              <w:rPr>
                <w:sz w:val="20"/>
                <w:szCs w:val="20"/>
                <w:color w:val="auto"/>
              </w:rPr>
            </w:pPr>
            <w:r>
              <w:rPr>
                <w:rFonts w:ascii="Arial" w:cs="Arial" w:eastAsia="Arial" w:hAnsi="Arial"/>
                <w:sz w:val="12"/>
                <w:szCs w:val="12"/>
                <w:color w:val="auto"/>
              </w:rPr>
              <w:t>(5,421)</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(38,849)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effective tax rate on income from continuing operations differs from tax at the statutory rate primarily due to our status as a REIT and certain unrecognized tax benefits related to foreign taxes.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the Company's deferred tax assets and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00" w:type="dxa"/>
            <w:vAlign w:val="bottom"/>
          </w:tcPr>
          <w:p>
            <w:pPr>
              <w:spacing w:after="0"/>
              <w:rPr>
                <w:sz w:val="20"/>
                <w:szCs w:val="20"/>
                <w:color w:val="auto"/>
              </w:rPr>
            </w:pPr>
            <w:r>
              <w:rPr>
                <w:rFonts w:ascii="Arial" w:cs="Arial" w:eastAsia="Arial" w:hAnsi="Arial"/>
                <w:sz w:val="10"/>
                <w:szCs w:val="10"/>
                <w:color w:val="auto"/>
              </w:rPr>
              <w:t>(Thousands)</w:t>
            </w:r>
          </w:p>
        </w:tc>
        <w:tc>
          <w:tcPr>
            <w:tcW w:w="2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0"/>
                <w:szCs w:val="10"/>
                <w:b w:val="1"/>
                <w:bCs w:val="1"/>
                <w:color w:val="auto"/>
              </w:rPr>
              <w:t>December 31, 2019</w:t>
            </w:r>
          </w:p>
        </w:tc>
        <w:tc>
          <w:tcPr>
            <w:tcW w:w="400" w:type="dxa"/>
            <w:vAlign w:val="bottom"/>
          </w:tcPr>
          <w:p>
            <w:pPr>
              <w:spacing w:after="0"/>
              <w:rPr>
                <w:sz w:val="10"/>
                <w:szCs w:val="10"/>
                <w:color w:val="auto"/>
              </w:rPr>
            </w:pPr>
          </w:p>
        </w:tc>
        <w:tc>
          <w:tcPr>
            <w:tcW w:w="1980" w:type="dxa"/>
            <w:vAlign w:val="bottom"/>
            <w:gridSpan w:val="2"/>
          </w:tcPr>
          <w:p>
            <w:pPr>
              <w:jc w:val="right"/>
              <w:ind w:right="860"/>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Deferred tax assets:</w:t>
            </w:r>
          </w:p>
        </w:tc>
        <w:tc>
          <w:tcPr>
            <w:tcW w:w="2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8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8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Deferred revenue</w:t>
            </w:r>
          </w:p>
        </w:tc>
        <w:tc>
          <w:tcPr>
            <w:tcW w:w="288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25,507</w:t>
            </w:r>
          </w:p>
        </w:tc>
        <w:tc>
          <w:tcPr>
            <w:tcW w:w="28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20,373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bonuses</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Stock based compensation</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1,123</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823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Asset retirement obligation</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1,068</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1,458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Inventory reserve</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322</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Excess business interest expense</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2,111</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Lease asset liability</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19,264</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Other</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1,387</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904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operating loss carryforwards</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116,736</w:t>
            </w:r>
          </w:p>
        </w:tc>
        <w:tc>
          <w:tcPr>
            <w:tcW w:w="28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92,443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20"/>
                <w:szCs w:val="20"/>
                <w:color w:val="auto"/>
              </w:rPr>
            </w:pPr>
            <w:r>
              <w:rPr>
                <w:rFonts w:ascii="Arial" w:cs="Arial" w:eastAsia="Arial" w:hAnsi="Arial"/>
                <w:sz w:val="12"/>
                <w:szCs w:val="12"/>
                <w:color w:val="auto"/>
              </w:rPr>
              <w:t>Deferred tax assets</w:t>
            </w: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167,597</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117,700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20"/>
                <w:szCs w:val="20"/>
                <w:color w:val="auto"/>
              </w:rPr>
            </w:pPr>
            <w:r>
              <w:rPr>
                <w:rFonts w:ascii="Arial" w:cs="Arial" w:eastAsia="Arial" w:hAnsi="Arial"/>
                <w:sz w:val="12"/>
                <w:szCs w:val="12"/>
                <w:color w:val="auto"/>
              </w:rPr>
              <w:t>Deferred tax assets, net of valuation allowance</w:t>
            </w: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167,597</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117,700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spacing w:after="0"/>
              <w:rPr>
                <w:sz w:val="13"/>
                <w:szCs w:val="13"/>
                <w:color w:val="auto"/>
              </w:rPr>
            </w:pP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Property, plant and equipment</w:t>
            </w:r>
          </w:p>
        </w:tc>
        <w:tc>
          <w:tcPr>
            <w:tcW w:w="288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(106,716)</w:t>
            </w: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(97,651)</w:t>
            </w: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Customer list intangible</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(46,164)</w:t>
            </w:r>
          </w:p>
        </w:tc>
        <w:tc>
          <w:tcPr>
            <w:tcW w:w="400" w:type="dxa"/>
            <w:vAlign w:val="bottom"/>
          </w:tcPr>
          <w:p>
            <w:pPr>
              <w:spacing w:after="0"/>
              <w:rPr>
                <w:sz w:val="13"/>
                <w:szCs w:val="13"/>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(67,382)</w:t>
            </w: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intangible amortization</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(15,486)</w:t>
            </w:r>
          </w:p>
        </w:tc>
        <w:tc>
          <w:tcPr>
            <w:tcW w:w="4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(3,954)</w:t>
            </w: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Right of use asset</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(18,012)</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or prepaid costs</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(2,121)</w:t>
            </w:r>
          </w:p>
        </w:tc>
        <w:tc>
          <w:tcPr>
            <w:tcW w:w="40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(1,147)</w:t>
            </w: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Arial" w:cs="Arial" w:eastAsia="Arial" w:hAnsi="Arial"/>
                <w:sz w:val="12"/>
                <w:szCs w:val="12"/>
                <w:color w:val="auto"/>
              </w:rPr>
              <w:t>Debt discount and interest expense</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(2,890)</w:t>
            </w:r>
          </w:p>
        </w:tc>
        <w:tc>
          <w:tcPr>
            <w:tcW w:w="4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(639)</w:t>
            </w:r>
          </w:p>
        </w:tc>
        <w:tc>
          <w:tcPr>
            <w:tcW w:w="40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Deferred tax liabilities</w:t>
            </w: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288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(192,028)</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(170,134)</w:t>
            </w:r>
          </w:p>
        </w:tc>
        <w:tc>
          <w:tcPr>
            <w:tcW w:w="0" w:type="dxa"/>
            <w:vAlign w:val="bottom"/>
          </w:tcPr>
          <w:p>
            <w:pPr>
              <w:spacing w:after="0"/>
              <w:rPr>
                <w:sz w:val="1"/>
                <w:szCs w:val="1"/>
                <w:color w:val="auto"/>
              </w:rPr>
            </w:pPr>
          </w:p>
        </w:tc>
      </w:tr>
      <w:tr>
        <w:trPr>
          <w:trHeight w:val="142"/>
        </w:trPr>
        <w:tc>
          <w:tcPr>
            <w:tcW w:w="3900" w:type="dxa"/>
            <w:vAlign w:val="bottom"/>
            <w:tcBorders>
              <w:top w:val="single" w:sz="8" w:color="CFF0FC"/>
            </w:tcBorders>
            <w:shd w:val="clear" w:color="auto" w:fill="CFF0FC"/>
          </w:tcPr>
          <w:p>
            <w:pPr>
              <w:spacing w:after="0"/>
              <w:rPr>
                <w:sz w:val="12"/>
                <w:szCs w:val="12"/>
                <w:color w:val="auto"/>
              </w:rPr>
            </w:pPr>
          </w:p>
        </w:tc>
        <w:tc>
          <w:tcPr>
            <w:tcW w:w="2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860" w:type="dxa"/>
            <w:vAlign w:val="bottom"/>
            <w:tcBorders>
              <w:top w:val="single" w:sz="8" w:color="auto"/>
              <w:bottom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1860" w:type="dxa"/>
            <w:vAlign w:val="bottom"/>
            <w:tcBorders>
              <w:top w:val="single" w:sz="8" w:color="auto"/>
              <w:bottom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20"/>
                <w:szCs w:val="20"/>
                <w:color w:val="auto"/>
              </w:rPr>
            </w:pPr>
            <w:r>
              <w:rPr>
                <w:rFonts w:ascii="Arial" w:cs="Arial" w:eastAsia="Arial" w:hAnsi="Arial"/>
                <w:sz w:val="12"/>
                <w:szCs w:val="12"/>
                <w:color w:val="auto"/>
              </w:rPr>
              <w:t>Deferred tax liability, net</w:t>
            </w:r>
          </w:p>
        </w:tc>
        <w:tc>
          <w:tcPr>
            <w:tcW w:w="288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2140" w:type="dxa"/>
            <w:vAlign w:val="bottom"/>
            <w:gridSpan w:val="2"/>
          </w:tcPr>
          <w:p>
            <w:pPr>
              <w:jc w:val="right"/>
              <w:ind w:right="220"/>
              <w:spacing w:after="0"/>
              <w:rPr>
                <w:sz w:val="20"/>
                <w:szCs w:val="20"/>
                <w:color w:val="auto"/>
              </w:rPr>
            </w:pPr>
            <w:r>
              <w:rPr>
                <w:rFonts w:ascii="Arial" w:cs="Arial" w:eastAsia="Arial" w:hAnsi="Arial"/>
                <w:sz w:val="12"/>
                <w:szCs w:val="12"/>
                <w:color w:val="auto"/>
              </w:rPr>
              <w:t>(24,431)</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(52,434)</w:t>
            </w:r>
          </w:p>
        </w:tc>
        <w:tc>
          <w:tcPr>
            <w:tcW w:w="0" w:type="dxa"/>
            <w:vAlign w:val="bottom"/>
          </w:tcPr>
          <w:p>
            <w:pPr>
              <w:spacing w:after="0"/>
              <w:rPr>
                <w:sz w:val="1"/>
                <w:szCs w:val="1"/>
                <w:color w:val="auto"/>
              </w:rPr>
            </w:pPr>
          </w:p>
        </w:tc>
      </w:tr>
      <w:tr>
        <w:trPr>
          <w:trHeight w:val="288"/>
        </w:trPr>
        <w:tc>
          <w:tcPr>
            <w:tcW w:w="3900" w:type="dxa"/>
            <w:vAlign w:val="bottom"/>
          </w:tcPr>
          <w:p>
            <w:pPr>
              <w:spacing w:after="0"/>
              <w:rPr>
                <w:sz w:val="24"/>
                <w:szCs w:val="24"/>
                <w:color w:val="auto"/>
              </w:rPr>
            </w:pPr>
          </w:p>
        </w:tc>
        <w:tc>
          <w:tcPr>
            <w:tcW w:w="2260" w:type="dxa"/>
            <w:vAlign w:val="bottom"/>
          </w:tcPr>
          <w:p>
            <w:pPr>
              <w:jc w:val="right"/>
              <w:ind w:right="360"/>
              <w:spacing w:after="0"/>
              <w:rPr>
                <w:sz w:val="20"/>
                <w:szCs w:val="20"/>
                <w:color w:val="auto"/>
              </w:rPr>
            </w:pPr>
            <w:r>
              <w:rPr>
                <w:rFonts w:ascii="Arial" w:cs="Arial" w:eastAsia="Arial" w:hAnsi="Arial"/>
                <w:sz w:val="12"/>
                <w:szCs w:val="12"/>
                <w:color w:val="auto"/>
              </w:rPr>
              <w:t>125</w:t>
            </w: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90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5" w:name="page126"/>
    <w:bookmarkEnd w:id="1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the Company’s deferred tax assets were primarily the result of U.S. federal and state NOL carryforwards.</w:t>
      </w:r>
    </w:p>
    <w:p>
      <w:pPr>
        <w:spacing w:after="0" w:line="150"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As of each reporting date, the Company’s management considers new evidence, both positive and negative, that could impact management’s view with regard to future realization of deferred tax assets. Given the Company has significant deferred tax liabilities which are not limited by Sec. 269(a)(1) of the Code, management determined that sufficient positive evidence exists as of December 31, 2019, to conclude that it is more likely than not that all of its deferred tax assets are realizable, and therefore, no valuation allowance has been recorded.</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On August 31, 2016, we acquired 100% of the outstanding equity of Tower Cloud, Inc., which had federal NOL carryforwards of approximately $81.2 million at the date of the acquisition. As a result of the change in ownership, the utilization of Tower Cloud, Inc. NOL carryforwards is subject to limitations imposed by the Code. Approximately $18.3 million of the Tower Cloud, Inc. NOL carryforward was utilized in 2017. The remaining Tower Cloud, Inc. NOL carryforwards will expire between 2026 and 2036.</w:t>
      </w:r>
    </w:p>
    <w:p>
      <w:pPr>
        <w:spacing w:after="0" w:line="12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have total federal NOL carryforwards as of December 31, 2019 of approximately $165.2 million which will expire between 2026 and 2037, and approximately $290.4 million which will not expire but the utilization of which will be limited to 80% of taxable income annually under provisions enacted in the Tax Cut and Jobs Act.</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With the exception of Tower Cloud, Inc. and Uniti Fiber Holdings Inc., our 2016 returns remain open to examination. As Tower Cloud, Inc. and Uniti Fiber Holdings Inc. have NOLs available to carry forward, the applicable tax years will generally remain open to examination several years after the applicable loss carryforwards have been utilized or expire.</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w:t>
            </w:r>
          </w:p>
        </w:tc>
        <w:tc>
          <w:tcPr>
            <w:tcW w:w="160" w:type="dxa"/>
            <w:vAlign w:val="bottom"/>
            <w:tcBorders>
              <w:bottom w:val="single" w:sz="8" w:color="CFF0FC"/>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ind w:right="1002"/>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CFF0FC"/>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jc w:val="right"/>
              <w:ind w:right="982"/>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10"/>
                <w:szCs w:val="10"/>
                <w:color w:val="auto"/>
              </w:rPr>
            </w:pPr>
          </w:p>
        </w:tc>
      </w:tr>
      <w:tr>
        <w:trPr>
          <w:trHeight w:val="142"/>
        </w:trPr>
        <w:tc>
          <w:tcPr>
            <w:tcW w:w="63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at January 1</w:t>
            </w:r>
          </w:p>
        </w:tc>
        <w:tc>
          <w:tcPr>
            <w:tcW w:w="540" w:type="dxa"/>
            <w:vAlign w:val="bottom"/>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26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52"/>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120" w:type="dxa"/>
            <w:vAlign w:val="bottom"/>
            <w:shd w:val="clear" w:color="auto" w:fill="CFF0FC"/>
          </w:tcPr>
          <w:p>
            <w:pPr>
              <w:spacing w:after="0"/>
              <w:rPr>
                <w:sz w:val="12"/>
                <w:szCs w:val="12"/>
                <w:color w:val="auto"/>
              </w:rPr>
            </w:pPr>
          </w:p>
        </w:tc>
      </w:tr>
      <w:tr>
        <w:trPr>
          <w:trHeight w:val="153"/>
        </w:trPr>
        <w:tc>
          <w:tcPr>
            <w:tcW w:w="6360" w:type="dxa"/>
            <w:vAlign w:val="bottom"/>
            <w:gridSpan w:val="2"/>
          </w:tcPr>
          <w:p>
            <w:pPr>
              <w:spacing w:after="0"/>
              <w:rPr>
                <w:sz w:val="20"/>
                <w:szCs w:val="20"/>
                <w:color w:val="auto"/>
              </w:rPr>
            </w:pPr>
            <w:r>
              <w:rPr>
                <w:rFonts w:ascii="Arial" w:cs="Arial" w:eastAsia="Arial" w:hAnsi="Arial"/>
                <w:sz w:val="12"/>
                <w:szCs w:val="12"/>
                <w:color w:val="auto"/>
              </w:rPr>
              <w:t>Additions related to acquisitions</w:t>
            </w:r>
          </w:p>
        </w:tc>
        <w:tc>
          <w:tcPr>
            <w:tcW w:w="5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63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Additions for tax positions for the current year</w:t>
            </w:r>
          </w:p>
        </w:tc>
        <w:tc>
          <w:tcPr>
            <w:tcW w:w="540" w:type="dxa"/>
            <w:vAlign w:val="bottom"/>
            <w:shd w:val="clear" w:color="auto" w:fill="CFF0FC"/>
          </w:tcPr>
          <w:p>
            <w:pPr>
              <w:spacing w:after="0"/>
              <w:rPr>
                <w:sz w:val="13"/>
                <w:szCs w:val="13"/>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1,734</w:t>
            </w: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6360" w:type="dxa"/>
            <w:vAlign w:val="bottom"/>
            <w:gridSpan w:val="2"/>
          </w:tcPr>
          <w:p>
            <w:pPr>
              <w:spacing w:after="0"/>
              <w:rPr>
                <w:sz w:val="20"/>
                <w:szCs w:val="20"/>
                <w:color w:val="auto"/>
              </w:rPr>
            </w:pPr>
            <w:r>
              <w:rPr>
                <w:rFonts w:ascii="Arial" w:cs="Arial" w:eastAsia="Arial" w:hAnsi="Arial"/>
                <w:sz w:val="12"/>
                <w:szCs w:val="12"/>
                <w:color w:val="auto"/>
              </w:rPr>
              <w:t>Additions for tax positions of prior years</w:t>
            </w:r>
          </w:p>
        </w:tc>
        <w:tc>
          <w:tcPr>
            <w:tcW w:w="5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63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Reductions for tax positions of prior years</w:t>
            </w:r>
          </w:p>
        </w:tc>
        <w:tc>
          <w:tcPr>
            <w:tcW w:w="54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(3,036)</w:t>
            </w:r>
          </w:p>
        </w:tc>
        <w:tc>
          <w:tcPr>
            <w:tcW w:w="56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63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Settlements</w:t>
            </w:r>
          </w:p>
        </w:tc>
        <w:tc>
          <w:tcPr>
            <w:tcW w:w="5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9"/>
        </w:trPr>
        <w:tc>
          <w:tcPr>
            <w:tcW w:w="6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Balance at December 31</w:t>
            </w:r>
          </w:p>
        </w:tc>
        <w:tc>
          <w:tcPr>
            <w:tcW w:w="540" w:type="dxa"/>
            <w:vAlign w:val="bottom"/>
            <w:tcBorders>
              <w:bottom w:val="single" w:sz="8" w:color="auto"/>
            </w:tcBorders>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1,734</w:t>
            </w:r>
          </w:p>
        </w:tc>
        <w:tc>
          <w:tcPr>
            <w:tcW w:w="2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52"/>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Company’s entire liability for unrecognized tax benefit would affect the annual effective tax rate if recognized.</w:t>
      </w:r>
    </w:p>
    <w:p>
      <w:pPr>
        <w:spacing w:after="0" w:line="150"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The Company recognizes accrued interest and penalties related to unrecognized tax benefits as additional tax expense. The Company recorded $1.2 million of interest expense and penalties for the period ending December 31, 2019. The Company’s balance of accrued interest and penalties related to unrecognized tax benefits as of December 31, 2019 was $1.2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Supplemental Cash Flow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Cash paid for interest expense and income taxes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Year Ended December 31,</w:t>
            </w:r>
          </w:p>
        </w:tc>
        <w:tc>
          <w:tcPr>
            <w:tcW w:w="5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42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500" w:type="dxa"/>
            <w:vAlign w:val="bottom"/>
          </w:tcPr>
          <w:p>
            <w:pPr>
              <w:spacing w:after="0"/>
              <w:rPr>
                <w:sz w:val="13"/>
                <w:szCs w:val="13"/>
                <w:color w:val="auto"/>
              </w:rPr>
            </w:pPr>
          </w:p>
        </w:tc>
        <w:tc>
          <w:tcPr>
            <w:tcW w:w="1600" w:type="dxa"/>
            <w:vAlign w:val="bottom"/>
          </w:tcPr>
          <w:p>
            <w:pPr>
              <w:jc w:val="right"/>
              <w:ind w:right="908"/>
              <w:spacing w:after="0"/>
              <w:rPr>
                <w:sz w:val="20"/>
                <w:szCs w:val="20"/>
                <w:color w:val="auto"/>
              </w:rPr>
            </w:pPr>
            <w:r>
              <w:rPr>
                <w:rFonts w:ascii="Arial" w:cs="Arial" w:eastAsia="Arial" w:hAnsi="Arial"/>
                <w:sz w:val="10"/>
                <w:szCs w:val="10"/>
                <w:b w:val="1"/>
                <w:bCs w:val="1"/>
                <w:color w:val="auto"/>
              </w:rPr>
              <w:t>2019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Pr>
          <w:p>
            <w:pPr>
              <w:jc w:val="right"/>
              <w:ind w:right="909"/>
              <w:spacing w:after="0"/>
              <w:rPr>
                <w:sz w:val="20"/>
                <w:szCs w:val="20"/>
                <w:color w:val="auto"/>
              </w:rPr>
            </w:pPr>
            <w:r>
              <w:rPr>
                <w:rFonts w:ascii="Arial" w:cs="Arial" w:eastAsia="Arial" w:hAnsi="Arial"/>
                <w:sz w:val="10"/>
                <w:szCs w:val="10"/>
                <w:b w:val="1"/>
                <w:bCs w:val="1"/>
                <w:color w:val="auto"/>
              </w:rPr>
              <w:t>2018</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right"/>
              <w:ind w:right="908"/>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3"/>
                <w:szCs w:val="13"/>
                <w:color w:val="auto"/>
              </w:rPr>
            </w:pPr>
          </w:p>
        </w:tc>
      </w:tr>
      <w:tr>
        <w:trPr>
          <w:trHeight w:val="133"/>
        </w:trPr>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Cash payments for:</w:t>
            </w:r>
          </w:p>
        </w:tc>
        <w:tc>
          <w:tcPr>
            <w:tcW w:w="2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6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8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2"/>
        </w:trPr>
        <w:tc>
          <w:tcPr>
            <w:tcW w:w="4220" w:type="dxa"/>
            <w:vAlign w:val="bottom"/>
            <w:gridSpan w:val="2"/>
          </w:tcPr>
          <w:p>
            <w:pPr>
              <w:ind w:left="160"/>
              <w:spacing w:after="0"/>
              <w:rPr>
                <w:sz w:val="20"/>
                <w:szCs w:val="20"/>
                <w:color w:val="auto"/>
              </w:rPr>
            </w:pPr>
            <w:r>
              <w:rPr>
                <w:rFonts w:ascii="Arial" w:cs="Arial" w:eastAsia="Arial" w:hAnsi="Arial"/>
                <w:sz w:val="11"/>
                <w:szCs w:val="11"/>
                <w:color w:val="auto"/>
              </w:rPr>
              <w:t>Interest (net of capitalized interest)</w:t>
            </w: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tcPr>
          <w:p>
            <w:pPr>
              <w:jc w:val="right"/>
              <w:spacing w:after="0"/>
              <w:rPr>
                <w:sz w:val="20"/>
                <w:szCs w:val="20"/>
                <w:color w:val="auto"/>
              </w:rPr>
            </w:pPr>
            <w:r>
              <w:rPr>
                <w:rFonts w:ascii="Arial" w:cs="Arial" w:eastAsia="Arial" w:hAnsi="Arial"/>
                <w:sz w:val="11"/>
                <w:szCs w:val="11"/>
                <w:color w:val="auto"/>
              </w:rPr>
              <w:t>344,464</w:t>
            </w:r>
          </w:p>
        </w:tc>
        <w:tc>
          <w:tcPr>
            <w:tcW w:w="3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820" w:type="dxa"/>
            <w:vAlign w:val="bottom"/>
          </w:tcPr>
          <w:p>
            <w:pPr>
              <w:jc w:val="right"/>
              <w:spacing w:after="0"/>
              <w:rPr>
                <w:sz w:val="20"/>
                <w:szCs w:val="20"/>
                <w:color w:val="auto"/>
              </w:rPr>
            </w:pPr>
            <w:r>
              <w:rPr>
                <w:rFonts w:ascii="Arial" w:cs="Arial" w:eastAsia="Arial" w:hAnsi="Arial"/>
                <w:sz w:val="11"/>
                <w:szCs w:val="11"/>
                <w:color w:val="auto"/>
              </w:rPr>
              <w:t>281,364</w:t>
            </w:r>
          </w:p>
        </w:tc>
        <w:tc>
          <w:tcPr>
            <w:tcW w:w="320" w:type="dxa"/>
            <w:vAlign w:val="bottom"/>
          </w:tcPr>
          <w:p>
            <w:pPr>
              <w:spacing w:after="0"/>
              <w:rPr>
                <w:sz w:val="12"/>
                <w:szCs w:val="12"/>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tcPr>
          <w:p>
            <w:pPr>
              <w:jc w:val="right"/>
              <w:spacing w:after="0"/>
              <w:rPr>
                <w:sz w:val="20"/>
                <w:szCs w:val="20"/>
                <w:color w:val="auto"/>
              </w:rPr>
            </w:pPr>
            <w:r>
              <w:rPr>
                <w:rFonts w:ascii="Arial" w:cs="Arial" w:eastAsia="Arial" w:hAnsi="Arial"/>
                <w:sz w:val="11"/>
                <w:szCs w:val="11"/>
                <w:color w:val="auto"/>
              </w:rPr>
              <w:t>276,071</w:t>
            </w:r>
          </w:p>
        </w:tc>
        <w:tc>
          <w:tcPr>
            <w:tcW w:w="120" w:type="dxa"/>
            <w:vAlign w:val="bottom"/>
          </w:tcPr>
          <w:p>
            <w:pPr>
              <w:spacing w:after="0"/>
              <w:rPr>
                <w:sz w:val="12"/>
                <w:szCs w:val="12"/>
                <w:color w:val="auto"/>
              </w:rPr>
            </w:pPr>
          </w:p>
        </w:tc>
      </w:tr>
      <w:tr>
        <w:trPr>
          <w:trHeight w:val="146"/>
        </w:trPr>
        <w:tc>
          <w:tcPr>
            <w:tcW w:w="42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Income Taxes</w:t>
            </w: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16,073</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1,688</w:t>
            </w: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4,388</w:t>
            </w:r>
          </w:p>
        </w:tc>
        <w:tc>
          <w:tcPr>
            <w:tcW w:w="120" w:type="dxa"/>
            <w:vAlign w:val="bottom"/>
            <w:shd w:val="clear" w:color="auto" w:fill="CFF0FC"/>
          </w:tcPr>
          <w:p>
            <w:pPr>
              <w:spacing w:after="0"/>
              <w:rPr>
                <w:sz w:val="12"/>
                <w:szCs w:val="12"/>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6" w:name="page127"/>
    <w:bookmarkEnd w:id="126"/>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19. Capital Stock</w:t>
      </w:r>
    </w:p>
    <w:p>
      <w:pPr>
        <w:spacing w:after="0" w:line="154" w:lineRule="exact"/>
        <w:rPr>
          <w:sz w:val="20"/>
          <w:szCs w:val="20"/>
          <w:color w:val="auto"/>
        </w:rPr>
      </w:pPr>
    </w:p>
    <w:p>
      <w:pPr>
        <w:ind w:left="8" w:right="160"/>
        <w:spacing w:after="0" w:line="298" w:lineRule="auto"/>
        <w:rPr>
          <w:sz w:val="20"/>
          <w:szCs w:val="20"/>
          <w:color w:val="auto"/>
        </w:rPr>
      </w:pPr>
      <w:r>
        <w:rPr>
          <w:rFonts w:ascii="Arial" w:cs="Arial" w:eastAsia="Arial" w:hAnsi="Arial"/>
          <w:sz w:val="11"/>
          <w:szCs w:val="11"/>
          <w:color w:val="auto"/>
        </w:rPr>
        <w:t>On July 2, 2019, the Company issued 8,677,163 shares of its commons stock in connection with the conversion by PEG Bandwidth Holdings, LLC of 87,500 shares of the Series A Shares. The Company issued common stock with a total value of $87.5 million, with the total number of shares calculated based on the five-day volume weighted average price of its common stock ending on June 27, 2019. Upon conversion, all outstanding Series A Shares were cancelled and no longer remain outstanding. The issuance by the Company of the common stock was made in reliance upon the exception from registration requirements pursuant to Section 3(a)(9) of the Securities Act.</w:t>
      </w:r>
    </w:p>
    <w:p>
      <w:pPr>
        <w:spacing w:after="0" w:line="105" w:lineRule="exact"/>
        <w:rPr>
          <w:sz w:val="20"/>
          <w:szCs w:val="20"/>
          <w:color w:val="auto"/>
        </w:rPr>
      </w:pPr>
    </w:p>
    <w:p>
      <w:pPr>
        <w:jc w:val="both"/>
        <w:ind w:left="8" w:right="60"/>
        <w:spacing w:after="0" w:line="298" w:lineRule="auto"/>
        <w:rPr>
          <w:sz w:val="20"/>
          <w:szCs w:val="20"/>
          <w:color w:val="auto"/>
        </w:rPr>
      </w:pPr>
      <w:r>
        <w:rPr>
          <w:rFonts w:ascii="Arial" w:cs="Arial" w:eastAsia="Arial" w:hAnsi="Arial"/>
          <w:sz w:val="11"/>
          <w:szCs w:val="11"/>
          <w:color w:val="auto"/>
        </w:rPr>
        <w:t>Until June 15, 2019, we had an effective shelf registration statement on file with the SEC (the “Registration Statement”) to offer and sell various securities from time to time. Under the Registration Statement, we established an at-the-market common stock offering program (the “ATM Program”) to sell shares of common stock having an aggregate offering price of up to $250.0 million. As of December 31, 2019, the Company has issued and sold an aggregate of 6.7 million shares of common stock at a weighted average price of $19.92 per share under the ATM Program, receiving net proceeds of $131.2 million, after commissions of $1.7 million and other offering costs.</w:t>
      </w:r>
    </w:p>
    <w:p>
      <w:pPr>
        <w:spacing w:after="0" w:line="105" w:lineRule="exact"/>
        <w:rPr>
          <w:sz w:val="20"/>
          <w:szCs w:val="20"/>
          <w:color w:val="auto"/>
        </w:rPr>
      </w:pPr>
    </w:p>
    <w:p>
      <w:pPr>
        <w:ind w:left="8" w:right="260"/>
        <w:spacing w:after="0" w:line="379" w:lineRule="auto"/>
        <w:rPr>
          <w:sz w:val="20"/>
          <w:szCs w:val="20"/>
          <w:color w:val="auto"/>
        </w:rPr>
      </w:pPr>
      <w:r>
        <w:rPr>
          <w:rFonts w:ascii="Arial" w:cs="Arial" w:eastAsia="Arial" w:hAnsi="Arial"/>
          <w:sz w:val="10"/>
          <w:szCs w:val="10"/>
          <w:color w:val="auto"/>
        </w:rPr>
        <w:t>On April 25, 2017, we issued 19.5 million shares of our common stock, par value $0.0001 per share. The shares were sold at a public offering price of $26.50, generating proceeds of approximately $518 million, before underwriter discounts and transaction costs. The Company used the proceeds from this offering to fund a portion of the cash consideration paid in connection with the acquisitions of Southern Light and Hunt that closed on July 3, 2017.</w:t>
      </w:r>
    </w:p>
    <w:p>
      <w:pPr>
        <w:spacing w:after="0" w:line="69" w:lineRule="exact"/>
        <w:rPr>
          <w:sz w:val="20"/>
          <w:szCs w:val="20"/>
          <w:color w:val="auto"/>
        </w:rPr>
      </w:pPr>
    </w:p>
    <w:p>
      <w:pPr>
        <w:ind w:left="8" w:right="240"/>
        <w:spacing w:after="0" w:line="276" w:lineRule="auto"/>
        <w:rPr>
          <w:sz w:val="20"/>
          <w:szCs w:val="20"/>
          <w:color w:val="auto"/>
        </w:rPr>
      </w:pPr>
      <w:r>
        <w:rPr>
          <w:rFonts w:ascii="Arial" w:cs="Arial" w:eastAsia="Arial" w:hAnsi="Arial"/>
          <w:sz w:val="12"/>
          <w:szCs w:val="12"/>
          <w:color w:val="auto"/>
        </w:rPr>
        <w:t>We are authorized to issue up to 500,000,000 shares of voting common stock and 50,000,000 shares of preferred stock, of which 192,141,634 and 0 shares, respectively, were outstanding at December 31, 2019. We had 307,858,366 shares of voting common stock available for issuance at December 31, 2019.</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20. Dividends (Distributions)</w:t>
      </w:r>
    </w:p>
    <w:p>
      <w:pPr>
        <w:spacing w:after="0" w:line="154"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Distributions with respect to our common stock is characterized for federal income tax purposes as taxable ordinary dividends, capital gains dividends, non-dividend distribution or a combination thereof. For the years ended December 31, 2019, 2018, and 2017, our common stock distribution per share was $0.97, $2.40 and $2.40, respectively, characterized as follows:</w:t>
      </w:r>
    </w:p>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Year Ended December 31,</w:t>
            </w: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426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 xml:space="preserve">2019 </w:t>
            </w:r>
            <w:r>
              <w:rPr>
                <w:rFonts w:ascii="Arial" w:cs="Arial" w:eastAsia="Arial" w:hAnsi="Arial"/>
                <w:sz w:val="8"/>
                <w:szCs w:val="8"/>
                <w:b w:val="1"/>
                <w:bCs w:val="1"/>
                <w:color w:val="auto"/>
              </w:rPr>
              <w:t>(1)</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885"/>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63"/>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151"/>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Ordinary dividends</w:t>
            </w:r>
          </w:p>
        </w:tc>
        <w:tc>
          <w:tcPr>
            <w:tcW w:w="1520" w:type="dxa"/>
            <w:vAlign w:val="bottom"/>
            <w:shd w:val="clear" w:color="auto" w:fill="CFF0FC"/>
          </w:tcPr>
          <w:p>
            <w:pPr>
              <w:jc w:val="right"/>
              <w:ind w:right="141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0.97</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120" w:type="dxa"/>
            <w:vAlign w:val="bottom"/>
            <w:shd w:val="clear" w:color="auto" w:fill="CFF0FC"/>
          </w:tcPr>
          <w:p>
            <w:pPr>
              <w:spacing w:after="0"/>
              <w:rPr>
                <w:sz w:val="13"/>
                <w:szCs w:val="13"/>
                <w:color w:val="auto"/>
              </w:rPr>
            </w:pPr>
          </w:p>
        </w:tc>
      </w:tr>
      <w:tr>
        <w:trPr>
          <w:trHeight w:val="162"/>
        </w:trPr>
        <w:tc>
          <w:tcPr>
            <w:tcW w:w="42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Non-dividend distributions</w:t>
            </w:r>
          </w:p>
        </w:tc>
        <w:tc>
          <w:tcPr>
            <w:tcW w:w="1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0.87</w:t>
            </w:r>
          </w:p>
        </w:tc>
        <w:tc>
          <w:tcPr>
            <w:tcW w:w="2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w:t>
            </w:r>
          </w:p>
        </w:tc>
        <w:tc>
          <w:tcPr>
            <w:tcW w:w="120" w:type="dxa"/>
            <w:vAlign w:val="bottom"/>
            <w:tcBorders>
              <w:bottom w:val="single" w:sz="8" w:color="CFF0FC"/>
            </w:tcBorders>
          </w:tcPr>
          <w:p>
            <w:pPr>
              <w:spacing w:after="0"/>
              <w:rPr>
                <w:sz w:val="14"/>
                <w:szCs w:val="14"/>
                <w:color w:val="auto"/>
              </w:rPr>
            </w:pPr>
          </w:p>
        </w:tc>
      </w:tr>
      <w:tr>
        <w:trPr>
          <w:trHeight w:val="151"/>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FF0FC"/>
          </w:tcPr>
          <w:p>
            <w:pPr>
              <w:jc w:val="right"/>
              <w:ind w:right="141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0.97</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120" w:type="dxa"/>
            <w:vAlign w:val="bottom"/>
            <w:shd w:val="clear" w:color="auto" w:fill="CFF0FC"/>
          </w:tcPr>
          <w:p>
            <w:pPr>
              <w:spacing w:after="0"/>
              <w:rPr>
                <w:sz w:val="13"/>
                <w:szCs w:val="13"/>
                <w:color w:val="auto"/>
              </w:rPr>
            </w:pPr>
          </w:p>
        </w:tc>
      </w:tr>
    </w:tbl>
    <w:p>
      <w:pPr>
        <w:spacing w:after="0" w:line="126" w:lineRule="exact"/>
        <w:rPr>
          <w:sz w:val="20"/>
          <w:szCs w:val="20"/>
          <w:color w:val="auto"/>
        </w:rPr>
      </w:pPr>
    </w:p>
    <w:p>
      <w:pPr>
        <w:ind w:left="428" w:right="140" w:hanging="428"/>
        <w:spacing w:after="0" w:line="276" w:lineRule="auto"/>
        <w:tabs>
          <w:tab w:leader="none" w:pos="428" w:val="left"/>
        </w:tabs>
        <w:numPr>
          <w:ilvl w:val="0"/>
          <w:numId w:val="22"/>
        </w:numPr>
        <w:rPr>
          <w:rFonts w:ascii="Arial" w:cs="Arial" w:eastAsia="Arial" w:hAnsi="Arial"/>
          <w:sz w:val="10"/>
          <w:szCs w:val="10"/>
          <w:color w:val="auto"/>
        </w:rPr>
      </w:pPr>
      <w:r>
        <w:rPr>
          <w:rFonts w:ascii="Arial" w:cs="Arial" w:eastAsia="Arial" w:hAnsi="Arial"/>
          <w:sz w:val="12"/>
          <w:szCs w:val="12"/>
          <w:color w:val="auto"/>
        </w:rPr>
        <w:t>Pursuant to Internal Revenue Code Section 857(b)(9), if you were a stockholder of record as of December 31, 2019, your dividend payment of $0.2200 per share received in January 2020 was reported on Form 1099-DIV for the 2019 taxable year for federal income tax purposes.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21. Employee Benefit Plan</w:t>
      </w:r>
    </w:p>
    <w:p>
      <w:pPr>
        <w:spacing w:after="0" w:line="154" w:lineRule="exact"/>
        <w:rPr>
          <w:sz w:val="20"/>
          <w:szCs w:val="20"/>
          <w:color w:val="auto"/>
        </w:rPr>
      </w:pPr>
    </w:p>
    <w:p>
      <w:pPr>
        <w:jc w:val="both"/>
        <w:ind w:left="8" w:right="80"/>
        <w:spacing w:after="0" w:line="263" w:lineRule="auto"/>
        <w:rPr>
          <w:sz w:val="20"/>
          <w:szCs w:val="20"/>
          <w:color w:val="auto"/>
        </w:rPr>
      </w:pPr>
      <w:r>
        <w:rPr>
          <w:rFonts w:ascii="Arial" w:cs="Arial" w:eastAsia="Arial" w:hAnsi="Arial"/>
          <w:sz w:val="12"/>
          <w:szCs w:val="12"/>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2019, 2018 and 2017 was $1.7 million, $1.2 million and $0.8 million, respectively.</w:t>
      </w:r>
    </w:p>
    <w:p>
      <w:pPr>
        <w:spacing w:after="0" w:line="122" w:lineRule="exact"/>
        <w:rPr>
          <w:sz w:val="20"/>
          <w:szCs w:val="20"/>
          <w:color w:val="auto"/>
        </w:rPr>
      </w:pPr>
    </w:p>
    <w:p>
      <w:pPr>
        <w:jc w:val="both"/>
        <w:ind w:left="8" w:right="80"/>
        <w:spacing w:after="0" w:line="276" w:lineRule="auto"/>
        <w:rPr>
          <w:sz w:val="20"/>
          <w:szCs w:val="20"/>
          <w:color w:val="auto"/>
        </w:rPr>
      </w:pPr>
      <w:r>
        <w:rPr>
          <w:rFonts w:ascii="Arial" w:cs="Arial" w:eastAsia="Arial" w:hAnsi="Arial"/>
          <w:sz w:val="12"/>
          <w:szCs w:val="12"/>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27" w:name="page128"/>
    <w:bookmarkEnd w:id="1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22. Subsequent Events</w:t>
      </w:r>
    </w:p>
    <w:p>
      <w:pPr>
        <w:spacing w:after="0" w:line="15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On March 2, 2020, Uniti and Windstream jointly announced that they have reached an agreement in principle (the “</w:t>
      </w:r>
      <w:r>
        <w:rPr>
          <w:rFonts w:ascii="Arial" w:cs="Arial" w:eastAsia="Arial" w:hAnsi="Arial"/>
          <w:sz w:val="12"/>
          <w:szCs w:val="12"/>
          <w:u w:val="single" w:color="auto"/>
          <w:color w:val="auto"/>
        </w:rPr>
        <w:t>Settlement</w:t>
      </w:r>
      <w:r>
        <w:rPr>
          <w:rFonts w:ascii="Arial" w:cs="Arial" w:eastAsia="Arial" w:hAnsi="Arial"/>
          <w:sz w:val="12"/>
          <w:szCs w:val="12"/>
          <w:color w:val="auto"/>
        </w:rPr>
        <w:t>”) to resolve any and all claims and causes of action that have been or may be asserted against Uniti by Windstream, including all litigation brought by Windstream and certain of its creditors in the context of Windstream’s bankruptcy. All litigation between Windstream and Uniti will be stayed while the parties negotiate and prepare the definitive documentation to implement the Settlement.</w:t>
      </w:r>
    </w:p>
    <w:p>
      <w:pPr>
        <w:spacing w:after="0" w:line="122"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Pursuant to the Settlement, Uniti and Windstream will agree to mutual releases with respect to any and all liability related to any claims and causes of action between them, including those relating to Windstream’s Chapter 11 proceedings and the Master Lease. Under the Settlement, Uniti will agree to make a $400 million cash payment to Windstream in equal installments over 20 consecutive quarters beginning the first month after Windstream’s emergence at an annual interest rate of 9%, and Uniti may prepay any installments falling due on or after the first anniversary of the Settlement’s effective date (resulting in total payments ranging from $432-$490 million). Uniti will also transfer the proceeds from the sale of its common stock described below to Windstream. In exchange, Windstream will transfer to Uniti certain dark fiber indefeasible rights of use contracts and access rights to 1.8 million fiber strand miles leased by Windstream that is either unutilized or utilized for the dark fiber IRUs being transferred. Uniti will be required to pay Windstream $350 per route mile on any fiber strand miles that are sold above and beyond the fiber strand miles currently being utilized in connection with such dark fiber IRUs. In addition, Uniti will acquire certain Windstream-owned assets, including certain fiber IRU contracts.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Windstream and Uniti will also agree to bifurcate the Master Lease into two structurally similar, but independent, agreements to govern the ILEC and CLEC facilities, respectively (collectively, the “</w:t>
      </w:r>
      <w:r>
        <w:rPr>
          <w:rFonts w:ascii="Arial" w:cs="Arial" w:eastAsia="Arial" w:hAnsi="Arial"/>
          <w:sz w:val="12"/>
          <w:szCs w:val="12"/>
          <w:u w:val="single" w:color="auto"/>
          <w:color w:val="auto"/>
        </w:rPr>
        <w:t>New Leases</w:t>
      </w:r>
      <w:r>
        <w:rPr>
          <w:rFonts w:ascii="Arial" w:cs="Arial" w:eastAsia="Arial" w:hAnsi="Arial"/>
          <w:sz w:val="12"/>
          <w:szCs w:val="12"/>
          <w:color w:val="auto"/>
        </w:rPr>
        <w:t>”). Certain copper CLEC assets will be governed under the New Lease relating to the ILEC facilities. The initial aggregate annual rent under the New Leases will be equal to the annual rent under the Master Lease currently in effect. Each of Windstream Services, LLC, certain of its subsidiaries and/or newly formed affiliated entities will become parties to the New Leases. The New Leases will contain cross-guarantees and cross-default provision, which will remain effective as long as Windstream or an affiliate is a tenant under one of the New Leases. In addition, the New Leases will be amended to require that Windstream maintain certain financial covenants and to permit Uniti to transfer its rights and obligations and otherwise monetize or encumber the New Leases so long as it does not transfer interests to a Windstream competitor.</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Pursuant to the Settlement, Uniti will agree to fund up to an aggregate $1.75 billion in growth capital improvements in long-term fiber and related assets in certain ILEC and CLEC properties (the “</w:t>
      </w:r>
      <w:r>
        <w:rPr>
          <w:rFonts w:ascii="Arial" w:cs="Arial" w:eastAsia="Arial" w:hAnsi="Arial"/>
          <w:sz w:val="12"/>
          <w:szCs w:val="12"/>
          <w:u w:val="single" w:color="auto"/>
          <w:color w:val="auto"/>
        </w:rPr>
        <w:t>Growth Capital Improvements</w:t>
      </w:r>
      <w:r>
        <w:rPr>
          <w:rFonts w:ascii="Arial" w:cs="Arial" w:eastAsia="Arial" w:hAnsi="Arial"/>
          <w:sz w:val="12"/>
          <w:szCs w:val="12"/>
          <w:color w:val="auto"/>
        </w:rPr>
        <w:t>”). Growth Capital Improvements will exclude maintenance or repair expenditures and expenditures toward fiber replacement in excess of $70 million per year and will be subject to Uniti’s approval based on underwriting standards to be included in the New Leases. Annual commitments by Uniti for the Growth Capital Improvements will comprise: $125 million in 2020; $225 million per year in 2021 through 2024; $175 million per year in 2025 and 2026; and $125 million per year in 2027 through 2029. Windstream will be entitled to reimbursement for any cumulative Growth Capital Improvements it incurs in excess of the foregoing annual amounts from the commitment amounts in a subsequent period. On the first anniversary of an installment of funding for a Growth Capital Improvement, the annual base rent payable by Windstream will increase by an amount equal to 8.0% (the “</w:t>
      </w:r>
      <w:r>
        <w:rPr>
          <w:rFonts w:ascii="Arial" w:cs="Arial" w:eastAsia="Arial" w:hAnsi="Arial"/>
          <w:sz w:val="12"/>
          <w:szCs w:val="12"/>
          <w:u w:val="single" w:color="auto"/>
          <w:color w:val="auto"/>
        </w:rPr>
        <w:t>Rent Rate</w:t>
      </w:r>
      <w:r>
        <w:rPr>
          <w:rFonts w:ascii="Arial" w:cs="Arial" w:eastAsia="Arial" w:hAnsi="Arial"/>
          <w:sz w:val="12"/>
          <w:szCs w:val="12"/>
          <w:color w:val="auto"/>
        </w:rPr>
        <w:t>”) of such installment of funding. The Rent Rate will thereafter increase to 100.5% of the prior Rent Rate in subsequent years.</w:t>
      </w:r>
    </w:p>
    <w:p>
      <w:pPr>
        <w:spacing w:after="0" w:line="12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Pursuant to the Settlement, if Windstream is not in compliance with the terms and conditions of the New Leases, Uniti will not be required to fund Growth Capital Improvements. In the event Uniti defaults or otherwise fails to timely satisfy its obligations under the New Leases and Windstream is in compliance with the terms of the New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8" w:name="page129"/>
    <w:bookmarkEnd w:id="1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Leases, then Windstream has the right to deduct from the subsequent rent payment or payments, amounts otherwise owed to Windstream.</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In connection with the Settlement, Uniti also entered into binding letters of intent on March 2, 2020 (each, a “</w:t>
      </w:r>
      <w:r>
        <w:rPr>
          <w:rFonts w:ascii="Arial" w:cs="Arial" w:eastAsia="Arial" w:hAnsi="Arial"/>
          <w:sz w:val="11"/>
          <w:szCs w:val="11"/>
          <w:u w:val="single" w:color="auto"/>
          <w:color w:val="auto"/>
        </w:rPr>
        <w:t>Letter of Intent</w:t>
      </w:r>
      <w:r>
        <w:rPr>
          <w:rFonts w:ascii="Arial" w:cs="Arial" w:eastAsia="Arial" w:hAnsi="Arial"/>
          <w:sz w:val="11"/>
          <w:szCs w:val="11"/>
          <w:color w:val="auto"/>
        </w:rPr>
        <w:t>”) with certain first lien creditors of Windstream, pursuant to which Uniti will sell an aggregate of 38,633,470 shares of Uniti common stock, par value $0.0001 per share (the “</w:t>
      </w:r>
      <w:r>
        <w:rPr>
          <w:rFonts w:ascii="Arial" w:cs="Arial" w:eastAsia="Arial" w:hAnsi="Arial"/>
          <w:sz w:val="11"/>
          <w:szCs w:val="11"/>
          <w:u w:val="single" w:color="auto"/>
          <w:color w:val="auto"/>
        </w:rPr>
        <w:t>Settlement Common Stock</w:t>
      </w:r>
      <w:r>
        <w:rPr>
          <w:rFonts w:ascii="Arial" w:cs="Arial" w:eastAsia="Arial" w:hAnsi="Arial"/>
          <w:sz w:val="11"/>
          <w:szCs w:val="11"/>
          <w:color w:val="auto"/>
        </w:rPr>
        <w:t>”), at $6.33 per share, which represents the closing price of Uniti common stock on the date when an agreement in principle of the basic outline of the Settlement was first reached. Uniti will transfer the proceeds from the sale of the Settlement Common Stock to Windstream as additional settlement consideration. The issuance and sale of the Settlement Common Stock will be made in reliance upon the exemption from registration requirements pursuant to Section 4(a)(2) of the Securities Act of 1933, as amended. Certain recipients of the Settlement Common Stock will be subject to a one-year lock up, and all recipients will be subject to a customary standstill agreement. No recipient will receive any governance rights in connection with the issuance.</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Finally, on March 2, 2020, Uniti, Windstream and certain of Windstream’s creditors (collectively with Uniti and Windstream, the “</w:t>
      </w:r>
      <w:r>
        <w:rPr>
          <w:rFonts w:ascii="Arial" w:cs="Arial" w:eastAsia="Arial" w:hAnsi="Arial"/>
          <w:sz w:val="12"/>
          <w:szCs w:val="12"/>
          <w:u w:val="single" w:color="auto"/>
          <w:color w:val="auto"/>
        </w:rPr>
        <w:t>Parties</w:t>
      </w:r>
      <w:r>
        <w:rPr>
          <w:rFonts w:ascii="Arial" w:cs="Arial" w:eastAsia="Arial" w:hAnsi="Arial"/>
          <w:sz w:val="12"/>
          <w:szCs w:val="12"/>
          <w:color w:val="auto"/>
        </w:rPr>
        <w:t>”) entered into a Plan Support Agreement (the “</w:t>
      </w:r>
      <w:r>
        <w:rPr>
          <w:rFonts w:ascii="Arial" w:cs="Arial" w:eastAsia="Arial" w:hAnsi="Arial"/>
          <w:sz w:val="12"/>
          <w:szCs w:val="12"/>
          <w:u w:val="single" w:color="auto"/>
          <w:color w:val="auto"/>
        </w:rPr>
        <w:t>Plan Support Agreement</w:t>
      </w:r>
      <w:r>
        <w:rPr>
          <w:rFonts w:ascii="Arial" w:cs="Arial" w:eastAsia="Arial" w:hAnsi="Arial"/>
          <w:sz w:val="12"/>
          <w:szCs w:val="12"/>
          <w:color w:val="auto"/>
        </w:rPr>
        <w:t>”). Pursuant to the Plan Support Agreement, the Parties agreed to support the Settlement and the approval of a plan of reorganization for Windstream (the “</w:t>
      </w:r>
      <w:r>
        <w:rPr>
          <w:rFonts w:ascii="Arial" w:cs="Arial" w:eastAsia="Arial" w:hAnsi="Arial"/>
          <w:sz w:val="12"/>
          <w:szCs w:val="12"/>
          <w:u w:val="single" w:color="auto"/>
          <w:color w:val="auto"/>
        </w:rPr>
        <w:t>Plan</w:t>
      </w:r>
      <w:r>
        <w:rPr>
          <w:rFonts w:ascii="Arial" w:cs="Arial" w:eastAsia="Arial" w:hAnsi="Arial"/>
          <w:sz w:val="12"/>
          <w:szCs w:val="12"/>
          <w:color w:val="auto"/>
        </w:rPr>
        <w:t>”) on the terms and subject to the conditions described therein. The Plan Support Agreement is terminable by the Parties upon the occurrence of certain specified termination events, including, among other things, (i) the failure to meet certain case milestones, including failure by Windstream to file a motion to approve the Settlement by March 12, 2020 and failure to obtain approval of the Settlement from the bankruptcy court by April 6, 2020, (ii) failure by Windstream to timely appeal any order by the bankruptcy court denying the Settlement or any order overturning an order approving the Settlement on appeal, and (iii) the issuance by a regulatory authority of an order enjoining, or the commencement of an action that could be reasonably expected to enjoin, material portions of the settlement or substantial consummation of the Settlement (subject to a 10 day cure period). The parties to the Plan Support Agreement expect the Plan to become effective, and for Windstream to emerge from bankruptcy, by August 29, 2020.</w:t>
      </w:r>
    </w:p>
    <w:p>
      <w:pPr>
        <w:spacing w:after="0" w:line="13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Settlement is subject to negotiation and execution of definitive documentation and certain regulatory approvals and conditions precedent, including bankruptcy court approval and Uniti’s receipt of satisfactory “true lease” opinions confirming that the New Leases are “true leases” for U.S. federal income tax purposes.</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February 2020, we entered into a definitive agreement to sell 486 of our U.S. towers located across 32 states for total cash consideration of approximately $190.0 million, subject to adjustments. Concurrent with the sale of the U.S. towers, we entered into a strategic “off-take” tower arrangement with a wireless infrastructure partner. Pursuant to the “off-take” arrangement, we will continue to build towers in the U.S. and sell those towers to our partner at an agreed upon price during 2020. We also have the option to extend the “off-take” arrangement to 2021.</w:t>
      </w:r>
    </w:p>
    <w:p>
      <w:pPr>
        <w:spacing w:after="0" w:line="12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definitive agreement includes a "go-shop" provision, which permits Uniti's Board of Directors and its advisors to solicit alternative proposals from third parties. Uniti will have the right to terminate the agreement to enter into a superior proposal subject to certain terms and conditions.</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On February 10, 2020, the Operating Partnership, CSL Capital, LLC, Uniti Group Finance 2019 Inc. and Uniti Fiber, as co-issuers, issued $2.25 billion aggregate principal amount of 7.875% senior secured notes due 2025 at an issue prices of 100% of par value. The issuers used the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In addition to the restrictions imposed by the Fourth Amendment discussed above,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9" w:name="page130"/>
    <w:bookmarkEnd w:id="1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ranging from 3.75% to 4.25% or a eurodollar rate plus an applicable margin ranging from 4.75% to 5.25%, in each case, calculated in a customary manner and determined based on our consolidated secured leverage ratio.</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23. Quarterly Results of Operations (unaudited)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Selected quarterly information for each of the four quarters in the year ended December 31, 2019:</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70"/>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left="371"/>
              <w:spacing w:after="0"/>
              <w:rPr>
                <w:sz w:val="20"/>
                <w:szCs w:val="20"/>
                <w:color w:val="auto"/>
              </w:rPr>
            </w:pPr>
            <w:r>
              <w:rPr>
                <w:rFonts w:ascii="Arial" w:cs="Arial" w:eastAsia="Arial" w:hAnsi="Arial"/>
                <w:sz w:val="10"/>
                <w:szCs w:val="10"/>
                <w:b w:val="1"/>
                <w:bCs w:val="1"/>
                <w:color w:val="auto"/>
                <w:w w:val="92"/>
              </w:rPr>
              <w:t>First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2"/>
              </w:rPr>
              <w:t>Second</w:t>
            </w:r>
          </w:p>
        </w:tc>
        <w:tc>
          <w:tcPr>
            <w:tcW w:w="26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Third</w:t>
            </w: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Fourth</w:t>
            </w:r>
          </w:p>
        </w:tc>
      </w:tr>
      <w:tr>
        <w:trPr>
          <w:trHeight w:val="152"/>
        </w:trPr>
        <w:tc>
          <w:tcPr>
            <w:tcW w:w="5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ind w:left="391"/>
              <w:spacing w:after="0"/>
              <w:rPr>
                <w:sz w:val="20"/>
                <w:szCs w:val="20"/>
                <w:color w:val="auto"/>
              </w:rPr>
            </w:pPr>
            <w:r>
              <w:rPr>
                <w:rFonts w:ascii="Arial" w:cs="Arial" w:eastAsia="Arial" w:hAnsi="Arial"/>
                <w:sz w:val="10"/>
                <w:szCs w:val="10"/>
                <w:b w:val="1"/>
                <w:bCs w:val="1"/>
                <w:color w:val="auto"/>
                <w:w w:val="93"/>
              </w:rPr>
              <w:t>Quarter</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3"/>
              </w:rPr>
              <w:t>Quarter</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88"/>
              </w:rPr>
              <w:t>Quarter</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88"/>
              </w:rPr>
              <w:t>Quarter</w:t>
            </w:r>
          </w:p>
        </w:tc>
        <w:tc>
          <w:tcPr>
            <w:tcW w:w="120" w:type="dxa"/>
            <w:vAlign w:val="bottom"/>
            <w:tcBorders>
              <w:bottom w:val="single" w:sz="8" w:color="CFF0FC"/>
            </w:tcBorders>
          </w:tcPr>
          <w:p>
            <w:pPr>
              <w:spacing w:after="0"/>
              <w:rPr>
                <w:sz w:val="13"/>
                <w:szCs w:val="13"/>
                <w:color w:val="auto"/>
              </w:rPr>
            </w:pPr>
          </w:p>
        </w:tc>
      </w:tr>
      <w:tr>
        <w:trPr>
          <w:trHeight w:val="142"/>
        </w:trPr>
        <w:tc>
          <w:tcPr>
            <w:tcW w:w="5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261,031</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264,414</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263,629</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268,537</w:t>
            </w:r>
          </w:p>
        </w:tc>
        <w:tc>
          <w:tcPr>
            <w:tcW w:w="120" w:type="dxa"/>
            <w:vAlign w:val="bottom"/>
            <w:shd w:val="clear" w:color="auto" w:fill="CFF0FC"/>
          </w:tcPr>
          <w:p>
            <w:pPr>
              <w:spacing w:after="0"/>
              <w:rPr>
                <w:sz w:val="12"/>
                <w:szCs w:val="12"/>
                <w:color w:val="auto"/>
              </w:rPr>
            </w:pP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6,546</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47,390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(21,522)</w:t>
            </w:r>
          </w:p>
        </w:tc>
        <w:tc>
          <w:tcPr>
            <w:tcW w:w="26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(16,843)</w:t>
            </w:r>
          </w:p>
        </w:tc>
      </w:tr>
      <w:tr>
        <w:trPr>
          <w:trHeight w:val="153"/>
        </w:trPr>
        <w:tc>
          <w:tcPr>
            <w:tcW w:w="5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8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2,492</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39,547</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(19,777)</w:t>
            </w:r>
          </w:p>
        </w:tc>
        <w:tc>
          <w:tcPr>
            <w:tcW w:w="26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(11,354)</w:t>
            </w: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Net income (loss) attributable to common shareholders</w:t>
            </w: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1,013</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38,246</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(19,470)</w:t>
            </w:r>
          </w:p>
        </w:tc>
        <w:tc>
          <w:tcPr>
            <w:tcW w:w="26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(11,405)</w:t>
            </w:r>
          </w:p>
        </w:tc>
      </w:tr>
      <w:tr>
        <w:trPr>
          <w:trHeight w:val="153"/>
        </w:trPr>
        <w:tc>
          <w:tcPr>
            <w:tcW w:w="5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Basic earnings (loss) per common share</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0.01</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0.21</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(0.10)</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(0.06)</w:t>
            </w:r>
          </w:p>
        </w:tc>
      </w:tr>
      <w:tr>
        <w:trPr>
          <w:trHeight w:val="153"/>
        </w:trPr>
        <w:tc>
          <w:tcPr>
            <w:tcW w:w="5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earnings (loss) per common share</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0.20</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(0.10)</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(0.06)</w:t>
            </w: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0.05</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0.05</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0.05</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0.22</w:t>
            </w:r>
          </w:p>
        </w:tc>
        <w:tc>
          <w:tcPr>
            <w:tcW w:w="120" w:type="dxa"/>
            <w:vAlign w:val="bottom"/>
          </w:tcPr>
          <w:p>
            <w:pPr>
              <w:spacing w:after="0"/>
              <w:rPr>
                <w:sz w:val="13"/>
                <w:szCs w:val="13"/>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2"/>
                <w:szCs w:val="12"/>
                <w:color w:val="auto"/>
                <w:w w:val="99"/>
              </w:rPr>
              <w:t>Selected quarterly information for each of the four quarters in the year ended December 31, 2018:</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left="371"/>
              <w:spacing w:after="0"/>
              <w:rPr>
                <w:sz w:val="20"/>
                <w:szCs w:val="20"/>
                <w:color w:val="auto"/>
              </w:rPr>
            </w:pPr>
            <w:r>
              <w:rPr>
                <w:rFonts w:ascii="Arial" w:cs="Arial" w:eastAsia="Arial" w:hAnsi="Arial"/>
                <w:sz w:val="10"/>
                <w:szCs w:val="10"/>
                <w:b w:val="1"/>
                <w:bCs w:val="1"/>
                <w:color w:val="auto"/>
                <w:w w:val="92"/>
              </w:rPr>
              <w:t>First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2"/>
              </w:rPr>
              <w:t>Second</w:t>
            </w:r>
          </w:p>
        </w:tc>
        <w:tc>
          <w:tcPr>
            <w:tcW w:w="26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Third</w:t>
            </w: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Fourth</w:t>
            </w:r>
          </w:p>
        </w:tc>
      </w:tr>
      <w:tr>
        <w:trPr>
          <w:trHeight w:val="152"/>
        </w:trPr>
        <w:tc>
          <w:tcPr>
            <w:tcW w:w="50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(Thousands, except per share data)</w:t>
            </w: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ind w:left="391"/>
              <w:spacing w:after="0"/>
              <w:rPr>
                <w:sz w:val="20"/>
                <w:szCs w:val="20"/>
                <w:color w:val="auto"/>
              </w:rPr>
            </w:pPr>
            <w:r>
              <w:rPr>
                <w:rFonts w:ascii="Arial" w:cs="Arial" w:eastAsia="Arial" w:hAnsi="Arial"/>
                <w:sz w:val="10"/>
                <w:szCs w:val="10"/>
                <w:b w:val="1"/>
                <w:bCs w:val="1"/>
                <w:color w:val="auto"/>
                <w:w w:val="93"/>
              </w:rPr>
              <w:t>Quarter</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3"/>
              </w:rPr>
              <w:t>Quarter</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88"/>
              </w:rPr>
              <w:t>Quarter</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88"/>
              </w:rPr>
              <w:t>Quarter</w:t>
            </w:r>
          </w:p>
        </w:tc>
        <w:tc>
          <w:tcPr>
            <w:tcW w:w="120" w:type="dxa"/>
            <w:vAlign w:val="bottom"/>
            <w:tcBorders>
              <w:bottom w:val="single" w:sz="8" w:color="CFF0FC"/>
            </w:tcBorders>
          </w:tcPr>
          <w:p>
            <w:pPr>
              <w:spacing w:after="0"/>
              <w:rPr>
                <w:sz w:val="13"/>
                <w:szCs w:val="13"/>
                <w:color w:val="auto"/>
              </w:rPr>
            </w:pPr>
          </w:p>
        </w:tc>
      </w:tr>
      <w:tr>
        <w:trPr>
          <w:trHeight w:val="142"/>
        </w:trPr>
        <w:tc>
          <w:tcPr>
            <w:tcW w:w="5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revenues</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246,915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247,329</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252,636</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270,754</w:t>
            </w:r>
          </w:p>
        </w:tc>
        <w:tc>
          <w:tcPr>
            <w:tcW w:w="120" w:type="dxa"/>
            <w:vAlign w:val="bottom"/>
            <w:shd w:val="clear" w:color="auto" w:fill="CFF0FC"/>
          </w:tcPr>
          <w:p>
            <w:pPr>
              <w:spacing w:after="0"/>
              <w:rPr>
                <w:sz w:val="12"/>
                <w:szCs w:val="12"/>
                <w:color w:val="auto"/>
              </w:rPr>
            </w:pP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(6,239)</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2,758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14,470</w:t>
            </w:r>
          </w:p>
        </w:tc>
        <w:tc>
          <w:tcPr>
            <w:tcW w:w="120" w:type="dxa"/>
            <w:vAlign w:val="bottom"/>
          </w:tcPr>
          <w:p>
            <w:pPr>
              <w:spacing w:after="0"/>
              <w:rPr>
                <w:sz w:val="13"/>
                <w:szCs w:val="13"/>
                <w:color w:val="auto"/>
              </w:rPr>
            </w:pPr>
          </w:p>
        </w:tc>
      </w:tr>
      <w:tr>
        <w:trPr>
          <w:trHeight w:val="153"/>
        </w:trPr>
        <w:tc>
          <w:tcPr>
            <w:tcW w:w="5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8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(3,593)</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14,683</w:t>
            </w:r>
          </w:p>
        </w:tc>
        <w:tc>
          <w:tcPr>
            <w:tcW w:w="120" w:type="dxa"/>
            <w:vAlign w:val="bottom"/>
            <w:shd w:val="clear" w:color="auto" w:fill="CFF0FC"/>
          </w:tcPr>
          <w:p>
            <w:pPr>
              <w:spacing w:after="0"/>
              <w:rPr>
                <w:sz w:val="13"/>
                <w:szCs w:val="13"/>
                <w:color w:val="auto"/>
              </w:rPr>
            </w:pP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Net (loss) income attributable to common shareholders</w:t>
            </w:r>
          </w:p>
        </w:tc>
        <w:tc>
          <w:tcPr>
            <w:tcW w:w="86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(870)</w:t>
            </w:r>
          </w:p>
        </w:tc>
        <w:tc>
          <w:tcPr>
            <w:tcW w:w="26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(5,562)</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2,075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12,346</w:t>
            </w:r>
          </w:p>
        </w:tc>
        <w:tc>
          <w:tcPr>
            <w:tcW w:w="120" w:type="dxa"/>
            <w:vAlign w:val="bottom"/>
          </w:tcPr>
          <w:p>
            <w:pPr>
              <w:spacing w:after="0"/>
              <w:rPr>
                <w:sz w:val="13"/>
                <w:szCs w:val="13"/>
                <w:color w:val="auto"/>
              </w:rPr>
            </w:pPr>
          </w:p>
        </w:tc>
      </w:tr>
      <w:tr>
        <w:trPr>
          <w:trHeight w:val="153"/>
        </w:trPr>
        <w:tc>
          <w:tcPr>
            <w:tcW w:w="5200" w:type="dxa"/>
            <w:vAlign w:val="bottom"/>
            <w:gridSpan w:val="2"/>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Basic (loss) earnings per common share</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(0.00)</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(0.03)</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0.01</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0.07</w:t>
            </w:r>
          </w:p>
        </w:tc>
        <w:tc>
          <w:tcPr>
            <w:tcW w:w="120" w:type="dxa"/>
            <w:vAlign w:val="bottom"/>
          </w:tcPr>
          <w:p>
            <w:pPr>
              <w:spacing w:after="0"/>
              <w:rPr>
                <w:sz w:val="13"/>
                <w:szCs w:val="13"/>
                <w:color w:val="auto"/>
              </w:rPr>
            </w:pPr>
          </w:p>
        </w:tc>
      </w:tr>
      <w:tr>
        <w:trPr>
          <w:trHeight w:val="153"/>
        </w:trPr>
        <w:tc>
          <w:tcPr>
            <w:tcW w:w="5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(loss) earnings per common share</w:t>
            </w: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(0.01)</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(0.03)</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0.05</w:t>
            </w:r>
          </w:p>
        </w:tc>
        <w:tc>
          <w:tcPr>
            <w:tcW w:w="120" w:type="dxa"/>
            <w:vAlign w:val="bottom"/>
            <w:shd w:val="clear" w:color="auto" w:fill="CFF0FC"/>
          </w:tcPr>
          <w:p>
            <w:pPr>
              <w:spacing w:after="0"/>
              <w:rPr>
                <w:sz w:val="13"/>
                <w:szCs w:val="13"/>
                <w:color w:val="auto"/>
              </w:rPr>
            </w:pP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Dividends declared per common share</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13"/>
                <w:szCs w:val="13"/>
                <w:color w:val="auto"/>
              </w:rPr>
            </w:pPr>
          </w:p>
        </w:tc>
      </w:tr>
      <w:tr>
        <w:trPr>
          <w:trHeight w:val="432"/>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71"/>
              <w:spacing w:after="0"/>
              <w:rPr>
                <w:sz w:val="20"/>
                <w:szCs w:val="20"/>
                <w:color w:val="auto"/>
              </w:rPr>
            </w:pPr>
            <w:r>
              <w:rPr>
                <w:rFonts w:ascii="Arial" w:cs="Arial" w:eastAsia="Arial" w:hAnsi="Arial"/>
                <w:sz w:val="12"/>
                <w:szCs w:val="12"/>
                <w:color w:val="auto"/>
              </w:rPr>
              <w:t>130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50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0" w:name="page131"/>
    <w:bookmarkEnd w:id="1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Our management, with the participation of our principal executive officer and principal financial officer, evaluated the effectiveness of our disclosure controls and procedures as of December 31, 2019. Based on this evaluation, our principal executive officer and principal financial officer concluded that our disclosure controls and procedures were not effective as of December 31, 2019, due to the material weakness in our internal control over financial reporting, as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Management’s Annual Report on Internal Control Over Financial Reporting</w:t>
      </w:r>
    </w:p>
    <w:p>
      <w:pPr>
        <w:spacing w:after="0" w:line="150"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Rule 13a-15(f)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2" w:lineRule="exact"/>
        <w:rPr>
          <w:sz w:val="20"/>
          <w:szCs w:val="20"/>
          <w:color w:val="auto"/>
        </w:rPr>
      </w:pPr>
    </w:p>
    <w:p>
      <w:pPr>
        <w:ind w:left="860" w:hanging="436"/>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the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Provide reasonable assurance that transactions are recorded as necessary to permit preparation of financial statements in accordance with generally accepted accounting principles, and that receipts and expenditures of the Company are b</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860" w:hanging="436"/>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1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 xml:space="preserve">Our management, with the participation of our principal executive officer and principal financial officer, assessed the effectiveness of our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(2013).</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Based on this assessment, management concluded that the Company did not maintain effective internal control over financial reporting as of December 31, 2019 due to the following material weakness. We did not design or maintain effective controls over the identification and valuation of certain assets in the application of the acquisition method</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40"/>
          </w:cols>
          <w:pgMar w:left="300" w:top="131" w:right="259" w:bottom="1440" w:gutter="0" w:footer="0" w:header="0"/>
        </w:sectPr>
      </w:pPr>
    </w:p>
    <w:bookmarkStart w:id="131" w:name="page132"/>
    <w:bookmarkEnd w:id="1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0"/>
        <w:spacing w:after="0" w:line="306" w:lineRule="auto"/>
        <w:rPr>
          <w:sz w:val="20"/>
          <w:szCs w:val="20"/>
          <w:color w:val="auto"/>
        </w:rPr>
      </w:pPr>
      <w:r>
        <w:rPr>
          <w:rFonts w:ascii="Arial" w:cs="Arial" w:eastAsia="Arial" w:hAnsi="Arial"/>
          <w:sz w:val="10"/>
          <w:szCs w:val="10"/>
          <w:color w:val="auto"/>
        </w:rPr>
        <w:t>of accounting for asset acquisitions, including the determination of appropriate useful lives for certain assets. Specifically, our controls over the development and application of inputs, assumptions and calculations used in fair value measurements were not designed and operating effectively at an appropriate level of precision. This material weakness resulted in immaterial errors to property, plant and equipment and gross intangible assets on the consolidated balance sheets and amortization on the consolidated income statement for the three months ended September 30, 2019, which were corrected in the consolidated financial statements as of and for the year ended December 31,</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2"/>
          <w:szCs w:val="12"/>
          <w:color w:val="auto"/>
        </w:rPr>
        <w:t>2019. While these errors were determined not to be material to the consolidated financial statements, this material weakness could result in misstatements of the aforementioned account balances or disclosures that would result in a material misstatement to the annual or interim consolidated financial statements that would not be prevented or detected.</w:t>
      </w:r>
    </w:p>
    <w:p>
      <w:pPr>
        <w:spacing w:after="0" w:line="124"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The Company’s independent registered public accounting firm, PricewaterhouseCoopers LLP has also audited the effectiveness of the Company’s internal control over financial reporting as of December 31, 2019, as stated in their report which appears in Part II, Item 8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There have been no changes in our internal control over financial reporting, as such term is defined in Rule 13a-15(f) under the Exchange Act, during the quarter ended December 31, 2019 that have materially affected, or are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Remediation Plan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Management has taken remedial action to ensure that the deficiency contributing to the material weakness is remediated such that the existing control will operate effectively. The remediation actions we are taking, and expect to take, include: (i) improving the design and operation of control activities and procedures associated with the identification and valuation of assets acquired in asset acquisitions; and (ii) educating and re-training control owners regarding internal control processes to mitigate identified risks and maintaining adequate documentation to evidence the effective design and operation of such processes.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believe that these actions, and the improvements we expect to achieve as a result, will effectively remediate the material weakness. However, the material weakness in our internal control over financial reporting will not be considered remediated until the remediated controls operate for a sufficient period of time and management has concluded, through testing, that these controls are designed and operating effectively. We expect that the remediation of this material weakness will be completed in fiscal 2020.</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2" w:name="page133"/>
    <w:bookmarkEnd w:id="1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2019, pursuant to Regulation 14A under the Exchange Act in connection with our 2020 annual meeting of stockholders.</w:t>
      </w:r>
    </w:p>
    <w:p>
      <w:pPr>
        <w:spacing w:after="0" w:line="115"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 xml:space="preserve">We have a code of ethics as defined in Item 406 of Regulation S-K, which code applies to all of our directors and employees, including our principal executive officer, principal financial officer, principal accounting officer or controller, and persons performing similar functions. A copy of this code of ethics, titled “Code of Business Conduct and Ethics &amp; Whistleblower Policy,” is available free of charge in the </w:t>
      </w:r>
      <w:r>
        <w:rPr>
          <w:rFonts w:ascii="Arial" w:cs="Arial" w:eastAsia="Arial" w:hAnsi="Arial"/>
          <w:sz w:val="11"/>
          <w:szCs w:val="11"/>
          <w:i w:val="1"/>
          <w:iCs w:val="1"/>
          <w:color w:val="auto"/>
        </w:rPr>
        <w:t>Corporate Governance</w:t>
      </w:r>
      <w:r>
        <w:rPr>
          <w:rFonts w:ascii="Arial" w:cs="Arial" w:eastAsia="Arial" w:hAnsi="Arial"/>
          <w:sz w:val="11"/>
          <w:szCs w:val="11"/>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2019, pursuant to Regulation 14A under the Exchange Act in connection with our 2020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Except as set forth below, the information required by this item is incorporated by reference from the definitive proxy statement to be filed within 120 days after December 31, 2019, pursuant to Regulation 14A under the Exchange Act in connection with our 2020 annual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Securities Authorized for Issuance Under Equity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contains information about our equity compensation plan as of December 31, 2019:</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E</w:t>
      </w:r>
      <w:r>
        <w:rPr>
          <w:rFonts w:ascii="Arial" w:cs="Arial" w:eastAsia="Arial" w:hAnsi="Arial"/>
          <w:sz w:val="7"/>
          <w:szCs w:val="7"/>
          <w:b w:val="1"/>
          <w:bCs w:val="1"/>
          <w:color w:val="auto"/>
        </w:rPr>
        <w:t>QUITY</w:t>
      </w:r>
      <w:r>
        <w:rPr>
          <w:rFonts w:ascii="Arial" w:cs="Arial" w:eastAsia="Arial" w:hAnsi="Arial"/>
          <w:sz w:val="11"/>
          <w:szCs w:val="11"/>
          <w:b w:val="1"/>
          <w:bCs w:val="1"/>
          <w:color w:val="auto"/>
        </w:rPr>
        <w:t xml:space="preserve"> C</w:t>
      </w:r>
      <w:r>
        <w:rPr>
          <w:rFonts w:ascii="Arial" w:cs="Arial" w:eastAsia="Arial" w:hAnsi="Arial"/>
          <w:sz w:val="7"/>
          <w:szCs w:val="7"/>
          <w:b w:val="1"/>
          <w:bCs w:val="1"/>
          <w:color w:val="auto"/>
        </w:rPr>
        <w:t>OMPENSATION</w:t>
      </w:r>
      <w:r>
        <w:rPr>
          <w:rFonts w:ascii="Arial" w:cs="Arial" w:eastAsia="Arial" w:hAnsi="Arial"/>
          <w:sz w:val="11"/>
          <w:szCs w:val="11"/>
          <w:b w:val="1"/>
          <w:bCs w:val="1"/>
          <w:color w:val="auto"/>
        </w:rPr>
        <w:t xml:space="preserve"> P</w:t>
      </w:r>
      <w:r>
        <w:rPr>
          <w:rFonts w:ascii="Arial" w:cs="Arial" w:eastAsia="Arial" w:hAnsi="Arial"/>
          <w:sz w:val="7"/>
          <w:szCs w:val="7"/>
          <w:b w:val="1"/>
          <w:bCs w:val="1"/>
          <w:color w:val="auto"/>
        </w:rPr>
        <w:t>LAN</w:t>
      </w:r>
      <w:r>
        <w:rPr>
          <w:rFonts w:ascii="Arial" w:cs="Arial" w:eastAsia="Arial" w:hAnsi="Arial"/>
          <w:sz w:val="11"/>
          <w:szCs w:val="11"/>
          <w:b w:val="1"/>
          <w:bCs w:val="1"/>
          <w:color w:val="auto"/>
        </w:rPr>
        <w:t xml:space="preserve"> I</w:t>
      </w:r>
      <w:r>
        <w:rPr>
          <w:rFonts w:ascii="Arial" w:cs="Arial" w:eastAsia="Arial" w:hAnsi="Arial"/>
          <w:sz w:val="7"/>
          <w:szCs w:val="7"/>
          <w:b w:val="1"/>
          <w:bCs w:val="1"/>
          <w:color w:val="auto"/>
        </w:rPr>
        <w:t>NFORMATION</w:t>
      </w:r>
    </w:p>
    <w:p>
      <w:pPr>
        <w:sectPr>
          <w:pgSz w:w="11900" w:h="16838" w:orient="portrait"/>
          <w:cols w:equalWidth="0" w:num="1">
            <w:col w:w="11280"/>
          </w:cols>
          <w:pgMar w:left="30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80"/>
        <w:spacing w:after="0"/>
        <w:rPr>
          <w:sz w:val="20"/>
          <w:szCs w:val="20"/>
          <w:color w:val="auto"/>
        </w:rPr>
      </w:pPr>
      <w:r>
        <w:rPr>
          <w:rFonts w:ascii="Arial" w:cs="Arial" w:eastAsia="Arial" w:hAnsi="Arial"/>
          <w:sz w:val="11"/>
          <w:szCs w:val="11"/>
          <w:b w:val="1"/>
          <w:bCs w:val="1"/>
          <w:color w:val="auto"/>
        </w:rPr>
        <w:t>Plan category</w:t>
      </w:r>
    </w:p>
    <w:p>
      <w:pPr>
        <w:spacing w:after="0" w:line="292" w:lineRule="exact"/>
        <w:rPr>
          <w:sz w:val="20"/>
          <w:szCs w:val="20"/>
          <w:color w:val="auto"/>
        </w:rPr>
      </w:pPr>
    </w:p>
    <w:p>
      <w:pPr>
        <w:jc w:val="center"/>
        <w:ind w:left="312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120"/>
        <w:spacing w:after="0"/>
        <w:rPr>
          <w:sz w:val="20"/>
          <w:szCs w:val="20"/>
          <w:color w:val="auto"/>
        </w:rPr>
      </w:pPr>
      <w:r>
        <w:rPr>
          <w:rFonts w:ascii="Arial" w:cs="Arial" w:eastAsia="Arial" w:hAnsi="Arial"/>
          <w:sz w:val="11"/>
          <w:szCs w:val="11"/>
          <w:color w:val="auto"/>
        </w:rPr>
        <w:t>approved by security</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1"/>
          <w:szCs w:val="11"/>
          <w:color w:val="auto"/>
        </w:rPr>
        <w:t>holders</w:t>
      </w:r>
    </w:p>
    <w:p>
      <w:pPr>
        <w:spacing w:after="0" w:line="142" w:lineRule="exact"/>
        <w:rPr>
          <w:sz w:val="20"/>
          <w:szCs w:val="20"/>
          <w:color w:val="auto"/>
        </w:rPr>
      </w:pPr>
    </w:p>
    <w:p>
      <w:pPr>
        <w:jc w:val="center"/>
        <w:ind w:left="3120"/>
        <w:spacing w:after="0"/>
        <w:rPr>
          <w:sz w:val="20"/>
          <w:szCs w:val="20"/>
          <w:color w:val="auto"/>
        </w:rPr>
      </w:pPr>
      <w:r>
        <w:rPr>
          <w:rFonts w:ascii="Arial" w:cs="Arial" w:eastAsia="Arial" w:hAnsi="Arial"/>
          <w:sz w:val="9"/>
          <w:szCs w:val="9"/>
          <w:color w:val="auto"/>
        </w:rPr>
        <w:t>Equity compensation plans</w:t>
      </w:r>
    </w:p>
    <w:p>
      <w:pPr>
        <w:spacing w:after="0" w:line="33" w:lineRule="exact"/>
        <w:rPr>
          <w:sz w:val="20"/>
          <w:szCs w:val="20"/>
          <w:color w:val="auto"/>
        </w:rPr>
      </w:pPr>
    </w:p>
    <w:p>
      <w:pPr>
        <w:jc w:val="center"/>
        <w:ind w:left="3120"/>
        <w:spacing w:after="0"/>
        <w:rPr>
          <w:sz w:val="20"/>
          <w:szCs w:val="20"/>
          <w:color w:val="auto"/>
        </w:rPr>
      </w:pPr>
      <w:r>
        <w:rPr>
          <w:rFonts w:ascii="Arial" w:cs="Arial" w:eastAsia="Arial" w:hAnsi="Arial"/>
          <w:sz w:val="10"/>
          <w:szCs w:val="10"/>
          <w:color w:val="auto"/>
        </w:rPr>
        <w:t>not approved by security</w:t>
      </w:r>
    </w:p>
    <w:p>
      <w:pPr>
        <w:spacing w:after="0" w:line="20" w:lineRule="exact"/>
        <w:rPr>
          <w:sz w:val="20"/>
          <w:szCs w:val="20"/>
          <w:color w:val="auto"/>
        </w:rPr>
      </w:pPr>
    </w:p>
    <w:p>
      <w:pPr>
        <w:jc w:val="center"/>
        <w:ind w:left="3120"/>
        <w:spacing w:after="0"/>
        <w:rPr>
          <w:sz w:val="20"/>
          <w:szCs w:val="20"/>
          <w:color w:val="auto"/>
        </w:rPr>
      </w:pPr>
      <w:r>
        <w:rPr>
          <w:rFonts w:ascii="Arial" w:cs="Arial" w:eastAsia="Arial" w:hAnsi="Arial"/>
          <w:sz w:val="11"/>
          <w:szCs w:val="11"/>
          <w:color w:val="auto"/>
        </w:rPr>
        <w:t>holders</w:t>
      </w:r>
    </w:p>
    <w:p>
      <w:pPr>
        <w:spacing w:after="0" w:line="286" w:lineRule="exact"/>
        <w:rPr>
          <w:sz w:val="20"/>
          <w:szCs w:val="20"/>
          <w:color w:val="auto"/>
        </w:rPr>
      </w:pPr>
    </w:p>
    <w:p>
      <w:pPr>
        <w:ind w:left="358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18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Number of securities</w:t>
            </w:r>
          </w:p>
        </w:tc>
        <w:tc>
          <w:tcPr>
            <w:tcW w:w="1200" w:type="dxa"/>
            <w:vAlign w:val="bottom"/>
          </w:tcPr>
          <w:p>
            <w:pPr>
              <w:spacing w:after="0"/>
              <w:rPr>
                <w:sz w:val="11"/>
                <w:szCs w:val="11"/>
                <w:color w:val="auto"/>
              </w:rPr>
            </w:pP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7"/>
              </w:rPr>
              <w:t>Number of securities</w:t>
            </w:r>
          </w:p>
        </w:tc>
        <w:tc>
          <w:tcPr>
            <w:tcW w:w="0" w:type="dxa"/>
            <w:vAlign w:val="bottom"/>
          </w:tcPr>
          <w:p>
            <w:pPr>
              <w:spacing w:after="0"/>
              <w:rPr>
                <w:sz w:val="1"/>
                <w:szCs w:val="1"/>
                <w:color w:val="auto"/>
              </w:rPr>
            </w:pPr>
          </w:p>
        </w:tc>
      </w:tr>
      <w:tr>
        <w:trPr>
          <w:trHeight w:val="135"/>
        </w:trPr>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2"/>
              </w:rPr>
              <w:t>to be issued upon</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6"/>
              </w:rPr>
              <w:t>Weighted-average</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available for future issuance</w:t>
            </w:r>
          </w:p>
        </w:tc>
        <w:tc>
          <w:tcPr>
            <w:tcW w:w="0" w:type="dxa"/>
            <w:vAlign w:val="bottom"/>
          </w:tcPr>
          <w:p>
            <w:pPr>
              <w:spacing w:after="0"/>
              <w:rPr>
                <w:sz w:val="1"/>
                <w:szCs w:val="1"/>
                <w:color w:val="auto"/>
              </w:rPr>
            </w:pPr>
          </w:p>
        </w:tc>
      </w:tr>
      <w:tr>
        <w:trPr>
          <w:trHeight w:val="135"/>
        </w:trPr>
        <w:tc>
          <w:tcPr>
            <w:tcW w:w="1180" w:type="dxa"/>
            <w:vAlign w:val="bottom"/>
          </w:tcPr>
          <w:p>
            <w:pPr>
              <w:jc w:val="center"/>
              <w:ind w:right="6"/>
              <w:spacing w:after="0"/>
              <w:rPr>
                <w:sz w:val="20"/>
                <w:szCs w:val="20"/>
                <w:color w:val="auto"/>
              </w:rPr>
            </w:pPr>
            <w:r>
              <w:rPr>
                <w:rFonts w:ascii="Arial" w:cs="Arial" w:eastAsia="Arial" w:hAnsi="Arial"/>
                <w:sz w:val="11"/>
                <w:szCs w:val="11"/>
                <w:b w:val="1"/>
                <w:bCs w:val="1"/>
                <w:color w:val="auto"/>
                <w:w w:val="83"/>
              </w:rPr>
              <w:t>exercise of</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5"/>
              </w:rPr>
              <w:t>exercise price of</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6"/>
              </w:rPr>
              <w:t>under equity compensation</w:t>
            </w:r>
          </w:p>
        </w:tc>
        <w:tc>
          <w:tcPr>
            <w:tcW w:w="0" w:type="dxa"/>
            <w:vAlign w:val="bottom"/>
          </w:tcPr>
          <w:p>
            <w:pPr>
              <w:spacing w:after="0"/>
              <w:rPr>
                <w:sz w:val="1"/>
                <w:szCs w:val="1"/>
                <w:color w:val="auto"/>
              </w:rPr>
            </w:pPr>
          </w:p>
        </w:tc>
      </w:tr>
      <w:tr>
        <w:trPr>
          <w:trHeight w:val="135"/>
        </w:trPr>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4"/>
              </w:rPr>
              <w:t>plans (excluding securities</w:t>
            </w: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0"/>
              </w:rPr>
              <w:t>warrants and rights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warrants and rights</w:t>
            </w:r>
          </w:p>
        </w:tc>
        <w:tc>
          <w:tcPr>
            <w:tcW w:w="1500" w:type="dxa"/>
            <w:vAlign w:val="bottom"/>
            <w:tcBorders>
              <w:bottom w:val="single" w:sz="8" w:color="auto"/>
            </w:tcBorders>
          </w:tcPr>
          <w:p>
            <w:pPr>
              <w:jc w:val="center"/>
              <w:ind w:left="6"/>
              <w:spacing w:after="0"/>
              <w:rPr>
                <w:sz w:val="20"/>
                <w:szCs w:val="20"/>
                <w:color w:val="auto"/>
              </w:rPr>
            </w:pPr>
            <w:r>
              <w:rPr>
                <w:rFonts w:ascii="Arial" w:cs="Arial" w:eastAsia="Arial" w:hAnsi="Arial"/>
                <w:sz w:val="11"/>
                <w:szCs w:val="11"/>
                <w:b w:val="1"/>
                <w:bCs w:val="1"/>
                <w:color w:val="auto"/>
                <w:w w:val="89"/>
              </w:rPr>
              <w:t>reflected in column (a))</w:t>
            </w:r>
          </w:p>
        </w:tc>
        <w:tc>
          <w:tcPr>
            <w:tcW w:w="0" w:type="dxa"/>
            <w:vAlign w:val="bottom"/>
          </w:tcPr>
          <w:p>
            <w:pPr>
              <w:spacing w:after="0"/>
              <w:rPr>
                <w:sz w:val="1"/>
                <w:szCs w:val="1"/>
                <w:color w:val="auto"/>
              </w:rPr>
            </w:pPr>
          </w:p>
        </w:tc>
      </w:tr>
      <w:tr>
        <w:trPr>
          <w:trHeight w:val="131"/>
        </w:trPr>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(a)</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9"/>
              </w:rPr>
              <w:t>(b)</w:t>
            </w:r>
          </w:p>
        </w:tc>
        <w:tc>
          <w:tcPr>
            <w:tcW w:w="150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427"/>
        </w:trPr>
        <w:tc>
          <w:tcPr>
            <w:tcW w:w="118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rPr>
                <w:sz w:val="20"/>
                <w:szCs w:val="20"/>
                <w:color w:val="auto"/>
              </w:rPr>
            </w:pPr>
            <w:r>
              <w:rPr>
                <w:rFonts w:ascii="Arial" w:cs="Arial" w:eastAsia="Arial" w:hAnsi="Arial"/>
                <w:sz w:val="11"/>
                <w:szCs w:val="11"/>
                <w:color w:val="auto"/>
                <w:w w:val="86"/>
              </w:rPr>
              <w:t>5,882,447</w:t>
            </w:r>
            <w:r>
              <w:rPr>
                <w:rFonts w:ascii="Arial" w:cs="Arial" w:eastAsia="Arial" w:hAnsi="Arial"/>
                <w:sz w:val="18"/>
                <w:szCs w:val="18"/>
                <w:color w:val="auto"/>
                <w:w w:val="86"/>
                <w:vertAlign w:val="superscript"/>
              </w:rPr>
              <w:t>1</w:t>
            </w:r>
          </w:p>
        </w:tc>
        <w:tc>
          <w:tcPr>
            <w:tcW w:w="0" w:type="dxa"/>
            <w:vAlign w:val="bottom"/>
          </w:tcPr>
          <w:p>
            <w:pPr>
              <w:spacing w:after="0"/>
              <w:rPr>
                <w:sz w:val="1"/>
                <w:szCs w:val="1"/>
                <w:color w:val="auto"/>
              </w:rPr>
            </w:pPr>
          </w:p>
        </w:tc>
      </w:tr>
      <w:tr>
        <w:trPr>
          <w:trHeight w:val="32"/>
        </w:trPr>
        <w:tc>
          <w:tcPr>
            <w:tcW w:w="118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8"/>
        </w:trPr>
        <w:tc>
          <w:tcPr>
            <w:tcW w:w="118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rPr>
                <w:sz w:val="20"/>
                <w:szCs w:val="20"/>
                <w:color w:val="auto"/>
              </w:rPr>
            </w:pPr>
            <w:r>
              <w:rPr>
                <w:rFonts w:ascii="Courier New" w:cs="Courier New" w:eastAsia="Courier New" w:hAnsi="Courier New"/>
                <w:sz w:val="11"/>
                <w:szCs w:val="11"/>
                <w:color w:val="auto"/>
              </w:rPr>
              <w:t>-</w:t>
            </w:r>
          </w:p>
        </w:tc>
        <w:tc>
          <w:tcPr>
            <w:tcW w:w="0" w:type="dxa"/>
            <w:vAlign w:val="bottom"/>
          </w:tcPr>
          <w:p>
            <w:pPr>
              <w:spacing w:after="0"/>
              <w:rPr>
                <w:sz w:val="1"/>
                <w:szCs w:val="1"/>
                <w:color w:val="auto"/>
              </w:rPr>
            </w:pPr>
          </w:p>
        </w:tc>
      </w:tr>
      <w:tr>
        <w:trPr>
          <w:trHeight w:val="283"/>
        </w:trPr>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8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ind w:left="6"/>
              <w:spacing w:after="0" w:line="125" w:lineRule="exact"/>
              <w:rPr>
                <w:sz w:val="20"/>
                <w:szCs w:val="20"/>
                <w:color w:val="auto"/>
              </w:rPr>
            </w:pPr>
            <w:r>
              <w:rPr>
                <w:rFonts w:ascii="Arial" w:cs="Arial" w:eastAsia="Arial" w:hAnsi="Arial"/>
                <w:sz w:val="11"/>
                <w:szCs w:val="11"/>
                <w:color w:val="auto"/>
                <w:w w:val="89"/>
              </w:rPr>
              <w:t>5,882,447</w:t>
            </w: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85725</wp:posOffset>
            </wp:positionV>
            <wp:extent cx="3251835" cy="182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251835" cy="18288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280" w:space="40"/>
            <w:col w:w="6960"/>
          </w:cols>
          <w:pgMar w:left="300" w:top="131" w:right="319" w:bottom="1440" w:gutter="0" w:footer="0" w:header="0"/>
          <w:type w:val="continuous"/>
        </w:sectPr>
      </w:pPr>
    </w:p>
    <w:p>
      <w:pPr>
        <w:ind w:left="3380" w:right="3280" w:hanging="283"/>
        <w:spacing w:after="0" w:line="209" w:lineRule="auto"/>
        <w:tabs>
          <w:tab w:leader="none" w:pos="3380" w:val="left"/>
        </w:tabs>
        <w:numPr>
          <w:ilvl w:val="0"/>
          <w:numId w:val="25"/>
        </w:numPr>
        <w:rPr>
          <w:rFonts w:ascii="Arial" w:cs="Arial" w:eastAsia="Arial" w:hAnsi="Arial"/>
          <w:sz w:val="17"/>
          <w:szCs w:val="17"/>
          <w:color w:val="auto"/>
          <w:vertAlign w:val="superscript"/>
        </w:rPr>
      </w:pPr>
      <w:r>
        <w:rPr>
          <w:rFonts w:ascii="Arial" w:cs="Arial" w:eastAsia="Arial" w:hAnsi="Arial"/>
          <w:sz w:val="10"/>
          <w:szCs w:val="10"/>
          <w:color w:val="auto"/>
        </w:rPr>
        <w:t>Amount includes 3,965,734 shares available for issuance under the Uniti Group Inc. 2015 Equity Incentive Plan and 1,916,713 shares under the Uniti Group Inc. Employee Stock Purchase Plan.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type w:val="continuous"/>
        </w:sectPr>
      </w:pPr>
    </w:p>
    <w:bookmarkStart w:id="133" w:name="page134"/>
    <w:bookmarkEnd w:id="1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2019, pursuant to Regulation 14A under the Exchange Act in connection with our 2020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required by this item is incorporated by reference from the definitive proxy statement to be filed within 120 days after December 31, 2019, pursuant to Regulation 14A under the Exchange Act in connection with our 2020 annual meeting of stockholders.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31" w:right="479" w:bottom="1440" w:gutter="0" w:footer="0" w:header="0"/>
        </w:sectPr>
      </w:pPr>
    </w:p>
    <w:bookmarkStart w:id="134" w:name="page135"/>
    <w:bookmarkEnd w:id="1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See Index to Consolidated Financial Statements in “Financial Statements and Supplementary Data.”</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 Schedules</w:t>
      </w:r>
    </w:p>
    <w:p>
      <w:pPr>
        <w:spacing w:after="0" w:line="8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Uniti Group Inc. Schedule I – Condensed Financial Information of the Registrant (Parent Company) Condensed Balance Sheets as of December 31, 2019 and 2018, and the related Condensed Statements of Comprehensive Income and Cash Flows for each of the three years in the period ended December 31, 2019, including the related notes, appearing on pages S-1, S-2, S-3, and S-4 of this report.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 – Valuation and Qualifying Accounts for each of the three years in the period ended December 31, 2019 appearing on page S-5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Uniti Group Inc. Schedule III – Schedule of Real Estate Investments and Accumulated Depreciation as of December 31, 2019 appearing on page S-6 of this report.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Index to Exhibits</w:t>
            </w: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1"/>
        </w:trPr>
        <w:tc>
          <w:tcPr>
            <w:tcW w:w="1600" w:type="dxa"/>
            <w:vAlign w:val="bottom"/>
            <w:gridSpan w:val="2"/>
          </w:tcPr>
          <w:p>
            <w:pPr>
              <w:ind w:left="320"/>
              <w:spacing w:after="0"/>
              <w:rPr>
                <w:sz w:val="20"/>
                <w:szCs w:val="20"/>
                <w:color w:val="auto"/>
              </w:rPr>
            </w:pPr>
            <w:r>
              <w:rPr>
                <w:rFonts w:ascii="Arial" w:cs="Arial" w:eastAsia="Arial" w:hAnsi="Arial"/>
                <w:sz w:val="12"/>
                <w:szCs w:val="12"/>
                <w:b w:val="1"/>
                <w:bCs w:val="1"/>
                <w:color w:val="auto"/>
              </w:rPr>
              <w:t>Exhibit No.</w:t>
            </w: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gridSpan w:val="12"/>
          </w:tcPr>
          <w:p>
            <w:pPr>
              <w:ind w:left="200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12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2.1</w:t>
            </w:r>
          </w:p>
        </w:tc>
        <w:tc>
          <w:tcPr>
            <w:tcW w:w="360" w:type="dxa"/>
            <w:vAlign w:val="bottom"/>
          </w:tcPr>
          <w:p>
            <w:pPr>
              <w:spacing w:after="0"/>
              <w:rPr>
                <w:sz w:val="10"/>
                <w:szCs w:val="10"/>
                <w:color w:val="auto"/>
              </w:rPr>
            </w:pPr>
          </w:p>
        </w:tc>
        <w:tc>
          <w:tcPr>
            <w:tcW w:w="9640" w:type="dxa"/>
            <w:vAlign w:val="bottom"/>
            <w:tcBorders>
              <w:top w:val="single" w:sz="8" w:color="auto"/>
              <w:bottom w:val="single" w:sz="8" w:color="0000EE"/>
            </w:tcBorders>
            <w:gridSpan w:val="12"/>
          </w:tcPr>
          <w:p>
            <w:pPr>
              <w:spacing w:after="0" w:line="120" w:lineRule="exact"/>
              <w:rPr>
                <w:rFonts w:ascii="Arial" w:cs="Arial" w:eastAsia="Arial" w:hAnsi="Arial"/>
                <w:sz w:val="12"/>
                <w:szCs w:val="12"/>
                <w:color w:val="0000EE"/>
                <w:w w:val="91"/>
              </w:rPr>
            </w:pPr>
            <w:hyperlink r:id="rId179">
              <w:r>
                <w:rPr>
                  <w:rFonts w:ascii="Arial" w:cs="Arial" w:eastAsia="Arial" w:hAnsi="Arial"/>
                  <w:sz w:val="12"/>
                  <w:szCs w:val="12"/>
                  <w:color w:val="0000EE"/>
                  <w:w w:val="91"/>
                </w:rPr>
                <w:t>Separation and Distribution Agreement, dated as of March 26, 2015, by and among Windstream Holdings, Inc., Windstream Services, LLC and Communications Sales &amp; Leasing, Inc. (incorporated by</w:t>
              </w:r>
            </w:hyperlink>
          </w:p>
        </w:tc>
        <w:tc>
          <w:tcPr>
            <w:tcW w:w="80" w:type="dxa"/>
            <w:vAlign w:val="bottom"/>
            <w:tcBorders>
              <w:top w:val="single" w:sz="8" w:color="auto"/>
            </w:tcBorders>
            <w:gridSpan w:val="2"/>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98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r:id="rId179">
              <w:r>
                <w:rPr>
                  <w:rFonts w:ascii="Arial" w:cs="Arial" w:eastAsia="Arial" w:hAnsi="Arial"/>
                  <w:sz w:val="12"/>
                  <w:szCs w:val="12"/>
                  <w:color w:val="0000EE"/>
                  <w:w w:val="91"/>
                </w:rPr>
                <w:t>reference to Exhibit 2.1 to the Company’s Current Report on Form 8-K dated and filed with the SEC as of March 26, 2015 (File No. 001-36708))</w:t>
              </w:r>
            </w:hyperlink>
          </w:p>
        </w:tc>
        <w:tc>
          <w:tcPr>
            <w:tcW w:w="2740" w:type="dxa"/>
            <w:vAlign w:val="bottom"/>
            <w:gridSpan w:val="8"/>
          </w:tcPr>
          <w:p>
            <w:pPr>
              <w:spacing w:after="0"/>
              <w:rPr>
                <w:sz w:val="10"/>
                <w:szCs w:val="10"/>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2.2</w:t>
            </w:r>
          </w:p>
        </w:tc>
        <w:tc>
          <w:tcPr>
            <w:tcW w:w="360" w:type="dxa"/>
            <w:vAlign w:val="bottom"/>
          </w:tcPr>
          <w:p>
            <w:pPr>
              <w:spacing w:after="0"/>
              <w:rPr>
                <w:sz w:val="12"/>
                <w:szCs w:val="12"/>
                <w:color w:val="auto"/>
              </w:rPr>
            </w:pPr>
          </w:p>
        </w:tc>
        <w:tc>
          <w:tcPr>
            <w:tcW w:w="9720" w:type="dxa"/>
            <w:vAlign w:val="bottom"/>
            <w:tcBorders>
              <w:bottom w:val="single" w:sz="8" w:color="0000EE"/>
            </w:tcBorders>
            <w:gridSpan w:val="14"/>
          </w:tcPr>
          <w:p>
            <w:pPr>
              <w:spacing w:after="0"/>
              <w:rPr>
                <w:rFonts w:ascii="Arial" w:cs="Arial" w:eastAsia="Arial" w:hAnsi="Arial"/>
                <w:sz w:val="12"/>
                <w:szCs w:val="12"/>
                <w:color w:val="0000EE"/>
                <w:w w:val="91"/>
              </w:rPr>
            </w:pPr>
            <w:hyperlink r:id="rId180">
              <w:r>
                <w:rPr>
                  <w:rFonts w:ascii="Arial" w:cs="Arial" w:eastAsia="Arial" w:hAnsi="Arial"/>
                  <w:sz w:val="12"/>
                  <w:szCs w:val="12"/>
                  <w:color w:val="0000EE"/>
                  <w:w w:val="91"/>
                </w:rPr>
                <w:t>Agreement and Plan of Merger, dated as of January 7, 2016, by and among Communications Sales &amp; Leasing, Inc., CSL Bandwidth Inc., Penn Merger Sub, LLC, PEG Bandwidth, LLC, PEG Bandwidth</w:t>
              </w:r>
            </w:hyperlink>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0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80">
              <w:r>
                <w:rPr>
                  <w:rFonts w:ascii="Arial" w:cs="Arial" w:eastAsia="Arial" w:hAnsi="Arial"/>
                  <w:sz w:val="12"/>
                  <w:szCs w:val="12"/>
                  <w:color w:val="0000EE"/>
                  <w:w w:val="91"/>
                </w:rPr>
                <w:t>Holdings, LLC, and PEG Bandwidth Holdings, LLC, as Unitholders’ Representative (incorporated by reference to Exhibit 2.1 to the Company’s Current Report on Form 8-K dated and filed with the</w:t>
              </w:r>
            </w:hyperlink>
          </w:p>
        </w:tc>
        <w:tc>
          <w:tcPr>
            <w:tcW w:w="220" w:type="dxa"/>
            <w:vAlign w:val="bottom"/>
            <w:gridSpan w:val="6"/>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20" w:type="dxa"/>
            <w:vAlign w:val="bottom"/>
            <w:tcBorders>
              <w:bottom w:val="single" w:sz="8" w:color="0000EE"/>
            </w:tcBorders>
          </w:tcPr>
          <w:p>
            <w:pPr>
              <w:spacing w:after="0" w:line="124" w:lineRule="exact"/>
              <w:rPr>
                <w:rFonts w:ascii="Arial" w:cs="Arial" w:eastAsia="Arial" w:hAnsi="Arial"/>
                <w:sz w:val="12"/>
                <w:szCs w:val="12"/>
                <w:color w:val="0000EE"/>
                <w:w w:val="89"/>
              </w:rPr>
            </w:pPr>
            <w:hyperlink r:id="rId180">
              <w:r>
                <w:rPr>
                  <w:rFonts w:ascii="Arial" w:cs="Arial" w:eastAsia="Arial" w:hAnsi="Arial"/>
                  <w:sz w:val="12"/>
                  <w:szCs w:val="12"/>
                  <w:color w:val="0000EE"/>
                  <w:w w:val="89"/>
                </w:rPr>
                <w:t>SEC as of January 12, 2016 (File No. 001-36708))</w:t>
              </w:r>
            </w:hyperlink>
          </w:p>
        </w:tc>
        <w:tc>
          <w:tcPr>
            <w:tcW w:w="7300" w:type="dxa"/>
            <w:vAlign w:val="bottom"/>
            <w:gridSpan w:val="13"/>
          </w:tcPr>
          <w:p>
            <w:pPr>
              <w:spacing w:after="0"/>
              <w:rPr>
                <w:sz w:val="10"/>
                <w:szCs w:val="10"/>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2.3**</w:t>
            </w:r>
          </w:p>
        </w:tc>
        <w:tc>
          <w:tcPr>
            <w:tcW w:w="360" w:type="dxa"/>
            <w:vAlign w:val="bottom"/>
          </w:tcPr>
          <w:p>
            <w:pPr>
              <w:spacing w:after="0"/>
              <w:rPr>
                <w:sz w:val="12"/>
                <w:szCs w:val="12"/>
                <w:color w:val="auto"/>
              </w:rPr>
            </w:pPr>
          </w:p>
        </w:tc>
        <w:tc>
          <w:tcPr>
            <w:tcW w:w="9580" w:type="dxa"/>
            <w:vAlign w:val="bottom"/>
            <w:tcBorders>
              <w:bottom w:val="single" w:sz="8" w:color="0000EE"/>
            </w:tcBorders>
            <w:gridSpan w:val="9"/>
          </w:tcPr>
          <w:p>
            <w:pPr>
              <w:spacing w:after="0"/>
              <w:rPr>
                <w:rFonts w:ascii="Arial" w:cs="Arial" w:eastAsia="Arial" w:hAnsi="Arial"/>
                <w:sz w:val="12"/>
                <w:szCs w:val="12"/>
                <w:color w:val="0000EE"/>
                <w:w w:val="90"/>
              </w:rPr>
            </w:pPr>
            <w:hyperlink r:id="rId181">
              <w:r>
                <w:rPr>
                  <w:rFonts w:ascii="Arial" w:cs="Arial" w:eastAsia="Arial" w:hAnsi="Arial"/>
                  <w:sz w:val="12"/>
                  <w:szCs w:val="12"/>
                  <w:color w:val="0000EE"/>
                  <w:w w:val="90"/>
                </w:rPr>
                <w:t>Agreement and Plan of Merger, dated as of June 20, 2016, by and among Communications Sales &amp; Leasing, Inc., CSL Fiber Holdings LLC, Thor Merger Sub, Inc., Tower Cloud, Inc. and Shareholder</w:t>
              </w:r>
            </w:hyperlink>
          </w:p>
        </w:tc>
        <w:tc>
          <w:tcPr>
            <w:tcW w:w="140" w:type="dxa"/>
            <w:vAlign w:val="bottom"/>
            <w:gridSpan w:val="5"/>
          </w:tcPr>
          <w:p>
            <w:pPr>
              <w:spacing w:after="0"/>
              <w:rPr>
                <w:sz w:val="12"/>
                <w:szCs w:val="12"/>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181">
              <w:r>
                <w:rPr>
                  <w:rFonts w:ascii="Arial" w:cs="Arial" w:eastAsia="Arial" w:hAnsi="Arial"/>
                  <w:sz w:val="12"/>
                  <w:szCs w:val="12"/>
                  <w:color w:val="0000EE"/>
                  <w:w w:val="91"/>
                </w:rPr>
                <w:t>Representative Services LLC, as representative of the equityholders of Tower Cloud, Inc. (incorporated by reference to Exhibit 2.1 to the Company’s Quarterly Report on Form 10-Q dated and filed with</w:t>
              </w:r>
            </w:hyperlink>
          </w:p>
        </w:tc>
        <w:tc>
          <w:tcPr>
            <w:tcW w:w="20" w:type="dxa"/>
            <w:vAlign w:val="bottom"/>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4"/>
          </w:tcPr>
          <w:p>
            <w:pPr>
              <w:spacing w:after="0" w:line="124" w:lineRule="exact"/>
              <w:rPr>
                <w:rFonts w:ascii="Arial" w:cs="Arial" w:eastAsia="Arial" w:hAnsi="Arial"/>
                <w:sz w:val="12"/>
                <w:szCs w:val="12"/>
                <w:color w:val="0000EE"/>
              </w:rPr>
            </w:pPr>
            <w:hyperlink r:id="rId181">
              <w:r>
                <w:rPr>
                  <w:rFonts w:ascii="Arial" w:cs="Arial" w:eastAsia="Arial" w:hAnsi="Arial"/>
                  <w:sz w:val="12"/>
                  <w:szCs w:val="12"/>
                  <w:color w:val="0000EE"/>
                </w:rPr>
                <w:t>the SEC as of August 11, 2016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2.4</w:t>
            </w:r>
          </w:p>
        </w:tc>
        <w:tc>
          <w:tcPr>
            <w:tcW w:w="360" w:type="dxa"/>
            <w:vAlign w:val="bottom"/>
          </w:tcPr>
          <w:p>
            <w:pPr>
              <w:spacing w:after="0"/>
              <w:rPr>
                <w:sz w:val="12"/>
                <w:szCs w:val="12"/>
                <w:color w:val="auto"/>
              </w:rPr>
            </w:pPr>
          </w:p>
        </w:tc>
        <w:tc>
          <w:tcPr>
            <w:tcW w:w="9600" w:type="dxa"/>
            <w:vAlign w:val="bottom"/>
            <w:tcBorders>
              <w:bottom w:val="single" w:sz="8" w:color="0000EE"/>
            </w:tcBorders>
            <w:gridSpan w:val="10"/>
          </w:tcPr>
          <w:p>
            <w:pPr>
              <w:spacing w:after="0"/>
              <w:rPr>
                <w:rFonts w:ascii="Arial" w:cs="Arial" w:eastAsia="Arial" w:hAnsi="Arial"/>
                <w:sz w:val="12"/>
                <w:szCs w:val="12"/>
                <w:color w:val="0000EE"/>
                <w:w w:val="90"/>
              </w:rPr>
            </w:pPr>
            <w:hyperlink r:id="rId182">
              <w:r>
                <w:rPr>
                  <w:rFonts w:ascii="Arial" w:cs="Arial" w:eastAsia="Arial" w:hAnsi="Arial"/>
                  <w:sz w:val="12"/>
                  <w:szCs w:val="12"/>
                  <w:color w:val="0000EE"/>
                  <w:w w:val="90"/>
                </w:rPr>
                <w:t>First Amendment, dated as of August 11, 2016, to the Agreement and Plan of Merger, dated as of June 20, 2016, by and among Communications Sales &amp; Leasing, Inc., CSL Fiber Holdings LLC, Thor</w:t>
              </w:r>
            </w:hyperlink>
          </w:p>
        </w:tc>
        <w:tc>
          <w:tcPr>
            <w:tcW w:w="120" w:type="dxa"/>
            <w:vAlign w:val="bottom"/>
            <w:gridSpan w:val="4"/>
          </w:tcPr>
          <w:p>
            <w:pPr>
              <w:spacing w:after="0"/>
              <w:rPr>
                <w:sz w:val="12"/>
                <w:szCs w:val="12"/>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Borders>
              <w:bottom w:val="single" w:sz="8" w:color="0000EE"/>
            </w:tcBorders>
            <w:gridSpan w:val="7"/>
          </w:tcPr>
          <w:p>
            <w:pPr>
              <w:spacing w:after="0" w:line="124" w:lineRule="exact"/>
              <w:rPr>
                <w:rFonts w:ascii="Arial" w:cs="Arial" w:eastAsia="Arial" w:hAnsi="Arial"/>
                <w:sz w:val="12"/>
                <w:szCs w:val="12"/>
                <w:color w:val="0000EE"/>
                <w:w w:val="90"/>
              </w:rPr>
            </w:pPr>
            <w:hyperlink r:id="rId182">
              <w:r>
                <w:rPr>
                  <w:rFonts w:ascii="Arial" w:cs="Arial" w:eastAsia="Arial" w:hAnsi="Arial"/>
                  <w:sz w:val="12"/>
                  <w:szCs w:val="12"/>
                  <w:color w:val="0000EE"/>
                  <w:w w:val="90"/>
                </w:rPr>
                <w:t>Merger Sub, Inc., Tower Cloud, Inc. and Shareholder Representative Services LLC, as representative of the equityholders of Tower Cloud, Inc. (incorporated by reference to Exhibit 2.2 to the</w:t>
              </w:r>
            </w:hyperlink>
          </w:p>
        </w:tc>
        <w:tc>
          <w:tcPr>
            <w:tcW w:w="560" w:type="dxa"/>
            <w:vAlign w:val="bottom"/>
            <w:gridSpan w:val="7"/>
          </w:tcPr>
          <w:p>
            <w:pPr>
              <w:spacing w:after="0"/>
              <w:rPr>
                <w:sz w:val="10"/>
                <w:szCs w:val="10"/>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70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182">
              <w:r>
                <w:rPr>
                  <w:rFonts w:ascii="Arial" w:cs="Arial" w:eastAsia="Arial" w:hAnsi="Arial"/>
                  <w:sz w:val="12"/>
                  <w:szCs w:val="12"/>
                  <w:color w:val="0000EE"/>
                  <w:w w:val="91"/>
                </w:rPr>
                <w:t>Company’s Quarterly Report on Form 10-Q dated and filed with the SEC as of August 11, 2016 (File No. 001-36708))</w:t>
              </w:r>
            </w:hyperlink>
          </w:p>
        </w:tc>
        <w:tc>
          <w:tcPr>
            <w:tcW w:w="4020" w:type="dxa"/>
            <w:vAlign w:val="bottom"/>
            <w:gridSpan w:val="9"/>
          </w:tcPr>
          <w:p>
            <w:pPr>
              <w:spacing w:after="0"/>
              <w:rPr>
                <w:sz w:val="10"/>
                <w:szCs w:val="10"/>
                <w:color w:val="auto"/>
              </w:rPr>
            </w:pPr>
          </w:p>
        </w:tc>
      </w:tr>
      <w:tr>
        <w:trPr>
          <w:trHeight w:val="214"/>
        </w:trPr>
        <w:tc>
          <w:tcPr>
            <w:tcW w:w="1240" w:type="dxa"/>
            <w:vAlign w:val="bottom"/>
          </w:tcPr>
          <w:p>
            <w:pPr>
              <w:spacing w:after="0"/>
              <w:rPr>
                <w:sz w:val="20"/>
                <w:szCs w:val="20"/>
                <w:color w:val="auto"/>
              </w:rPr>
            </w:pPr>
            <w:r>
              <w:rPr>
                <w:rFonts w:ascii="Arial" w:cs="Arial" w:eastAsia="Arial" w:hAnsi="Arial"/>
                <w:sz w:val="12"/>
                <w:szCs w:val="12"/>
                <w:color w:val="auto"/>
              </w:rPr>
              <w:t>2.5</w:t>
            </w:r>
          </w:p>
        </w:tc>
        <w:tc>
          <w:tcPr>
            <w:tcW w:w="360" w:type="dxa"/>
            <w:vAlign w:val="bottom"/>
          </w:tcPr>
          <w:p>
            <w:pPr>
              <w:spacing w:after="0"/>
              <w:rPr>
                <w:sz w:val="18"/>
                <w:szCs w:val="18"/>
                <w:color w:val="auto"/>
              </w:rPr>
            </w:pPr>
          </w:p>
        </w:tc>
        <w:tc>
          <w:tcPr>
            <w:tcW w:w="9640" w:type="dxa"/>
            <w:vAlign w:val="bottom"/>
            <w:tcBorders>
              <w:bottom w:val="single" w:sz="8" w:color="0000EE"/>
            </w:tcBorders>
            <w:gridSpan w:val="12"/>
          </w:tcPr>
          <w:p>
            <w:pPr>
              <w:spacing w:after="0"/>
              <w:rPr>
                <w:rFonts w:ascii="Arial" w:cs="Arial" w:eastAsia="Arial" w:hAnsi="Arial"/>
                <w:sz w:val="12"/>
                <w:szCs w:val="12"/>
                <w:color w:val="0000EE"/>
                <w:w w:val="91"/>
              </w:rPr>
            </w:pPr>
            <w:hyperlink r:id="rId183">
              <w:r>
                <w:rPr>
                  <w:rFonts w:ascii="Arial" w:cs="Arial" w:eastAsia="Arial" w:hAnsi="Arial"/>
                  <w:sz w:val="12"/>
                  <w:szCs w:val="12"/>
                  <w:color w:val="0000EE"/>
                  <w:w w:val="91"/>
                </w:rPr>
                <w:t>Membership Interests Purchase Agreement, dated as of April 7, 2017, by and among Uniti Group Inc., Uniti Fiber Holdings Inc. and SLF Holdings, LLC (incorporated by reference to Exhibit 2.1 to the</w:t>
              </w:r>
            </w:hyperlink>
          </w:p>
        </w:tc>
        <w:tc>
          <w:tcPr>
            <w:tcW w:w="80" w:type="dxa"/>
            <w:vAlign w:val="bottom"/>
            <w:gridSpan w:val="2"/>
          </w:tcPr>
          <w:p>
            <w:pPr>
              <w:spacing w:after="0"/>
              <w:rPr>
                <w:sz w:val="18"/>
                <w:szCs w:val="18"/>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4"/>
          </w:tcPr>
          <w:p>
            <w:pPr>
              <w:spacing w:after="0" w:line="124" w:lineRule="exact"/>
              <w:rPr>
                <w:rFonts w:ascii="Arial" w:cs="Arial" w:eastAsia="Arial" w:hAnsi="Arial"/>
                <w:sz w:val="12"/>
                <w:szCs w:val="12"/>
                <w:color w:val="0000EE"/>
              </w:rPr>
            </w:pPr>
            <w:hyperlink r:id="rId183">
              <w:r>
                <w:rPr>
                  <w:rFonts w:ascii="Arial" w:cs="Arial" w:eastAsia="Arial" w:hAnsi="Arial"/>
                  <w:sz w:val="12"/>
                  <w:szCs w:val="12"/>
                  <w:color w:val="0000EE"/>
                </w:rPr>
                <w:t>Company’s Current Report on Form 8-K dated and filed with the SEC as of April 11, 2017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2.6</w:t>
            </w:r>
          </w:p>
        </w:tc>
        <w:tc>
          <w:tcPr>
            <w:tcW w:w="360" w:type="dxa"/>
            <w:vAlign w:val="bottom"/>
          </w:tcPr>
          <w:p>
            <w:pPr>
              <w:spacing w:after="0"/>
              <w:rPr>
                <w:sz w:val="12"/>
                <w:szCs w:val="12"/>
                <w:color w:val="auto"/>
              </w:rPr>
            </w:pPr>
          </w:p>
        </w:tc>
        <w:tc>
          <w:tcPr>
            <w:tcW w:w="9620" w:type="dxa"/>
            <w:vAlign w:val="bottom"/>
            <w:tcBorders>
              <w:bottom w:val="single" w:sz="8" w:color="0000EE"/>
            </w:tcBorders>
            <w:gridSpan w:val="11"/>
          </w:tcPr>
          <w:p>
            <w:pPr>
              <w:spacing w:after="0"/>
              <w:rPr>
                <w:rFonts w:ascii="Arial" w:cs="Arial" w:eastAsia="Arial" w:hAnsi="Arial"/>
                <w:sz w:val="12"/>
                <w:szCs w:val="12"/>
                <w:color w:val="0000EE"/>
                <w:w w:val="91"/>
              </w:rPr>
            </w:pPr>
            <w:hyperlink r:id="rId184">
              <w:r>
                <w:rPr>
                  <w:rFonts w:ascii="Arial" w:cs="Arial" w:eastAsia="Arial" w:hAnsi="Arial"/>
                  <w:sz w:val="12"/>
                  <w:szCs w:val="12"/>
                  <w:color w:val="0000EE"/>
                  <w:w w:val="91"/>
                </w:rPr>
                <w:t>Amended and Restated Agreement of Limited Partnership of Uniti Group LP, dated July 3, 2017, by and between Uniti Group Inc. and Uniti Group LP LLC (incorporated by reference to Exhibit 2.1 to</w:t>
              </w:r>
            </w:hyperlink>
          </w:p>
        </w:tc>
        <w:tc>
          <w:tcPr>
            <w:tcW w:w="100" w:type="dxa"/>
            <w:vAlign w:val="bottom"/>
            <w:gridSpan w:val="3"/>
          </w:tcPr>
          <w:p>
            <w:pPr>
              <w:spacing w:after="0"/>
              <w:rPr>
                <w:sz w:val="12"/>
                <w:szCs w:val="12"/>
                <w:color w:val="auto"/>
              </w:rPr>
            </w:pPr>
          </w:p>
        </w:tc>
      </w:tr>
      <w:tr>
        <w:trPr>
          <w:trHeight w:val="124"/>
        </w:trPr>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4"/>
          </w:tcPr>
          <w:p>
            <w:pPr>
              <w:spacing w:after="0" w:line="124" w:lineRule="exact"/>
              <w:rPr>
                <w:rFonts w:ascii="Arial" w:cs="Arial" w:eastAsia="Arial" w:hAnsi="Arial"/>
                <w:sz w:val="12"/>
                <w:szCs w:val="12"/>
                <w:color w:val="0000EE"/>
              </w:rPr>
            </w:pPr>
            <w:hyperlink r:id="rId184">
              <w:r>
                <w:rPr>
                  <w:rFonts w:ascii="Arial" w:cs="Arial" w:eastAsia="Arial" w:hAnsi="Arial"/>
                  <w:sz w:val="12"/>
                  <w:szCs w:val="12"/>
                  <w:color w:val="0000EE"/>
                </w:rPr>
                <w:t>the Company’s Current Report on Form 8-K dated and filed with the SEC as of July 3, 2017 (File No. 001-36708))</w:t>
              </w:r>
            </w:hyperlink>
          </w:p>
        </w:tc>
      </w:tr>
      <w:tr>
        <w:trPr>
          <w:trHeight w:val="304"/>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40" w:type="dxa"/>
            <w:vAlign w:val="bottom"/>
            <w:tcBorders>
              <w:top w:val="single" w:sz="8" w:color="0000EE"/>
            </w:tcBorders>
            <w:gridSpan w:val="3"/>
          </w:tcPr>
          <w:p>
            <w:pPr>
              <w:ind w:left="3960"/>
              <w:spacing w:after="0"/>
              <w:rPr>
                <w:sz w:val="20"/>
                <w:szCs w:val="20"/>
                <w:color w:val="auto"/>
              </w:rPr>
            </w:pPr>
            <w:r>
              <w:rPr>
                <w:rFonts w:ascii="Arial" w:cs="Arial" w:eastAsia="Arial" w:hAnsi="Arial"/>
                <w:sz w:val="12"/>
                <w:szCs w:val="12"/>
                <w:color w:val="auto"/>
              </w:rPr>
              <w:t>135</w:t>
            </w: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140" w:type="dxa"/>
            <w:vAlign w:val="bottom"/>
            <w:gridSpan w:val="10"/>
          </w:tcPr>
          <w:p>
            <w:pPr>
              <w:ind w:left="98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3.1</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680" w:type="dxa"/>
            <w:vAlign w:val="bottom"/>
            <w:tcBorders>
              <w:top w:val="single" w:sz="8" w:color="auto"/>
              <w:bottom w:val="single" w:sz="8" w:color="0000EE"/>
            </w:tcBorders>
            <w:gridSpan w:val="17"/>
          </w:tcPr>
          <w:p>
            <w:pPr>
              <w:spacing w:after="0" w:line="120" w:lineRule="exact"/>
              <w:rPr>
                <w:rFonts w:ascii="Arial" w:cs="Arial" w:eastAsia="Arial" w:hAnsi="Arial"/>
                <w:sz w:val="12"/>
                <w:szCs w:val="12"/>
                <w:color w:val="0000EE"/>
                <w:w w:val="91"/>
              </w:rPr>
            </w:pPr>
            <w:hyperlink r:id="rId187">
              <w:r>
                <w:rPr>
                  <w:rFonts w:ascii="Arial" w:cs="Arial" w:eastAsia="Arial" w:hAnsi="Arial"/>
                  <w:sz w:val="12"/>
                  <w:szCs w:val="12"/>
                  <w:color w:val="0000EE"/>
                  <w:w w:val="91"/>
                </w:rPr>
                <w:t>Articles of Amendment and Restatement of Communications Sales &amp; Leasing, Inc. (incorporated by reference to Exhibit 3.1 to the Company’s Current Report on Form 8-K dated and filed with the SEC</w:t>
              </w:r>
            </w:hyperlink>
          </w:p>
        </w:tc>
        <w:tc>
          <w:tcPr>
            <w:tcW w:w="40" w:type="dxa"/>
            <w:vAlign w:val="bottom"/>
            <w:tcBorders>
              <w:top w:val="single" w:sz="8" w:color="auto"/>
            </w:tcBorders>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rPr>
            </w:pPr>
            <w:hyperlink r:id="rId187">
              <w:r>
                <w:rPr>
                  <w:rFonts w:ascii="Arial" w:cs="Arial" w:eastAsia="Arial" w:hAnsi="Arial"/>
                  <w:sz w:val="12"/>
                  <w:szCs w:val="12"/>
                  <w:color w:val="0000EE"/>
                </w:rPr>
                <w:t>as of April 10,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80" w:type="dxa"/>
            <w:vAlign w:val="bottom"/>
            <w:tcBorders>
              <w:bottom w:val="single" w:sz="8" w:color="0000EE"/>
            </w:tcBorders>
            <w:gridSpan w:val="13"/>
          </w:tcPr>
          <w:p>
            <w:pPr>
              <w:spacing w:after="0"/>
              <w:rPr>
                <w:rFonts w:ascii="Arial" w:cs="Arial" w:eastAsia="Arial" w:hAnsi="Arial"/>
                <w:sz w:val="12"/>
                <w:szCs w:val="12"/>
                <w:color w:val="0000EE"/>
                <w:w w:val="91"/>
              </w:rPr>
            </w:pPr>
            <w:hyperlink r:id="rId188">
              <w:r>
                <w:rPr>
                  <w:rFonts w:ascii="Arial" w:cs="Arial" w:eastAsia="Arial" w:hAnsi="Arial"/>
                  <w:sz w:val="12"/>
                  <w:szCs w:val="12"/>
                  <w:color w:val="0000EE"/>
                  <w:w w:val="91"/>
                </w:rPr>
                <w:t>Articles of Amendment of Communications Sales &amp; Leasing, Inc. (incorporated by reference to Exhibit 3.1 to the Company’s Current Report on Form 8-K dated and filed with the SEC as of February</w:t>
              </w:r>
            </w:hyperlink>
          </w:p>
        </w:tc>
        <w:tc>
          <w:tcPr>
            <w:tcW w:w="14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rPr>
            </w:pPr>
            <w:hyperlink r:id="rId188">
              <w:r>
                <w:rPr>
                  <w:rFonts w:ascii="Arial" w:cs="Arial" w:eastAsia="Arial" w:hAnsi="Arial"/>
                  <w:sz w:val="12"/>
                  <w:szCs w:val="12"/>
                  <w:color w:val="0000EE"/>
                </w:rPr>
                <w:t>28, 2017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19"/>
          </w:tcPr>
          <w:p>
            <w:pPr>
              <w:spacing w:after="0"/>
              <w:rPr>
                <w:rFonts w:ascii="Arial" w:cs="Arial" w:eastAsia="Arial" w:hAnsi="Arial"/>
                <w:sz w:val="12"/>
                <w:szCs w:val="12"/>
                <w:color w:val="0000EE"/>
                <w:w w:val="94"/>
              </w:rPr>
            </w:pPr>
            <w:hyperlink r:id="rId189">
              <w:r>
                <w:rPr>
                  <w:rFonts w:ascii="Arial" w:cs="Arial" w:eastAsia="Arial" w:hAnsi="Arial"/>
                  <w:sz w:val="12"/>
                  <w:szCs w:val="12"/>
                  <w:color w:val="0000EE"/>
                  <w:w w:val="94"/>
                </w:rPr>
                <w:t>Articles of Amendment of Uniti Group Inc. (incorporated by reference to Exhibit 3.1 to the Company’s Current Report on Form 8-K dated and filed with the SEC as of May 18, 2018 (File No. 001-</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6"/>
              </w:rPr>
            </w:pPr>
            <w:hyperlink r:id="rId189">
              <w:r>
                <w:rPr>
                  <w:rFonts w:ascii="Arial" w:cs="Arial" w:eastAsia="Arial" w:hAnsi="Arial"/>
                  <w:sz w:val="12"/>
                  <w:szCs w:val="12"/>
                  <w:color w:val="0000EE"/>
                  <w:w w:val="86"/>
                </w:rPr>
                <w:t>36708)</w:t>
              </w:r>
              <w:r>
                <w:rPr>
                  <w:rFonts w:ascii="Arial" w:cs="Arial" w:eastAsia="Arial" w:hAnsi="Arial"/>
                  <w:sz w:val="12"/>
                  <w:szCs w:val="12"/>
                  <w:u w:val="single" w:color="auto"/>
                  <w:color w:val="0000EE"/>
                  <w:w w:val="86"/>
                </w:rPr>
                <w:t>)</w:t>
              </w:r>
            </w:hyperlink>
          </w:p>
        </w:tc>
        <w:tc>
          <w:tcPr>
            <w:tcW w:w="22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360" w:type="dxa"/>
            <w:vAlign w:val="bottom"/>
            <w:tcBorders>
              <w:top w:val="single" w:sz="8" w:color="0000EE"/>
            </w:tcBorders>
          </w:tcPr>
          <w:p>
            <w:pPr>
              <w:spacing w:after="0"/>
              <w:rPr>
                <w:sz w:val="10"/>
                <w:szCs w:val="10"/>
                <w:color w:val="auto"/>
              </w:rPr>
            </w:pPr>
          </w:p>
        </w:tc>
        <w:tc>
          <w:tcPr>
            <w:tcW w:w="586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3.4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19"/>
          </w:tcPr>
          <w:p>
            <w:pPr>
              <w:spacing w:after="0"/>
              <w:rPr>
                <w:rFonts w:ascii="Arial" w:cs="Arial" w:eastAsia="Arial" w:hAnsi="Arial"/>
                <w:sz w:val="12"/>
                <w:szCs w:val="12"/>
                <w:color w:val="0000EE"/>
                <w:w w:val="91"/>
              </w:rPr>
            </w:pPr>
            <w:hyperlink r:id="rId190">
              <w:r>
                <w:rPr>
                  <w:rFonts w:ascii="Arial" w:cs="Arial" w:eastAsia="Arial" w:hAnsi="Arial"/>
                  <w:sz w:val="12"/>
                  <w:szCs w:val="12"/>
                  <w:color w:val="0000EE"/>
                  <w:w w:val="91"/>
                </w:rPr>
                <w:t>Amended and Restated Bylaws of Uniti Group Inc. (incorporated by reference to Exhibit 3.1 to the Company’s Current Report on Form 8-K dated as of May 1, 2017 and filed with the SEC as of May 2,</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6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r:id="rId190">
              <w:r>
                <w:rPr>
                  <w:rFonts w:ascii="Arial" w:cs="Arial" w:eastAsia="Arial" w:hAnsi="Arial"/>
                  <w:sz w:val="12"/>
                  <w:szCs w:val="12"/>
                  <w:color w:val="0000EE"/>
                </w:rPr>
                <w:t>2017 (File No. 001-36708))</w:t>
              </w:r>
            </w:hyperlink>
          </w:p>
        </w:tc>
        <w:tc>
          <w:tcPr>
            <w:tcW w:w="60" w:type="dxa"/>
            <w:vAlign w:val="bottom"/>
            <w:gridSpan w:val="3"/>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19"/>
          </w:tcPr>
          <w:p>
            <w:pPr>
              <w:spacing w:after="0"/>
              <w:rPr>
                <w:rFonts w:ascii="Arial" w:cs="Arial" w:eastAsia="Arial" w:hAnsi="Arial"/>
                <w:sz w:val="12"/>
                <w:szCs w:val="12"/>
                <w:color w:val="0000EE"/>
                <w:w w:val="92"/>
              </w:rPr>
            </w:pPr>
            <w:hyperlink r:id="rId191">
              <w:r>
                <w:rPr>
                  <w:rFonts w:ascii="Arial" w:cs="Arial" w:eastAsia="Arial" w:hAnsi="Arial"/>
                  <w:sz w:val="12"/>
                  <w:szCs w:val="12"/>
                  <w:color w:val="0000EE"/>
                  <w:w w:val="92"/>
                </w:rPr>
                <w:t>Indenture, dated as of April 24, 2015, among Communications Sales &amp; Leasing, Inc. and CSL Capital, LLC, as Issuers, the guarantors named therein, and Wells Fargo Bank, National Association, as</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w w:val="91"/>
              </w:rPr>
            </w:pPr>
            <w:hyperlink r:id="rId191">
              <w:r>
                <w:rPr>
                  <w:rFonts w:ascii="Arial" w:cs="Arial" w:eastAsia="Arial" w:hAnsi="Arial"/>
                  <w:sz w:val="12"/>
                  <w:szCs w:val="12"/>
                  <w:color w:val="0000EE"/>
                  <w:w w:val="91"/>
                </w:rPr>
                <w:t>trustee, governing the 8.25% Senior Notes due 2023 (incorporated by reference to Exhibit 4.2 to the Company’s Current Report on Form 8-K dated and filed with the SEC as of April 27, 2015 (File No.</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8"/>
              </w:rPr>
            </w:pPr>
            <w:hyperlink r:id="rId191">
              <w:r>
                <w:rPr>
                  <w:rFonts w:ascii="Arial" w:cs="Arial" w:eastAsia="Arial" w:hAnsi="Arial"/>
                  <w:sz w:val="12"/>
                  <w:szCs w:val="12"/>
                  <w:color w:val="0000EE"/>
                  <w:w w:val="88"/>
                </w:rPr>
                <w:t>001-36708))</w:t>
              </w:r>
            </w:hyperlink>
          </w:p>
        </w:tc>
        <w:tc>
          <w:tcPr>
            <w:tcW w:w="4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360" w:type="dxa"/>
            <w:vAlign w:val="bottom"/>
            <w:tcBorders>
              <w:top w:val="single" w:sz="8" w:color="0000EE"/>
            </w:tcBorders>
          </w:tcPr>
          <w:p>
            <w:pPr>
              <w:spacing w:after="0"/>
              <w:rPr>
                <w:sz w:val="10"/>
                <w:szCs w:val="10"/>
                <w:color w:val="auto"/>
              </w:rPr>
            </w:pPr>
          </w:p>
        </w:tc>
        <w:tc>
          <w:tcPr>
            <w:tcW w:w="58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60" w:type="dxa"/>
            <w:vAlign w:val="bottom"/>
            <w:tcBorders>
              <w:bottom w:val="single" w:sz="8" w:color="0000EE"/>
            </w:tcBorders>
            <w:gridSpan w:val="12"/>
          </w:tcPr>
          <w:p>
            <w:pPr>
              <w:spacing w:after="0"/>
              <w:rPr>
                <w:rFonts w:ascii="Arial" w:cs="Arial" w:eastAsia="Arial" w:hAnsi="Arial"/>
                <w:sz w:val="12"/>
                <w:szCs w:val="12"/>
                <w:color w:val="0000EE"/>
                <w:w w:val="91"/>
              </w:rPr>
            </w:pPr>
            <w:hyperlink r:id="rId191">
              <w:r>
                <w:rPr>
                  <w:rFonts w:ascii="Arial" w:cs="Arial" w:eastAsia="Arial" w:hAnsi="Arial"/>
                  <w:sz w:val="12"/>
                  <w:szCs w:val="12"/>
                  <w:color w:val="0000EE"/>
                  <w:w w:val="91"/>
                </w:rPr>
                <w:t>Form of 8.25% Senior Note due 2023 (included in Exhibit 4.1 above) (incorporated by reference to Exhibit 4.4 to the Company’s Current Report on Form 8-K dated and filed with the SEC as of April</w:t>
              </w:r>
            </w:hyperlink>
          </w:p>
        </w:tc>
        <w:tc>
          <w:tcPr>
            <w:tcW w:w="160" w:type="dxa"/>
            <w:vAlign w:val="bottom"/>
            <w:gridSpan w:val="7"/>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rPr>
            </w:pPr>
            <w:hyperlink r:id="rId191">
              <w:r>
                <w:rPr>
                  <w:rFonts w:ascii="Arial" w:cs="Arial" w:eastAsia="Arial" w:hAnsi="Arial"/>
                  <w:sz w:val="12"/>
                  <w:szCs w:val="12"/>
                  <w:color w:val="0000EE"/>
                </w:rPr>
                <w:t>27,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60" w:type="dxa"/>
            <w:vAlign w:val="bottom"/>
            <w:tcBorders>
              <w:bottom w:val="single" w:sz="8" w:color="0000EE"/>
            </w:tcBorders>
            <w:gridSpan w:val="12"/>
          </w:tcPr>
          <w:p>
            <w:pPr>
              <w:spacing w:after="0"/>
              <w:rPr>
                <w:rFonts w:ascii="Arial" w:cs="Arial" w:eastAsia="Arial" w:hAnsi="Arial"/>
                <w:sz w:val="12"/>
                <w:szCs w:val="12"/>
                <w:color w:val="0000EE"/>
                <w:w w:val="89"/>
              </w:rPr>
            </w:pPr>
            <w:hyperlink r:id="rId192">
              <w:r>
                <w:rPr>
                  <w:rFonts w:ascii="Arial" w:cs="Arial" w:eastAsia="Arial" w:hAnsi="Arial"/>
                  <w:sz w:val="12"/>
                  <w:szCs w:val="12"/>
                  <w:color w:val="0000EE"/>
                  <w:w w:val="89"/>
                </w:rPr>
                <w:t>Second Supplemental Indenture (8.25% Senior Notes due 2023), dated as of October 19, 2016, among Communications Sales &amp; Leasing, Inc. and CSL Capital, LLC, as Issuers, the guarantors thereto</w:t>
              </w:r>
            </w:hyperlink>
          </w:p>
        </w:tc>
        <w:tc>
          <w:tcPr>
            <w:tcW w:w="160" w:type="dxa"/>
            <w:vAlign w:val="bottom"/>
            <w:gridSpan w:val="7"/>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w w:val="92"/>
              </w:rPr>
            </w:pPr>
            <w:hyperlink r:id="rId192">
              <w:r>
                <w:rPr>
                  <w:rFonts w:ascii="Arial" w:cs="Arial" w:eastAsia="Arial" w:hAnsi="Arial"/>
                  <w:sz w:val="12"/>
                  <w:szCs w:val="12"/>
                  <w:color w:val="0000EE"/>
                  <w:w w:val="92"/>
                </w:rPr>
                <w:t>and Wells Fargo Bank, National Association, as trustee (incorporated by reference to Exhibit 4.3 to the Company’s Annual Report on Form 10-K dated and filed with the SEC as of February 23, 2017</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1"/>
              </w:rPr>
            </w:pPr>
            <w:hyperlink r:id="rId192">
              <w:r>
                <w:rPr>
                  <w:rFonts w:ascii="Arial" w:cs="Arial" w:eastAsia="Arial" w:hAnsi="Arial"/>
                  <w:sz w:val="12"/>
                  <w:szCs w:val="12"/>
                  <w:color w:val="0000EE"/>
                  <w:w w:val="91"/>
                </w:rPr>
                <w:t>(File No. 001-36708))</w:t>
              </w:r>
            </w:hyperlink>
          </w:p>
        </w:tc>
        <w:tc>
          <w:tcPr>
            <w:tcW w:w="8480" w:type="dxa"/>
            <w:vAlign w:val="bottom"/>
            <w:tcBorders>
              <w:top w:val="single" w:sz="8" w:color="0000EE"/>
            </w:tcBorders>
            <w:gridSpan w:val="8"/>
          </w:tcPr>
          <w:p>
            <w:pPr>
              <w:spacing w:after="0"/>
              <w:rPr>
                <w:sz w:val="10"/>
                <w:szCs w:val="10"/>
                <w:color w:val="auto"/>
              </w:rPr>
            </w:pPr>
          </w:p>
        </w:tc>
        <w:tc>
          <w:tcPr>
            <w:tcW w:w="180" w:type="dxa"/>
            <w:vAlign w:val="bottom"/>
            <w:gridSpan w:val="8"/>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19"/>
          </w:tcPr>
          <w:p>
            <w:pPr>
              <w:spacing w:after="0"/>
              <w:rPr>
                <w:rFonts w:ascii="Arial" w:cs="Arial" w:eastAsia="Arial" w:hAnsi="Arial"/>
                <w:sz w:val="12"/>
                <w:szCs w:val="12"/>
                <w:color w:val="0000EE"/>
                <w:w w:val="91"/>
              </w:rPr>
            </w:pPr>
            <w:hyperlink r:id="rId193">
              <w:r>
                <w:rPr>
                  <w:rFonts w:ascii="Arial" w:cs="Arial" w:eastAsia="Arial" w:hAnsi="Arial"/>
                  <w:sz w:val="12"/>
                  <w:szCs w:val="12"/>
                  <w:color w:val="0000EE"/>
                  <w:w w:val="91"/>
                </w:rPr>
                <w:t>Fifth Supplemental Indenture, dated as of May 9, 2017, to the indenture dated as of April 24, 2015, among Uniti Group LP, Uniti Group Finance Inc., CSL Capital, LLC, Uniti Group Inc., the guarantors</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0" w:type="dxa"/>
            <w:vAlign w:val="bottom"/>
            <w:tcBorders>
              <w:top w:val="single" w:sz="8" w:color="0000EE"/>
              <w:bottom w:val="single" w:sz="8" w:color="0000EE"/>
            </w:tcBorders>
            <w:gridSpan w:val="14"/>
          </w:tcPr>
          <w:p>
            <w:pPr>
              <w:spacing w:after="0" w:line="124" w:lineRule="exact"/>
              <w:rPr>
                <w:rFonts w:ascii="Arial" w:cs="Arial" w:eastAsia="Arial" w:hAnsi="Arial"/>
                <w:sz w:val="12"/>
                <w:szCs w:val="12"/>
                <w:color w:val="0000EE"/>
                <w:w w:val="90"/>
              </w:rPr>
            </w:pPr>
            <w:hyperlink r:id="rId193">
              <w:r>
                <w:rPr>
                  <w:rFonts w:ascii="Arial" w:cs="Arial" w:eastAsia="Arial" w:hAnsi="Arial"/>
                  <w:sz w:val="12"/>
                  <w:szCs w:val="12"/>
                  <w:color w:val="0000EE"/>
                  <w:w w:val="90"/>
                </w:rPr>
                <w:t>named therein and Wells Fargo Bank, National Association, as trustee, governing the 8.25% Senior Notes due 2023 (incorporated by reference to Exhibit 4.1 to the Company’s Current Report on Form</w:t>
              </w:r>
            </w:hyperlink>
          </w:p>
        </w:tc>
        <w:tc>
          <w:tcPr>
            <w:tcW w:w="80" w:type="dxa"/>
            <w:vAlign w:val="bottom"/>
            <w:tcBorders>
              <w:top w:val="single" w:sz="8" w:color="0000EE"/>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rPr>
            </w:pPr>
            <w:hyperlink r:id="rId193">
              <w:r>
                <w:rPr>
                  <w:rFonts w:ascii="Arial" w:cs="Arial" w:eastAsia="Arial" w:hAnsi="Arial"/>
                  <w:sz w:val="12"/>
                  <w:szCs w:val="12"/>
                  <w:color w:val="0000EE"/>
                </w:rPr>
                <w:t>8-K dated and filed with the SEC as of May 9, 2017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tcBorders>
              <w:bottom w:val="single" w:sz="8" w:color="0000EE"/>
            </w:tcBorders>
            <w:gridSpan w:val="19"/>
          </w:tcPr>
          <w:p>
            <w:pPr>
              <w:spacing w:after="0"/>
              <w:rPr>
                <w:rFonts w:ascii="Arial" w:cs="Arial" w:eastAsia="Arial" w:hAnsi="Arial"/>
                <w:sz w:val="12"/>
                <w:szCs w:val="12"/>
                <w:color w:val="0000EE"/>
                <w:w w:val="91"/>
              </w:rPr>
            </w:pPr>
            <w:hyperlink r:id="rId194">
              <w:r>
                <w:rPr>
                  <w:rFonts w:ascii="Arial" w:cs="Arial" w:eastAsia="Arial" w:hAnsi="Arial"/>
                  <w:sz w:val="12"/>
                  <w:szCs w:val="12"/>
                  <w:color w:val="0000EE"/>
                  <w:w w:val="91"/>
                </w:rPr>
                <w:t>Sixth Supplemental Indenture, dated as of May 9, 2017, to the indenture dated as of April 24, 2015, among Uniti Group LP, Uniti Group Finance Inc., CSL Capital, LLC, Uniti Group Inc., the guarantors</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0" w:type="dxa"/>
            <w:vAlign w:val="bottom"/>
            <w:tcBorders>
              <w:bottom w:val="single" w:sz="8" w:color="0000EE"/>
            </w:tcBorders>
            <w:gridSpan w:val="14"/>
          </w:tcPr>
          <w:p>
            <w:pPr>
              <w:spacing w:after="0" w:line="124" w:lineRule="exact"/>
              <w:rPr>
                <w:rFonts w:ascii="Arial" w:cs="Arial" w:eastAsia="Arial" w:hAnsi="Arial"/>
                <w:sz w:val="12"/>
                <w:szCs w:val="12"/>
                <w:color w:val="0000EE"/>
                <w:w w:val="90"/>
              </w:rPr>
            </w:pPr>
            <w:hyperlink r:id="rId194">
              <w:r>
                <w:rPr>
                  <w:rFonts w:ascii="Arial" w:cs="Arial" w:eastAsia="Arial" w:hAnsi="Arial"/>
                  <w:sz w:val="12"/>
                  <w:szCs w:val="12"/>
                  <w:color w:val="0000EE"/>
                  <w:w w:val="90"/>
                </w:rPr>
                <w:t>named therein and Wells Fargo Bank, National Association, as trustee, governing the 8.25% Senior Notes due 2023 (incorporated by reference to Exhibit 4.2 to the Company’s Current Report on Form</w:t>
              </w:r>
            </w:hyperlink>
          </w:p>
        </w:tc>
        <w:tc>
          <w:tcPr>
            <w:tcW w:w="120" w:type="dxa"/>
            <w:vAlign w:val="bottom"/>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rPr>
            </w:pPr>
            <w:hyperlink r:id="rId194">
              <w:r>
                <w:rPr>
                  <w:rFonts w:ascii="Arial" w:cs="Arial" w:eastAsia="Arial" w:hAnsi="Arial"/>
                  <w:sz w:val="12"/>
                  <w:szCs w:val="12"/>
                  <w:color w:val="0000EE"/>
                </w:rPr>
                <w:t>8-K dated and filed with the SEC as of May 9, 2017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19"/>
          </w:tcPr>
          <w:p>
            <w:pPr>
              <w:spacing w:after="0"/>
              <w:rPr>
                <w:rFonts w:ascii="Arial" w:cs="Arial" w:eastAsia="Arial" w:hAnsi="Arial"/>
                <w:sz w:val="12"/>
                <w:szCs w:val="12"/>
                <w:color w:val="0000EE"/>
                <w:w w:val="92"/>
              </w:rPr>
            </w:pPr>
            <w:hyperlink r:id="rId195">
              <w:r>
                <w:rPr>
                  <w:rFonts w:ascii="Arial" w:cs="Arial" w:eastAsia="Arial" w:hAnsi="Arial"/>
                  <w:sz w:val="12"/>
                  <w:szCs w:val="12"/>
                  <w:color w:val="0000EE"/>
                  <w:w w:val="92"/>
                </w:rPr>
                <w:t>Indenture, dated as of April 24, 2015, among Communications Sales &amp; Leasing, Inc. and CSL Capital, LLC, as Issuers, the guarantors named therein, and Wells Fargo Bank, National Association, as</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2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195">
              <w:r>
                <w:rPr>
                  <w:rFonts w:ascii="Arial" w:cs="Arial" w:eastAsia="Arial" w:hAnsi="Arial"/>
                  <w:sz w:val="12"/>
                  <w:szCs w:val="12"/>
                  <w:color w:val="0000EE"/>
                  <w:w w:val="90"/>
                </w:rPr>
                <w:t>trustee and as collateral agent, governing the 6.00% Senior Secured Notes due 2023 (incorporated by reference to Exhibit 4.1 to the Company’s Current Report on Form 8-K dated and filed with the SEC</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rPr>
            </w:pPr>
            <w:hyperlink r:id="rId195">
              <w:r>
                <w:rPr>
                  <w:rFonts w:ascii="Arial" w:cs="Arial" w:eastAsia="Arial" w:hAnsi="Arial"/>
                  <w:sz w:val="12"/>
                  <w:szCs w:val="12"/>
                  <w:color w:val="0000EE"/>
                </w:rPr>
                <w:t>as of April 27,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4.7</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00" w:type="dxa"/>
            <w:vAlign w:val="bottom"/>
            <w:tcBorders>
              <w:bottom w:val="single" w:sz="8" w:color="0000EE"/>
            </w:tcBorders>
            <w:gridSpan w:val="18"/>
          </w:tcPr>
          <w:p>
            <w:pPr>
              <w:spacing w:after="0"/>
              <w:rPr>
                <w:rFonts w:ascii="Arial" w:cs="Arial" w:eastAsia="Arial" w:hAnsi="Arial"/>
                <w:sz w:val="12"/>
                <w:szCs w:val="12"/>
                <w:color w:val="0000EE"/>
                <w:w w:val="91"/>
              </w:rPr>
            </w:pPr>
            <w:hyperlink r:id="rId195">
              <w:r>
                <w:rPr>
                  <w:rFonts w:ascii="Arial" w:cs="Arial" w:eastAsia="Arial" w:hAnsi="Arial"/>
                  <w:sz w:val="12"/>
                  <w:szCs w:val="12"/>
                  <w:color w:val="0000EE"/>
                  <w:w w:val="91"/>
                </w:rPr>
                <w:t>Form of 6.00% Senior Secured Note due 2023 (included in Exhibit 4.6 above) (incorporated by reference to Exhibit 4.3 to the Company’s Current Report on Form 8-K dated and filed with the SEC as of</w:t>
              </w:r>
            </w:hyperlink>
          </w:p>
        </w:tc>
        <w:tc>
          <w:tcPr>
            <w:tcW w:w="20" w:type="dxa"/>
            <w:vAlign w:val="bottom"/>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rPr>
            </w:pPr>
            <w:hyperlink r:id="rId195">
              <w:r>
                <w:rPr>
                  <w:rFonts w:ascii="Arial" w:cs="Arial" w:eastAsia="Arial" w:hAnsi="Arial"/>
                  <w:sz w:val="12"/>
                  <w:szCs w:val="12"/>
                  <w:color w:val="0000EE"/>
                </w:rPr>
                <w:t>April 27,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4.8</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19"/>
          </w:tcPr>
          <w:p>
            <w:pPr>
              <w:spacing w:after="0"/>
              <w:rPr>
                <w:rFonts w:ascii="Arial" w:cs="Arial" w:eastAsia="Arial" w:hAnsi="Arial"/>
                <w:sz w:val="12"/>
                <w:szCs w:val="12"/>
                <w:color w:val="0000EE"/>
                <w:w w:val="92"/>
              </w:rPr>
            </w:pPr>
            <w:hyperlink r:id="rId196">
              <w:r>
                <w:rPr>
                  <w:rFonts w:ascii="Arial" w:cs="Arial" w:eastAsia="Arial" w:hAnsi="Arial"/>
                  <w:sz w:val="12"/>
                  <w:szCs w:val="12"/>
                  <w:color w:val="0000EE"/>
                  <w:w w:val="92"/>
                </w:rPr>
                <w:t>Second Supplemental Indenture (6.00% Senior Secured Notes due 2023), dated as of June 14, 2016, among Communications Sales &amp; Leasing, Inc. and CSL Capital, LLC, as Issuers, the guarantors</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7220" w:type="dxa"/>
            <w:vAlign w:val="bottom"/>
            <w:gridSpan w:val="2"/>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19"/>
          </w:tcPr>
          <w:p>
            <w:pPr>
              <w:spacing w:after="0" w:line="124" w:lineRule="exact"/>
              <w:rPr>
                <w:rFonts w:ascii="Arial" w:cs="Arial" w:eastAsia="Arial" w:hAnsi="Arial"/>
                <w:sz w:val="12"/>
                <w:szCs w:val="12"/>
                <w:color w:val="0000EE"/>
                <w:w w:val="90"/>
              </w:rPr>
            </w:pPr>
            <w:hyperlink r:id="rId196">
              <w:r>
                <w:rPr>
                  <w:rFonts w:ascii="Arial" w:cs="Arial" w:eastAsia="Arial" w:hAnsi="Arial"/>
                  <w:sz w:val="12"/>
                  <w:szCs w:val="12"/>
                  <w:color w:val="0000EE"/>
                  <w:w w:val="90"/>
                </w:rPr>
                <w:t>thereto and Wells Fargo Bank, National Association, as trustee and collateral agent (incorporated by reference to Exhibit 4.6 to the Company’s Annual Report on Form 10-K dated and filed with the SEC</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196">
              <w:r>
                <w:rPr>
                  <w:rFonts w:ascii="Arial" w:cs="Arial" w:eastAsia="Arial" w:hAnsi="Arial"/>
                  <w:sz w:val="12"/>
                  <w:szCs w:val="12"/>
                  <w:color w:val="0000EE"/>
                </w:rPr>
                <w:t>as of February 23, 2017 (File No. 001-36708))</w:t>
              </w:r>
            </w:hyperlink>
          </w:p>
        </w:tc>
        <w:tc>
          <w:tcPr>
            <w:tcW w:w="20" w:type="dxa"/>
            <w:vAlign w:val="bottom"/>
          </w:tcPr>
          <w:p>
            <w:pPr>
              <w:spacing w:after="0"/>
              <w:rPr>
                <w:sz w:val="10"/>
                <w:szCs w:val="10"/>
                <w:color w:val="auto"/>
              </w:rPr>
            </w:pPr>
          </w:p>
        </w:tc>
      </w:tr>
      <w:tr>
        <w:trPr>
          <w:trHeight w:val="304"/>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Borders>
              <w:top w:val="single" w:sz="8" w:color="0000EE"/>
            </w:tcBorders>
            <w:gridSpan w:val="8"/>
          </w:tcPr>
          <w:p>
            <w:pPr>
              <w:spacing w:after="0"/>
              <w:rPr>
                <w:sz w:val="24"/>
                <w:szCs w:val="24"/>
                <w:color w:val="auto"/>
              </w:rPr>
            </w:pPr>
          </w:p>
        </w:tc>
        <w:tc>
          <w:tcPr>
            <w:tcW w:w="7220" w:type="dxa"/>
            <w:vAlign w:val="bottom"/>
            <w:gridSpan w:val="2"/>
          </w:tcPr>
          <w:p>
            <w:pPr>
              <w:jc w:val="right"/>
              <w:ind w:right="5240"/>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5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340" w:type="dxa"/>
            <w:vAlign w:val="bottom"/>
            <w:gridSpan w:val="19"/>
          </w:tcPr>
          <w:p>
            <w:pPr>
              <w:ind w:left="180"/>
              <w:spacing w:after="0"/>
              <w:rPr>
                <w:sz w:val="20"/>
                <w:szCs w:val="20"/>
                <w:color w:val="auto"/>
              </w:rPr>
            </w:pPr>
            <w:r>
              <w:rPr>
                <w:rFonts w:ascii="Arial" w:cs="Arial" w:eastAsia="Arial" w:hAnsi="Arial"/>
                <w:sz w:val="12"/>
                <w:szCs w:val="12"/>
                <w:b w:val="1"/>
                <w:bCs w:val="1"/>
                <w:color w:val="auto"/>
              </w:rPr>
              <w:t>Description</w:t>
            </w:r>
          </w:p>
        </w:tc>
      </w:tr>
      <w:tr>
        <w:trPr>
          <w:trHeight w:val="119"/>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4.9</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540" w:type="dxa"/>
            <w:vAlign w:val="bottom"/>
            <w:tcBorders>
              <w:top w:val="single" w:sz="8" w:color="auto"/>
              <w:bottom w:val="single" w:sz="8" w:color="0000EE"/>
            </w:tcBorders>
            <w:gridSpan w:val="19"/>
          </w:tcPr>
          <w:p>
            <w:pPr>
              <w:spacing w:after="0" w:line="120" w:lineRule="exact"/>
              <w:rPr>
                <w:rFonts w:ascii="Arial" w:cs="Arial" w:eastAsia="Arial" w:hAnsi="Arial"/>
                <w:sz w:val="12"/>
                <w:szCs w:val="12"/>
                <w:color w:val="0000EE"/>
                <w:w w:val="90"/>
              </w:rPr>
            </w:pPr>
            <w:hyperlink r:id="rId199">
              <w:r>
                <w:rPr>
                  <w:rFonts w:ascii="Arial" w:cs="Arial" w:eastAsia="Arial" w:hAnsi="Arial"/>
                  <w:sz w:val="12"/>
                  <w:szCs w:val="12"/>
                  <w:color w:val="0000EE"/>
                  <w:w w:val="90"/>
                </w:rPr>
                <w:t>Third Supplemental Indenture (6.00% Senior Secured Notes due 2023), dated as of October 19, 2016, among Communications Sales &amp; Leasing, Inc. and CSL Capital, LLC, as Issuers, the guarantors</w:t>
              </w:r>
            </w:hyperlink>
          </w:p>
        </w:tc>
        <w:tc>
          <w:tcPr>
            <w:tcW w:w="180" w:type="dxa"/>
            <w:vAlign w:val="bottom"/>
            <w:tcBorders>
              <w:top w:val="single" w:sz="8" w:color="auto"/>
            </w:tcBorders>
            <w:gridSpan w:val="7"/>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6"/>
          </w:tcPr>
          <w:p>
            <w:pPr>
              <w:spacing w:after="0" w:line="124" w:lineRule="exact"/>
              <w:rPr>
                <w:rFonts w:ascii="Arial" w:cs="Arial" w:eastAsia="Arial" w:hAnsi="Arial"/>
                <w:sz w:val="12"/>
                <w:szCs w:val="12"/>
                <w:color w:val="0000EE"/>
                <w:w w:val="90"/>
              </w:rPr>
            </w:pPr>
            <w:hyperlink r:id="rId199">
              <w:r>
                <w:rPr>
                  <w:rFonts w:ascii="Arial" w:cs="Arial" w:eastAsia="Arial" w:hAnsi="Arial"/>
                  <w:sz w:val="12"/>
                  <w:szCs w:val="12"/>
                  <w:color w:val="0000EE"/>
                  <w:w w:val="90"/>
                </w:rPr>
                <w:t>thereto and Wells Fargo Bank, National Association, as trustee and collateral agent (incorporated by reference to Exhibit 4.7 to the Company’s Annual Report on Form 10-K dated and filed with the SEC</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top w:val="single" w:sz="8" w:color="0000EE"/>
            </w:tcBorders>
            <w:gridSpan w:val="25"/>
          </w:tcPr>
          <w:p>
            <w:pPr>
              <w:spacing w:after="0" w:line="124" w:lineRule="exact"/>
              <w:rPr>
                <w:rFonts w:ascii="Arial" w:cs="Arial" w:eastAsia="Arial" w:hAnsi="Arial"/>
                <w:sz w:val="12"/>
                <w:szCs w:val="12"/>
                <w:color w:val="0000EE"/>
              </w:rPr>
            </w:pPr>
            <w:hyperlink r:id="rId199">
              <w:r>
                <w:rPr>
                  <w:rFonts w:ascii="Arial" w:cs="Arial" w:eastAsia="Arial" w:hAnsi="Arial"/>
                  <w:sz w:val="12"/>
                  <w:szCs w:val="12"/>
                  <w:color w:val="0000EE"/>
                </w:rPr>
                <w:t>as of February 23, 2017 (File No. 001-36708))</w:t>
              </w:r>
            </w:hyperlink>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4.10</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6"/>
          </w:tcPr>
          <w:p>
            <w:pPr>
              <w:spacing w:after="0"/>
              <w:rPr>
                <w:rFonts w:ascii="Arial" w:cs="Arial" w:eastAsia="Arial" w:hAnsi="Arial"/>
                <w:sz w:val="12"/>
                <w:szCs w:val="12"/>
                <w:color w:val="0000EE"/>
                <w:w w:val="91"/>
              </w:rPr>
            </w:pPr>
            <w:hyperlink r:id="rId200">
              <w:r>
                <w:rPr>
                  <w:rFonts w:ascii="Arial" w:cs="Arial" w:eastAsia="Arial" w:hAnsi="Arial"/>
                  <w:sz w:val="12"/>
                  <w:szCs w:val="12"/>
                  <w:color w:val="0000EE"/>
                  <w:w w:val="91"/>
                </w:rPr>
                <w:t>Sixth Supplemental Indenture, dated as of May 9, 2017, to the indenture dated as of April 24, 2015, among Uniti Group LP, Uniti Group Finance Inc., CSL Capital, LLC, Uniti Group Inc., the guarantors</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20" w:type="dxa"/>
            <w:vAlign w:val="bottom"/>
            <w:tcBorders>
              <w:top w:val="single" w:sz="8" w:color="0000EE"/>
              <w:bottom w:val="single" w:sz="8" w:color="0000EE"/>
            </w:tcBorders>
            <w:gridSpan w:val="11"/>
          </w:tcPr>
          <w:p>
            <w:pPr>
              <w:spacing w:after="0" w:line="124" w:lineRule="exact"/>
              <w:rPr>
                <w:rFonts w:ascii="Arial" w:cs="Arial" w:eastAsia="Arial" w:hAnsi="Arial"/>
                <w:sz w:val="12"/>
                <w:szCs w:val="12"/>
                <w:color w:val="0000EE"/>
                <w:w w:val="90"/>
              </w:rPr>
            </w:pPr>
            <w:hyperlink r:id="rId200">
              <w:r>
                <w:rPr>
                  <w:rFonts w:ascii="Arial" w:cs="Arial" w:eastAsia="Arial" w:hAnsi="Arial"/>
                  <w:sz w:val="12"/>
                  <w:szCs w:val="12"/>
                  <w:color w:val="0000EE"/>
                  <w:w w:val="90"/>
                </w:rPr>
                <w:t>named therein and Wells Fargo Bank, National Association, as trustee and collateral agent, governing the 6.00% Senior Secured Notes due 2023 (incorporated by reference to Exhibit 4.3 to the</w:t>
              </w:r>
            </w:hyperlink>
          </w:p>
        </w:tc>
        <w:tc>
          <w:tcPr>
            <w:tcW w:w="480" w:type="dxa"/>
            <w:vAlign w:val="bottom"/>
            <w:tcBorders>
              <w:top w:val="single" w:sz="8" w:color="0000EE"/>
            </w:tcBorders>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36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r:id="rId200">
              <w:r>
                <w:rPr>
                  <w:rFonts w:ascii="Arial" w:cs="Arial" w:eastAsia="Arial" w:hAnsi="Arial"/>
                  <w:sz w:val="12"/>
                  <w:szCs w:val="12"/>
                  <w:color w:val="0000EE"/>
                  <w:w w:val="91"/>
                </w:rPr>
                <w:t>Company’s Current Report on Form 8-K dated and filed with the SEC as of May 9, 2017 (File No. 001-36708))</w:t>
              </w:r>
            </w:hyperlink>
          </w:p>
        </w:tc>
        <w:tc>
          <w:tcPr>
            <w:tcW w:w="4360" w:type="dxa"/>
            <w:vAlign w:val="bottom"/>
            <w:gridSpan w:val="17"/>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6"/>
          </w:tcPr>
          <w:p>
            <w:pPr>
              <w:spacing w:after="0"/>
              <w:rPr>
                <w:rFonts w:ascii="Arial" w:cs="Arial" w:eastAsia="Arial" w:hAnsi="Arial"/>
                <w:sz w:val="12"/>
                <w:szCs w:val="12"/>
                <w:color w:val="0000EE"/>
                <w:w w:val="95"/>
              </w:rPr>
            </w:pPr>
            <w:hyperlink r:id="rId201">
              <w:r>
                <w:rPr>
                  <w:rFonts w:ascii="Arial" w:cs="Arial" w:eastAsia="Arial" w:hAnsi="Arial"/>
                  <w:sz w:val="12"/>
                  <w:szCs w:val="12"/>
                  <w:color w:val="0000EE"/>
                  <w:w w:val="95"/>
                </w:rPr>
                <w:t>Seventh Supplemental Indenture, dated as of May 9, 2017, to the indenture dated as of April 24, 2015, among Uniti Group LP, Uniti Group Finance Inc., CSL Capital, LLC, Uniti Group Inc.,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80" w:type="dxa"/>
            <w:vAlign w:val="bottom"/>
            <w:tcBorders>
              <w:bottom w:val="single" w:sz="8" w:color="0000EE"/>
            </w:tcBorders>
            <w:gridSpan w:val="20"/>
          </w:tcPr>
          <w:p>
            <w:pPr>
              <w:spacing w:after="0" w:line="124" w:lineRule="exact"/>
              <w:rPr>
                <w:rFonts w:ascii="Arial" w:cs="Arial" w:eastAsia="Arial" w:hAnsi="Arial"/>
                <w:sz w:val="12"/>
                <w:szCs w:val="12"/>
                <w:color w:val="0000EE"/>
                <w:w w:val="89"/>
              </w:rPr>
            </w:pPr>
            <w:hyperlink r:id="rId201">
              <w:r>
                <w:rPr>
                  <w:rFonts w:ascii="Arial" w:cs="Arial" w:eastAsia="Arial" w:hAnsi="Arial"/>
                  <w:sz w:val="12"/>
                  <w:szCs w:val="12"/>
                  <w:color w:val="0000EE"/>
                  <w:w w:val="89"/>
                </w:rPr>
                <w:t>guarantors named therein and Wells Fargo Bank, National Association, as trustee and collateral agent, governing the 6.00% Senior Secured Notes due 2023 (incorporated by reference to Exhibit 4.4 to</w:t>
              </w:r>
            </w:hyperlink>
          </w:p>
        </w:tc>
        <w:tc>
          <w:tcPr>
            <w:tcW w:w="140" w:type="dxa"/>
            <w:vAlign w:val="bottom"/>
            <w:gridSpan w:val="6"/>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540" w:type="dxa"/>
            <w:vAlign w:val="bottom"/>
            <w:tcBorders>
              <w:bottom w:val="single" w:sz="8" w:color="0000EE"/>
            </w:tcBorders>
            <w:gridSpan w:val="10"/>
          </w:tcPr>
          <w:p>
            <w:pPr>
              <w:spacing w:after="0" w:line="124" w:lineRule="exact"/>
              <w:rPr>
                <w:rFonts w:ascii="Arial" w:cs="Arial" w:eastAsia="Arial" w:hAnsi="Arial"/>
                <w:sz w:val="12"/>
                <w:szCs w:val="12"/>
                <w:color w:val="0000EE"/>
                <w:w w:val="91"/>
              </w:rPr>
            </w:pPr>
            <w:hyperlink r:id="rId201">
              <w:r>
                <w:rPr>
                  <w:rFonts w:ascii="Arial" w:cs="Arial" w:eastAsia="Arial" w:hAnsi="Arial"/>
                  <w:sz w:val="12"/>
                  <w:szCs w:val="12"/>
                  <w:color w:val="0000EE"/>
                  <w:w w:val="91"/>
                </w:rPr>
                <w:t>the Company’s Current Report on Form 8-K dated and filed with the SEC as of May 9, 2017 (File No. 001-36708))</w:t>
              </w:r>
            </w:hyperlink>
          </w:p>
        </w:tc>
        <w:tc>
          <w:tcPr>
            <w:tcW w:w="4180" w:type="dxa"/>
            <w:vAlign w:val="bottom"/>
            <w:gridSpan w:val="16"/>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60" w:type="dxa"/>
            <w:vAlign w:val="bottom"/>
            <w:tcBorders>
              <w:bottom w:val="single" w:sz="8" w:color="0000EE"/>
            </w:tcBorders>
            <w:gridSpan w:val="24"/>
          </w:tcPr>
          <w:p>
            <w:pPr>
              <w:spacing w:after="0"/>
              <w:rPr>
                <w:rFonts w:ascii="Arial" w:cs="Arial" w:eastAsia="Arial" w:hAnsi="Arial"/>
                <w:sz w:val="12"/>
                <w:szCs w:val="12"/>
                <w:color w:val="0000EE"/>
                <w:w w:val="91"/>
              </w:rPr>
            </w:pPr>
            <w:hyperlink r:id="rId202">
              <w:r>
                <w:rPr>
                  <w:rFonts w:ascii="Arial" w:cs="Arial" w:eastAsia="Arial" w:hAnsi="Arial"/>
                  <w:sz w:val="12"/>
                  <w:szCs w:val="12"/>
                  <w:color w:val="0000EE"/>
                  <w:w w:val="91"/>
                </w:rPr>
                <w:t>Articles Supplementary for 3.00% Series A Convertible Preferred Stock (incorporated by reference to Exhibit 4.1 to the Company’s Current Report on Form 8-K dated and filed with the SEC as of May</w:t>
              </w:r>
            </w:hyperlink>
          </w:p>
        </w:tc>
        <w:tc>
          <w:tcPr>
            <w:tcW w:w="60" w:type="dxa"/>
            <w:vAlign w:val="bottom"/>
            <w:gridSpan w:val="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6"/>
          </w:tcPr>
          <w:p>
            <w:pPr>
              <w:spacing w:after="0" w:line="124" w:lineRule="exact"/>
              <w:rPr>
                <w:rFonts w:ascii="Arial" w:cs="Arial" w:eastAsia="Arial" w:hAnsi="Arial"/>
                <w:sz w:val="12"/>
                <w:szCs w:val="12"/>
                <w:color w:val="0000EE"/>
              </w:rPr>
            </w:pPr>
            <w:hyperlink r:id="rId202">
              <w:r>
                <w:rPr>
                  <w:rFonts w:ascii="Arial" w:cs="Arial" w:eastAsia="Arial" w:hAnsi="Arial"/>
                  <w:sz w:val="12"/>
                  <w:szCs w:val="12"/>
                  <w:color w:val="0000EE"/>
                </w:rPr>
                <w:t>4, 2016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6"/>
          </w:tcPr>
          <w:p>
            <w:pPr>
              <w:spacing w:after="0"/>
              <w:rPr>
                <w:rFonts w:ascii="Arial" w:cs="Arial" w:eastAsia="Arial" w:hAnsi="Arial"/>
                <w:sz w:val="12"/>
                <w:szCs w:val="12"/>
                <w:color w:val="0000EE"/>
                <w:w w:val="93"/>
              </w:rPr>
            </w:pPr>
            <w:hyperlink r:id="rId203">
              <w:r>
                <w:rPr>
                  <w:rFonts w:ascii="Arial" w:cs="Arial" w:eastAsia="Arial" w:hAnsi="Arial"/>
                  <w:sz w:val="12"/>
                  <w:szCs w:val="12"/>
                  <w:color w:val="0000EE"/>
                  <w:w w:val="93"/>
                </w:rPr>
                <w:t>Articles of Amendment to Articles Supplementary for 3.00% Series A Convertible Preferred Stock (incorporated by reference to Exhibit 3.1 to the Company’s Current Report on Form 8-K dated and</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8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2"/>
              </w:rPr>
            </w:pPr>
            <w:hyperlink r:id="rId203">
              <w:r>
                <w:rPr>
                  <w:rFonts w:ascii="Arial" w:cs="Arial" w:eastAsia="Arial" w:hAnsi="Arial"/>
                  <w:sz w:val="12"/>
                  <w:szCs w:val="12"/>
                  <w:color w:val="0000EE"/>
                  <w:w w:val="92"/>
                </w:rPr>
                <w:t>filed with the SEC as of May 9, 2017 (File No. 001-36708))</w:t>
              </w:r>
            </w:hyperlink>
          </w:p>
        </w:tc>
        <w:tc>
          <w:tcPr>
            <w:tcW w:w="6620" w:type="dxa"/>
            <w:vAlign w:val="bottom"/>
            <w:tcBorders>
              <w:top w:val="single" w:sz="8" w:color="0000EE"/>
            </w:tcBorders>
            <w:gridSpan w:val="11"/>
          </w:tcPr>
          <w:p>
            <w:pPr>
              <w:spacing w:after="0"/>
              <w:rPr>
                <w:sz w:val="10"/>
                <w:szCs w:val="10"/>
                <w:color w:val="auto"/>
              </w:rPr>
            </w:pPr>
          </w:p>
        </w:tc>
        <w:tc>
          <w:tcPr>
            <w:tcW w:w="220" w:type="dxa"/>
            <w:vAlign w:val="bottom"/>
            <w:gridSpan w:val="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40" w:type="dxa"/>
            <w:vAlign w:val="bottom"/>
            <w:tcBorders>
              <w:bottom w:val="single" w:sz="8" w:color="0000EE"/>
            </w:tcBorders>
            <w:gridSpan w:val="23"/>
          </w:tcPr>
          <w:p>
            <w:pPr>
              <w:spacing w:after="0"/>
              <w:rPr>
                <w:rFonts w:ascii="Arial" w:cs="Arial" w:eastAsia="Arial" w:hAnsi="Arial"/>
                <w:sz w:val="12"/>
                <w:szCs w:val="12"/>
                <w:color w:val="0000EE"/>
                <w:w w:val="90"/>
              </w:rPr>
            </w:pPr>
            <w:hyperlink r:id="rId204">
              <w:r>
                <w:rPr>
                  <w:rFonts w:ascii="Arial" w:cs="Arial" w:eastAsia="Arial" w:hAnsi="Arial"/>
                  <w:sz w:val="12"/>
                  <w:szCs w:val="12"/>
                  <w:color w:val="0000EE"/>
                  <w:w w:val="90"/>
                </w:rPr>
                <w:t>Indenture, dated as of December 15, 2016, among Communications Sales &amp; Leasing, Inc. and CSL Capital, LLC, as Issuers, the guarantors named therein, and Wells Fargo Bank, National Association,</w:t>
              </w:r>
            </w:hyperlink>
          </w:p>
        </w:tc>
        <w:tc>
          <w:tcPr>
            <w:tcW w:w="80" w:type="dxa"/>
            <w:vAlign w:val="bottom"/>
            <w:gridSpan w:val="3"/>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2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r:id="rId204">
              <w:r>
                <w:rPr>
                  <w:rFonts w:ascii="Arial" w:cs="Arial" w:eastAsia="Arial" w:hAnsi="Arial"/>
                  <w:sz w:val="12"/>
                  <w:szCs w:val="12"/>
                  <w:color w:val="0000EE"/>
                  <w:w w:val="90"/>
                </w:rPr>
                <w:t>as trustee, governing the 7.125% Senior Notes due 2024 (incorporated by reference to Exhibit 4.1 of the Company’s Current Report on Form 8-K dated and filed with the SEC as of December 15, 2016</w:t>
              </w:r>
            </w:hyperlink>
          </w:p>
        </w:tc>
        <w:tc>
          <w:tcPr>
            <w:tcW w:w="100" w:type="dxa"/>
            <w:vAlign w:val="bottom"/>
            <w:gridSpan w:val="4"/>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Borders>
              <w:bottom w:val="single" w:sz="8" w:color="0000EE"/>
            </w:tcBorders>
          </w:tcPr>
          <w:p>
            <w:pPr>
              <w:spacing w:after="0" w:line="124" w:lineRule="exact"/>
              <w:rPr>
                <w:rFonts w:ascii="Arial" w:cs="Arial" w:eastAsia="Arial" w:hAnsi="Arial"/>
                <w:sz w:val="12"/>
                <w:szCs w:val="12"/>
                <w:color w:val="0000EE"/>
                <w:w w:val="91"/>
              </w:rPr>
            </w:pPr>
            <w:hyperlink r:id="rId204">
              <w:r>
                <w:rPr>
                  <w:rFonts w:ascii="Arial" w:cs="Arial" w:eastAsia="Arial" w:hAnsi="Arial"/>
                  <w:sz w:val="12"/>
                  <w:szCs w:val="12"/>
                  <w:color w:val="0000EE"/>
                  <w:w w:val="91"/>
                </w:rPr>
                <w:t>(File No. 001-36708))</w:t>
              </w:r>
            </w:hyperlink>
          </w:p>
        </w:tc>
        <w:tc>
          <w:tcPr>
            <w:tcW w:w="8660" w:type="dxa"/>
            <w:vAlign w:val="bottom"/>
            <w:gridSpan w:val="25"/>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20" w:type="dxa"/>
            <w:vAlign w:val="bottom"/>
            <w:tcBorders>
              <w:bottom w:val="single" w:sz="8" w:color="0000EE"/>
            </w:tcBorders>
            <w:gridSpan w:val="14"/>
          </w:tcPr>
          <w:p>
            <w:pPr>
              <w:spacing w:after="0"/>
              <w:rPr>
                <w:rFonts w:ascii="Arial" w:cs="Arial" w:eastAsia="Arial" w:hAnsi="Arial"/>
                <w:sz w:val="12"/>
                <w:szCs w:val="12"/>
                <w:color w:val="0000EE"/>
                <w:w w:val="91"/>
              </w:rPr>
            </w:pPr>
            <w:hyperlink r:id="rId204">
              <w:r>
                <w:rPr>
                  <w:rFonts w:ascii="Arial" w:cs="Arial" w:eastAsia="Arial" w:hAnsi="Arial"/>
                  <w:sz w:val="12"/>
                  <w:szCs w:val="12"/>
                  <w:color w:val="0000EE"/>
                  <w:w w:val="91"/>
                </w:rPr>
                <w:t>Form of 7.125% Senior Note due 2024 (included in Exhibit 4.14 above) (incorporated by reference to Exhibit 4.2 of the Company’s Current Report on Form 8-K dated and filed with the SEC as of</w:t>
              </w:r>
            </w:hyperlink>
          </w:p>
        </w:tc>
        <w:tc>
          <w:tcPr>
            <w:tcW w:w="300" w:type="dxa"/>
            <w:vAlign w:val="bottom"/>
            <w:gridSpan w:val="1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6"/>
          </w:tcPr>
          <w:p>
            <w:pPr>
              <w:spacing w:after="0" w:line="124" w:lineRule="exact"/>
              <w:rPr>
                <w:rFonts w:ascii="Arial" w:cs="Arial" w:eastAsia="Arial" w:hAnsi="Arial"/>
                <w:sz w:val="12"/>
                <w:szCs w:val="12"/>
                <w:color w:val="0000EE"/>
              </w:rPr>
            </w:pPr>
            <w:hyperlink r:id="rId204">
              <w:r>
                <w:rPr>
                  <w:rFonts w:ascii="Arial" w:cs="Arial" w:eastAsia="Arial" w:hAnsi="Arial"/>
                  <w:sz w:val="12"/>
                  <w:szCs w:val="12"/>
                  <w:color w:val="0000EE"/>
                </w:rPr>
                <w:t>December 15, 2016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20" w:type="dxa"/>
            <w:vAlign w:val="bottom"/>
            <w:tcBorders>
              <w:bottom w:val="single" w:sz="8" w:color="0000EE"/>
            </w:tcBorders>
            <w:gridSpan w:val="14"/>
          </w:tcPr>
          <w:p>
            <w:pPr>
              <w:spacing w:after="0"/>
              <w:rPr>
                <w:rFonts w:ascii="Arial" w:cs="Arial" w:eastAsia="Arial" w:hAnsi="Arial"/>
                <w:sz w:val="12"/>
                <w:szCs w:val="12"/>
                <w:color w:val="0000EE"/>
                <w:w w:val="90"/>
              </w:rPr>
            </w:pPr>
            <w:hyperlink r:id="rId205">
              <w:r>
                <w:rPr>
                  <w:rFonts w:ascii="Arial" w:cs="Arial" w:eastAsia="Arial" w:hAnsi="Arial"/>
                  <w:sz w:val="12"/>
                  <w:szCs w:val="12"/>
                  <w:color w:val="0000EE"/>
                  <w:w w:val="90"/>
                </w:rPr>
                <w:t>First Supplemental Indenture, dated as of February 22, 2017, to the Indenture, dated as of December 15, 2016, among Communications Sales &amp; Leasing, Inc. and CSL Capital, LLC, as Issuers, the</w:t>
              </w:r>
            </w:hyperlink>
          </w:p>
        </w:tc>
        <w:tc>
          <w:tcPr>
            <w:tcW w:w="300" w:type="dxa"/>
            <w:vAlign w:val="bottom"/>
            <w:gridSpan w:val="12"/>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6"/>
          </w:tcPr>
          <w:p>
            <w:pPr>
              <w:spacing w:after="0" w:line="124" w:lineRule="exact"/>
              <w:rPr>
                <w:rFonts w:ascii="Arial" w:cs="Arial" w:eastAsia="Arial" w:hAnsi="Arial"/>
                <w:sz w:val="12"/>
                <w:szCs w:val="12"/>
                <w:color w:val="0000EE"/>
                <w:w w:val="92"/>
              </w:rPr>
            </w:pPr>
            <w:hyperlink r:id="rId205">
              <w:r>
                <w:rPr>
                  <w:rFonts w:ascii="Arial" w:cs="Arial" w:eastAsia="Arial" w:hAnsi="Arial"/>
                  <w:sz w:val="12"/>
                  <w:szCs w:val="12"/>
                  <w:color w:val="0000EE"/>
                  <w:w w:val="92"/>
                </w:rPr>
                <w:t>guarantors named therein, and Wells Fargo Bank, National Association, as trustee, governing the 7.125% Senior Notes due 2024 (incorporated by reference to Exhibit 4.11 to the Company’s Annual</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72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1"/>
              </w:rPr>
            </w:pPr>
            <w:hyperlink r:id="rId205">
              <w:r>
                <w:rPr>
                  <w:rFonts w:ascii="Arial" w:cs="Arial" w:eastAsia="Arial" w:hAnsi="Arial"/>
                  <w:sz w:val="12"/>
                  <w:szCs w:val="12"/>
                  <w:color w:val="0000EE"/>
                  <w:w w:val="91"/>
                </w:rPr>
                <w:t>Report on Form 10-K dated and filed with the SEC as of February 23, 2017 (File No. 001-36708))</w:t>
              </w:r>
            </w:hyperlink>
          </w:p>
        </w:tc>
        <w:tc>
          <w:tcPr>
            <w:tcW w:w="4740" w:type="dxa"/>
            <w:vAlign w:val="bottom"/>
            <w:tcBorders>
              <w:top w:val="single" w:sz="8" w:color="0000EE"/>
            </w:tcBorders>
            <w:gridSpan w:val="7"/>
          </w:tcPr>
          <w:p>
            <w:pPr>
              <w:spacing w:after="0"/>
              <w:rPr>
                <w:sz w:val="10"/>
                <w:szCs w:val="10"/>
                <w:color w:val="auto"/>
              </w:rPr>
            </w:pPr>
          </w:p>
        </w:tc>
        <w:tc>
          <w:tcPr>
            <w:tcW w:w="260" w:type="dxa"/>
            <w:vAlign w:val="bottom"/>
            <w:gridSpan w:val="11"/>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4.17</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6"/>
          </w:tcPr>
          <w:p>
            <w:pPr>
              <w:spacing w:after="0"/>
              <w:rPr>
                <w:rFonts w:ascii="Arial" w:cs="Arial" w:eastAsia="Arial" w:hAnsi="Arial"/>
                <w:sz w:val="12"/>
                <w:szCs w:val="12"/>
                <w:color w:val="0000EE"/>
                <w:w w:val="94"/>
              </w:rPr>
            </w:pPr>
            <w:hyperlink r:id="rId206">
              <w:r>
                <w:rPr>
                  <w:rFonts w:ascii="Arial" w:cs="Arial" w:eastAsia="Arial" w:hAnsi="Arial"/>
                  <w:sz w:val="12"/>
                  <w:szCs w:val="12"/>
                  <w:color w:val="0000EE"/>
                  <w:w w:val="94"/>
                </w:rPr>
                <w:t>Third Supplemental Indenture, dated as of May 9, 2017, to the indenture dated as of December 15, 2016, among Uniti Group LP, Uniti Fiber Holdings Inc., CSL Capital, LLC, Uniti Group Inc., the</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90"/>
              </w:rPr>
            </w:pPr>
            <w:hyperlink r:id="rId206">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4.5 to the Company’s Current</w:t>
              </w:r>
            </w:hyperlink>
          </w:p>
        </w:tc>
        <w:tc>
          <w:tcPr>
            <w:tcW w:w="20" w:type="dxa"/>
            <w:vAlign w:val="bottom"/>
            <w:tcBorders>
              <w:top w:val="single" w:sz="8" w:color="0000EE"/>
            </w:tcBorders>
          </w:tcPr>
          <w:p>
            <w:pPr>
              <w:spacing w:after="0"/>
              <w:rPr>
                <w:sz w:val="10"/>
                <w:szCs w:val="10"/>
                <w:color w:val="auto"/>
              </w:rPr>
            </w:pPr>
          </w:p>
        </w:tc>
        <w:tc>
          <w:tcPr>
            <w:tcW w:w="300" w:type="dxa"/>
            <w:vAlign w:val="bottom"/>
            <w:gridSpan w:val="1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6"/>
          </w:tcPr>
          <w:p>
            <w:pPr>
              <w:spacing w:after="0" w:line="124" w:lineRule="exact"/>
              <w:rPr>
                <w:rFonts w:ascii="Arial" w:cs="Arial" w:eastAsia="Arial" w:hAnsi="Arial"/>
                <w:sz w:val="12"/>
                <w:szCs w:val="12"/>
                <w:color w:val="0000EE"/>
              </w:rPr>
            </w:pPr>
            <w:hyperlink r:id="rId206">
              <w:r>
                <w:rPr>
                  <w:rFonts w:ascii="Arial" w:cs="Arial" w:eastAsia="Arial" w:hAnsi="Arial"/>
                  <w:sz w:val="12"/>
                  <w:szCs w:val="12"/>
                  <w:color w:val="0000EE"/>
                </w:rPr>
                <w:t>Report on Form 8-K dated and filed with the SEC as of May 9, 2017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4.18</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6"/>
          </w:tcPr>
          <w:p>
            <w:pPr>
              <w:spacing w:after="0"/>
              <w:rPr>
                <w:rFonts w:ascii="Arial" w:cs="Arial" w:eastAsia="Arial" w:hAnsi="Arial"/>
                <w:sz w:val="12"/>
                <w:szCs w:val="12"/>
                <w:color w:val="0000EE"/>
                <w:w w:val="93"/>
              </w:rPr>
            </w:pPr>
            <w:hyperlink r:id="rId207">
              <w:r>
                <w:rPr>
                  <w:rFonts w:ascii="Arial" w:cs="Arial" w:eastAsia="Arial" w:hAnsi="Arial"/>
                  <w:sz w:val="12"/>
                  <w:szCs w:val="12"/>
                  <w:color w:val="0000EE"/>
                  <w:w w:val="93"/>
                </w:rPr>
                <w:t>Fourth Supplemental Indenture, dated as of May 9, 2017, to the indenture dated as of December 15, 2016, among Uniti Group LP, Uniti Fiber Holdings Inc., CSL Capital, LLC, Uniti Group Inc., the</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90"/>
              </w:rPr>
            </w:pPr>
            <w:hyperlink r:id="rId207">
              <w:r>
                <w:rPr>
                  <w:rFonts w:ascii="Arial" w:cs="Arial" w:eastAsia="Arial" w:hAnsi="Arial"/>
                  <w:sz w:val="12"/>
                  <w:szCs w:val="12"/>
                  <w:color w:val="0000EE"/>
                  <w:w w:val="90"/>
                </w:rPr>
                <w:t>guarantors named therein and Wells Fargo Bank, National Association, as trustee, governing the 7.125% Senior Notes due 2024 (incorporated by reference to Exhibit 4.6 to the Company’s Current</w:t>
              </w:r>
            </w:hyperlink>
          </w:p>
        </w:tc>
        <w:tc>
          <w:tcPr>
            <w:tcW w:w="80" w:type="dxa"/>
            <w:vAlign w:val="bottom"/>
            <w:tcBorders>
              <w:top w:val="single" w:sz="8" w:color="0000EE"/>
            </w:tcBorders>
            <w:gridSpan w:val="3"/>
          </w:tcPr>
          <w:p>
            <w:pPr>
              <w:spacing w:after="0"/>
              <w:rPr>
                <w:sz w:val="10"/>
                <w:szCs w:val="10"/>
                <w:color w:val="auto"/>
              </w:rPr>
            </w:pPr>
          </w:p>
        </w:tc>
        <w:tc>
          <w:tcPr>
            <w:tcW w:w="240" w:type="dxa"/>
            <w:vAlign w:val="bottom"/>
            <w:gridSpan w:val="10"/>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6"/>
          </w:tcPr>
          <w:p>
            <w:pPr>
              <w:spacing w:after="0" w:line="124" w:lineRule="exact"/>
              <w:rPr>
                <w:rFonts w:ascii="Arial" w:cs="Arial" w:eastAsia="Arial" w:hAnsi="Arial"/>
                <w:sz w:val="12"/>
                <w:szCs w:val="12"/>
                <w:color w:val="0000EE"/>
              </w:rPr>
            </w:pPr>
            <w:hyperlink r:id="rId207">
              <w:r>
                <w:rPr>
                  <w:rFonts w:ascii="Arial" w:cs="Arial" w:eastAsia="Arial" w:hAnsi="Arial"/>
                  <w:sz w:val="12"/>
                  <w:szCs w:val="12"/>
                  <w:color w:val="0000EE"/>
                </w:rPr>
                <w:t>Report on Form 8-K dated and filed with the SEC as of May 9, 2017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4.19</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20" w:type="dxa"/>
            <w:vAlign w:val="bottom"/>
            <w:tcBorders>
              <w:bottom w:val="single" w:sz="8" w:color="0000EE"/>
            </w:tcBorders>
            <w:gridSpan w:val="18"/>
          </w:tcPr>
          <w:p>
            <w:pPr>
              <w:spacing w:after="0"/>
              <w:rPr>
                <w:rFonts w:ascii="Arial" w:cs="Arial" w:eastAsia="Arial" w:hAnsi="Arial"/>
                <w:sz w:val="12"/>
                <w:szCs w:val="12"/>
                <w:color w:val="0000EE"/>
                <w:w w:val="90"/>
              </w:rPr>
            </w:pPr>
            <w:hyperlink r:id="rId208">
              <w:r>
                <w:rPr>
                  <w:rFonts w:ascii="Arial" w:cs="Arial" w:eastAsia="Arial" w:hAnsi="Arial"/>
                  <w:sz w:val="12"/>
                  <w:szCs w:val="12"/>
                  <w:color w:val="0000EE"/>
                  <w:w w:val="90"/>
                </w:rPr>
                <w:t>Fifth Supplemental Indenture, dated as of August 11, 2017, among Uniti Group LP, Uniti Fiber Holdings Inc., and CSL Capital, LLC, as Issuers, the guarantors named therein, and Wells Fargo Bank,</w:t>
              </w:r>
            </w:hyperlink>
          </w:p>
        </w:tc>
        <w:tc>
          <w:tcPr>
            <w:tcW w:w="20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6"/>
          </w:tcPr>
          <w:p>
            <w:pPr>
              <w:spacing w:after="0" w:line="124" w:lineRule="exact"/>
              <w:rPr>
                <w:rFonts w:ascii="Arial" w:cs="Arial" w:eastAsia="Arial" w:hAnsi="Arial"/>
                <w:sz w:val="12"/>
                <w:szCs w:val="12"/>
                <w:color w:val="0000EE"/>
                <w:w w:val="91"/>
              </w:rPr>
            </w:pPr>
            <w:hyperlink r:id="rId208">
              <w:r>
                <w:rPr>
                  <w:rFonts w:ascii="Arial" w:cs="Arial" w:eastAsia="Arial" w:hAnsi="Arial"/>
                  <w:sz w:val="12"/>
                  <w:szCs w:val="12"/>
                  <w:color w:val="0000EE"/>
                  <w:w w:val="91"/>
                </w:rPr>
                <w:t>National Association, as trustee, relating to the 7.125% Senior Notes due 2024 (incorporated by reference to Exhibit 4.1 to the Company’s Quarterly Report on Form 10-Q dated and filed with the SEC</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r:id="rId208">
              <w:r>
                <w:rPr>
                  <w:rFonts w:ascii="Arial" w:cs="Arial" w:eastAsia="Arial" w:hAnsi="Arial"/>
                  <w:sz w:val="12"/>
                  <w:szCs w:val="12"/>
                  <w:color w:val="0000EE"/>
                </w:rPr>
                <w:t>as of November 2, 2017 (File No. 001-36708))</w:t>
              </w:r>
            </w:hyperlink>
          </w:p>
        </w:tc>
        <w:tc>
          <w:tcPr>
            <w:tcW w:w="120" w:type="dxa"/>
            <w:vAlign w:val="bottom"/>
            <w:gridSpan w:val="5"/>
          </w:tcPr>
          <w:p>
            <w:pPr>
              <w:spacing w:after="0"/>
              <w:rPr>
                <w:sz w:val="10"/>
                <w:szCs w:val="10"/>
                <w:color w:val="auto"/>
              </w:rPr>
            </w:pPr>
          </w:p>
        </w:tc>
      </w:tr>
      <w:tr>
        <w:trPr>
          <w:trHeight w:val="304"/>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Borders>
              <w:top w:val="single" w:sz="8" w:color="0000EE"/>
            </w:tcBorders>
            <w:gridSpan w:val="5"/>
          </w:tcPr>
          <w:p>
            <w:pPr>
              <w:spacing w:after="0"/>
              <w:rPr>
                <w:sz w:val="24"/>
                <w:szCs w:val="24"/>
                <w:color w:val="auto"/>
              </w:rPr>
            </w:pPr>
          </w:p>
        </w:tc>
        <w:tc>
          <w:tcPr>
            <w:tcW w:w="2140" w:type="dxa"/>
            <w:vAlign w:val="bottom"/>
            <w:gridSpan w:val="2"/>
          </w:tcPr>
          <w:p>
            <w:pPr>
              <w:jc w:val="right"/>
              <w:ind w:right="240"/>
              <w:spacing w:after="0"/>
              <w:rPr>
                <w:sz w:val="20"/>
                <w:szCs w:val="20"/>
                <w:color w:val="auto"/>
              </w:rPr>
            </w:pPr>
            <w:r>
              <w:rPr>
                <w:rFonts w:ascii="Arial" w:cs="Arial" w:eastAsia="Arial" w:hAnsi="Arial"/>
                <w:sz w:val="12"/>
                <w:szCs w:val="12"/>
                <w:color w:val="auto"/>
              </w:rPr>
              <w:t>137</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40" w:type="dxa"/>
            <w:vAlign w:val="bottom"/>
            <w:gridSpan w:val="17"/>
          </w:tcPr>
          <w:p>
            <w:pPr>
              <w:ind w:left="880"/>
              <w:spacing w:after="0"/>
              <w:rPr>
                <w:sz w:val="20"/>
                <w:szCs w:val="20"/>
                <w:color w:val="auto"/>
              </w:rPr>
            </w:pPr>
            <w:r>
              <w:rPr>
                <w:rFonts w:ascii="Arial" w:cs="Arial" w:eastAsia="Arial" w:hAnsi="Arial"/>
                <w:sz w:val="12"/>
                <w:szCs w:val="12"/>
                <w:b w:val="1"/>
                <w:bCs w:val="1"/>
                <w:color w:val="auto"/>
              </w:rPr>
              <w:t>Description</w:t>
            </w: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4.20</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620" w:type="dxa"/>
            <w:vAlign w:val="bottom"/>
            <w:tcBorders>
              <w:top w:val="single" w:sz="8" w:color="auto"/>
              <w:bottom w:val="single" w:sz="8" w:color="0000EE"/>
            </w:tcBorders>
            <w:gridSpan w:val="18"/>
          </w:tcPr>
          <w:p>
            <w:pPr>
              <w:spacing w:after="0" w:line="120" w:lineRule="exact"/>
              <w:rPr>
                <w:rFonts w:ascii="Arial" w:cs="Arial" w:eastAsia="Arial" w:hAnsi="Arial"/>
                <w:sz w:val="12"/>
                <w:szCs w:val="12"/>
                <w:color w:val="0000EE"/>
                <w:w w:val="90"/>
              </w:rPr>
            </w:pPr>
            <w:hyperlink r:id="rId211">
              <w:r>
                <w:rPr>
                  <w:rFonts w:ascii="Arial" w:cs="Arial" w:eastAsia="Arial" w:hAnsi="Arial"/>
                  <w:sz w:val="12"/>
                  <w:szCs w:val="12"/>
                  <w:color w:val="0000EE"/>
                  <w:w w:val="90"/>
                </w:rPr>
                <w:t>Indenture, dated as of June 28, 2019, among Uniti Fiber Holdings, Inc., as issuer, Uniti Group Inc. and the other guarantors named therein, as guarantors, and Deutsche Bank Trust Company Americas,</w:t>
              </w:r>
            </w:hyperlink>
          </w:p>
        </w:tc>
        <w:tc>
          <w:tcPr>
            <w:tcW w:w="100" w:type="dxa"/>
            <w:vAlign w:val="bottom"/>
            <w:tcBorders>
              <w:top w:val="single" w:sz="8" w:color="auto"/>
            </w:tcBorders>
            <w:gridSpan w:val="5"/>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80" w:type="dxa"/>
            <w:vAlign w:val="bottom"/>
            <w:tcBorders>
              <w:bottom w:val="single" w:sz="8" w:color="0000EE"/>
            </w:tcBorders>
            <w:gridSpan w:val="14"/>
          </w:tcPr>
          <w:p>
            <w:pPr>
              <w:spacing w:after="0" w:line="124" w:lineRule="exact"/>
              <w:rPr>
                <w:rFonts w:ascii="Arial" w:cs="Arial" w:eastAsia="Arial" w:hAnsi="Arial"/>
                <w:sz w:val="12"/>
                <w:szCs w:val="12"/>
                <w:color w:val="0000EE"/>
                <w:w w:val="90"/>
              </w:rPr>
            </w:pPr>
            <w:hyperlink r:id="rId211">
              <w:r>
                <w:rPr>
                  <w:rFonts w:ascii="Arial" w:cs="Arial" w:eastAsia="Arial" w:hAnsi="Arial"/>
                  <w:sz w:val="12"/>
                  <w:szCs w:val="12"/>
                  <w:color w:val="0000EE"/>
                  <w:w w:val="90"/>
                </w:rPr>
                <w:t>as trustee, governing the 4.00% Exchangeable Senior Notes due 2024 (incorporated by reference to Exhibit 4.1 to the Company’s Current Report on Form 8-K dated June 25, 2019 and filed with the</w:t>
              </w:r>
            </w:hyperlink>
          </w:p>
        </w:tc>
        <w:tc>
          <w:tcPr>
            <w:tcW w:w="240" w:type="dxa"/>
            <w:vAlign w:val="bottom"/>
            <w:gridSpan w:val="9"/>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rPr>
            </w:pPr>
            <w:hyperlink r:id="rId211">
              <w:r>
                <w:rPr>
                  <w:rFonts w:ascii="Arial" w:cs="Arial" w:eastAsia="Arial" w:hAnsi="Arial"/>
                  <w:sz w:val="12"/>
                  <w:szCs w:val="12"/>
                  <w:color w:val="0000EE"/>
                </w:rPr>
                <w:t>SEC as of June 28, 2019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tcBorders>
              <w:bottom w:val="single" w:sz="8" w:color="0000EE"/>
            </w:tcBorders>
            <w:gridSpan w:val="18"/>
          </w:tcPr>
          <w:p>
            <w:pPr>
              <w:spacing w:after="0"/>
              <w:rPr>
                <w:rFonts w:ascii="Arial" w:cs="Arial" w:eastAsia="Arial" w:hAnsi="Arial"/>
                <w:sz w:val="12"/>
                <w:szCs w:val="12"/>
                <w:color w:val="0000EE"/>
                <w:w w:val="90"/>
              </w:rPr>
            </w:pPr>
            <w:hyperlink r:id="rId211">
              <w:r>
                <w:rPr>
                  <w:rFonts w:ascii="Arial" w:cs="Arial" w:eastAsia="Arial" w:hAnsi="Arial"/>
                  <w:sz w:val="12"/>
                  <w:szCs w:val="12"/>
                  <w:color w:val="0000EE"/>
                  <w:w w:val="90"/>
                </w:rPr>
                <w:t>Form of 4.00% Exchangeable Senior Notes due 2024 (included in Exhibit 4.20 above) (incorporated by reference to Exhibit 4.2 to the Company’s Current Report on Form 8-K dated June 25, 2019 and</w:t>
              </w:r>
            </w:hyperlink>
          </w:p>
        </w:tc>
        <w:tc>
          <w:tcPr>
            <w:tcW w:w="10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94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211">
              <w:r>
                <w:rPr>
                  <w:rFonts w:ascii="Arial" w:cs="Arial" w:eastAsia="Arial" w:hAnsi="Arial"/>
                  <w:sz w:val="12"/>
                  <w:szCs w:val="12"/>
                  <w:color w:val="0000EE"/>
                  <w:w w:val="91"/>
                </w:rPr>
                <w:t>filed with the SEC as of June 28, 2019 (File No. 001-36708))</w:t>
              </w:r>
            </w:hyperlink>
          </w:p>
        </w:tc>
        <w:tc>
          <w:tcPr>
            <w:tcW w:w="6780" w:type="dxa"/>
            <w:vAlign w:val="bottom"/>
            <w:gridSpan w:val="18"/>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40" w:type="dxa"/>
            <w:vAlign w:val="bottom"/>
            <w:tcBorders>
              <w:bottom w:val="single" w:sz="8" w:color="0000EE"/>
            </w:tcBorders>
            <w:gridSpan w:val="8"/>
          </w:tcPr>
          <w:p>
            <w:pPr>
              <w:spacing w:after="0"/>
              <w:rPr>
                <w:rFonts w:ascii="Arial" w:cs="Arial" w:eastAsia="Arial" w:hAnsi="Arial"/>
                <w:sz w:val="12"/>
                <w:szCs w:val="12"/>
                <w:color w:val="0000EE"/>
                <w:w w:val="90"/>
              </w:rPr>
            </w:pPr>
            <w:hyperlink w:anchor="page151">
              <w:r>
                <w:rPr>
                  <w:rFonts w:ascii="Arial" w:cs="Arial" w:eastAsia="Arial" w:hAnsi="Arial"/>
                  <w:sz w:val="12"/>
                  <w:szCs w:val="12"/>
                  <w:color w:val="0000EE"/>
                  <w:w w:val="90"/>
                </w:rPr>
                <w:t>Description of the Registrant’s Securities Registered Pursuant to Section 12 of the Securities Exchange Act of 1934</w:t>
              </w:r>
            </w:hyperlink>
          </w:p>
        </w:tc>
        <w:tc>
          <w:tcPr>
            <w:tcW w:w="4180" w:type="dxa"/>
            <w:vAlign w:val="bottom"/>
            <w:gridSpan w:val="15"/>
          </w:tcPr>
          <w:p>
            <w:pPr>
              <w:spacing w:after="0"/>
              <w:rPr>
                <w:sz w:val="12"/>
                <w:szCs w:val="12"/>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2"/>
              </w:rPr>
            </w:pPr>
            <w:hyperlink r:id="rId212">
              <w:r>
                <w:rPr>
                  <w:rFonts w:ascii="Arial" w:cs="Arial" w:eastAsia="Arial" w:hAnsi="Arial"/>
                  <w:sz w:val="12"/>
                  <w:szCs w:val="12"/>
                  <w:color w:val="0000EE"/>
                  <w:w w:val="92"/>
                </w:rPr>
                <w:t>Indenture, dated as of February 10, 2020, among Uniti Group LP, Uniti Fiber Holdings Inc., Uniti Group Finance 2019 Inc., CSL Capital, LLC, the guarantors named therein, and Deutsche Bank Trust</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4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212">
              <w:r>
                <w:rPr>
                  <w:rFonts w:ascii="Arial" w:cs="Arial" w:eastAsia="Arial" w:hAnsi="Arial"/>
                  <w:sz w:val="12"/>
                  <w:szCs w:val="12"/>
                  <w:color w:val="0000EE"/>
                  <w:w w:val="90"/>
                </w:rPr>
                <w:t>Company Americas, as trustee and collateral agent, governing the 7.875% Senior Secured Notes due 2025 (incorporated by reference to Exhibit 4.1 to the Company’s Current Report on Form 8-K filed</w:t>
              </w:r>
            </w:hyperlink>
          </w:p>
        </w:tc>
        <w:tc>
          <w:tcPr>
            <w:tcW w:w="80" w:type="dxa"/>
            <w:vAlign w:val="bottom"/>
            <w:gridSpan w:val="4"/>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rPr>
            </w:pPr>
            <w:hyperlink r:id="rId212">
              <w:r>
                <w:rPr>
                  <w:rFonts w:ascii="Arial" w:cs="Arial" w:eastAsia="Arial" w:hAnsi="Arial"/>
                  <w:sz w:val="12"/>
                  <w:szCs w:val="12"/>
                  <w:color w:val="0000EE"/>
                </w:rPr>
                <w:t>with the SEC on February 10, 2020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4.24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60" w:type="dxa"/>
            <w:vAlign w:val="bottom"/>
            <w:tcBorders>
              <w:bottom w:val="single" w:sz="8" w:color="0000EE"/>
            </w:tcBorders>
            <w:gridSpan w:val="13"/>
          </w:tcPr>
          <w:p>
            <w:pPr>
              <w:spacing w:after="0"/>
              <w:rPr>
                <w:rFonts w:ascii="Arial" w:cs="Arial" w:eastAsia="Arial" w:hAnsi="Arial"/>
                <w:sz w:val="12"/>
                <w:szCs w:val="12"/>
                <w:color w:val="0000EE"/>
                <w:w w:val="91"/>
              </w:rPr>
            </w:pPr>
            <w:hyperlink r:id="rId212">
              <w:r>
                <w:rPr>
                  <w:rFonts w:ascii="Arial" w:cs="Arial" w:eastAsia="Arial" w:hAnsi="Arial"/>
                  <w:sz w:val="12"/>
                  <w:szCs w:val="12"/>
                  <w:color w:val="0000EE"/>
                  <w:w w:val="91"/>
                </w:rPr>
                <w:t>Form of 7.875% Senior Secured Notes due 2025 (included in Exhibit 4.23 above) (incorporated by reference to Exhibit 4.2 to the Company’s Current Report on Form 8-K filed with the SEC on</w:t>
              </w:r>
            </w:hyperlink>
          </w:p>
        </w:tc>
        <w:tc>
          <w:tcPr>
            <w:tcW w:w="460" w:type="dxa"/>
            <w:vAlign w:val="bottom"/>
            <w:gridSpan w:val="10"/>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rPr>
            </w:pPr>
            <w:hyperlink r:id="rId212">
              <w:r>
                <w:rPr>
                  <w:rFonts w:ascii="Arial" w:cs="Arial" w:eastAsia="Arial" w:hAnsi="Arial"/>
                  <w:sz w:val="12"/>
                  <w:szCs w:val="12"/>
                  <w:color w:val="0000EE"/>
                </w:rPr>
                <w:t>February 10, 2020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tcBorders>
              <w:bottom w:val="single" w:sz="8" w:color="0000EE"/>
            </w:tcBorders>
            <w:gridSpan w:val="23"/>
          </w:tcPr>
          <w:p>
            <w:pPr>
              <w:spacing w:after="0"/>
              <w:rPr>
                <w:rFonts w:ascii="Arial" w:cs="Arial" w:eastAsia="Arial" w:hAnsi="Arial"/>
                <w:sz w:val="12"/>
                <w:szCs w:val="12"/>
                <w:color w:val="0000EE"/>
                <w:w w:val="90"/>
              </w:rPr>
            </w:pPr>
            <w:hyperlink r:id="rId213">
              <w:r>
                <w:rPr>
                  <w:rFonts w:ascii="Arial" w:cs="Arial" w:eastAsia="Arial" w:hAnsi="Arial"/>
                  <w:sz w:val="12"/>
                  <w:szCs w:val="12"/>
                  <w:color w:val="0000EE"/>
                  <w:w w:val="90"/>
                </w:rPr>
                <w:t>Master Lease, entered into as of April 24, 2015, by and among CSL National, LP and the other entities listed therein, as Landlord, and Windstream Holdings, Inc., as Tenant (incorporated by reference to</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r:id="rId213">
              <w:r>
                <w:rPr>
                  <w:rFonts w:ascii="Arial" w:cs="Arial" w:eastAsia="Arial" w:hAnsi="Arial"/>
                  <w:sz w:val="12"/>
                  <w:szCs w:val="12"/>
                  <w:color w:val="0000EE"/>
                  <w:w w:val="92"/>
                </w:rPr>
                <w:t>Exhibit 10.1 to the Company’s Current Report on Form 8-K dated and filed with the SEC as of April 27, 2015 (File No. 001-36708))</w:t>
              </w:r>
            </w:hyperlink>
          </w:p>
        </w:tc>
        <w:tc>
          <w:tcPr>
            <w:tcW w:w="3340" w:type="dxa"/>
            <w:vAlign w:val="bottom"/>
            <w:gridSpan w:val="14"/>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10.2</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0" w:type="dxa"/>
            <w:vAlign w:val="bottom"/>
            <w:tcBorders>
              <w:bottom w:val="single" w:sz="8" w:color="0000EE"/>
            </w:tcBorders>
            <w:gridSpan w:val="17"/>
          </w:tcPr>
          <w:p>
            <w:pPr>
              <w:spacing w:after="0"/>
              <w:rPr>
                <w:rFonts w:ascii="Arial" w:cs="Arial" w:eastAsia="Arial" w:hAnsi="Arial"/>
                <w:sz w:val="12"/>
                <w:szCs w:val="12"/>
                <w:color w:val="0000EE"/>
                <w:w w:val="90"/>
              </w:rPr>
            </w:pPr>
            <w:hyperlink r:id="rId214">
              <w:r>
                <w:rPr>
                  <w:rFonts w:ascii="Arial" w:cs="Arial" w:eastAsia="Arial" w:hAnsi="Arial"/>
                  <w:sz w:val="12"/>
                  <w:szCs w:val="12"/>
                  <w:color w:val="0000EE"/>
                  <w:w w:val="90"/>
                </w:rPr>
                <w:t>Tax Matters Agreement, entered into as of April 24, 2015, by and among Windstream Holdings, Inc., Windstream Services, LLC and Communications Sales &amp; Leasing, Inc. (incorporated by reference</w:t>
              </w:r>
            </w:hyperlink>
          </w:p>
        </w:tc>
        <w:tc>
          <w:tcPr>
            <w:tcW w:w="120" w:type="dxa"/>
            <w:vAlign w:val="bottom"/>
            <w:gridSpan w:val="6"/>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500" w:type="dxa"/>
            <w:vAlign w:val="bottom"/>
            <w:tcBorders>
              <w:bottom w:val="single" w:sz="8" w:color="0000EE"/>
            </w:tcBorders>
            <w:gridSpan w:val="10"/>
          </w:tcPr>
          <w:p>
            <w:pPr>
              <w:spacing w:after="0" w:line="124" w:lineRule="exact"/>
              <w:rPr>
                <w:rFonts w:ascii="Arial" w:cs="Arial" w:eastAsia="Arial" w:hAnsi="Arial"/>
                <w:sz w:val="12"/>
                <w:szCs w:val="12"/>
                <w:color w:val="0000EE"/>
                <w:w w:val="91"/>
              </w:rPr>
            </w:pPr>
            <w:hyperlink r:id="rId214">
              <w:r>
                <w:rPr>
                  <w:rFonts w:ascii="Arial" w:cs="Arial" w:eastAsia="Arial" w:hAnsi="Arial"/>
                  <w:sz w:val="12"/>
                  <w:szCs w:val="12"/>
                  <w:color w:val="0000EE"/>
                  <w:w w:val="91"/>
                </w:rPr>
                <w:t>to Exhibit 10.2 to the Company’s Current Report on Form 8-K dated and filed with the SEC as of April 27, 2015 (File No. 001-36708))</w:t>
              </w:r>
            </w:hyperlink>
          </w:p>
        </w:tc>
        <w:tc>
          <w:tcPr>
            <w:tcW w:w="3220" w:type="dxa"/>
            <w:vAlign w:val="bottom"/>
            <w:gridSpan w:val="13"/>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10.3</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20" w:type="dxa"/>
            <w:vAlign w:val="bottom"/>
            <w:gridSpan w:val="23"/>
          </w:tcPr>
          <w:p>
            <w:pPr>
              <w:spacing w:after="0"/>
              <w:rPr>
                <w:rFonts w:ascii="Arial" w:cs="Arial" w:eastAsia="Arial" w:hAnsi="Arial"/>
                <w:sz w:val="12"/>
                <w:szCs w:val="12"/>
                <w:color w:val="0000EE"/>
                <w:w w:val="94"/>
              </w:rPr>
            </w:pPr>
            <w:hyperlink r:id="rId215">
              <w:r>
                <w:rPr>
                  <w:rFonts w:ascii="Arial" w:cs="Arial" w:eastAsia="Arial" w:hAnsi="Arial"/>
                  <w:sz w:val="12"/>
                  <w:szCs w:val="12"/>
                  <w:color w:val="0000EE"/>
                  <w:w w:val="94"/>
                </w:rPr>
                <w:t>Transition Services Agreement, dated April 24, 2015, by and between Windstream Services, LLC and CSL National, L.P., on behalf of itself and its Affiliates, including Talk America Services, LLC</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0" w:type="dxa"/>
            <w:vAlign w:val="bottom"/>
            <w:tcBorders>
              <w:top w:val="single" w:sz="8" w:color="0000EE"/>
              <w:bottom w:val="single" w:sz="8" w:color="0000EE"/>
            </w:tcBorders>
            <w:gridSpan w:val="11"/>
          </w:tcPr>
          <w:p>
            <w:pPr>
              <w:spacing w:after="0" w:line="124" w:lineRule="exact"/>
              <w:rPr>
                <w:rFonts w:ascii="Arial" w:cs="Arial" w:eastAsia="Arial" w:hAnsi="Arial"/>
                <w:sz w:val="12"/>
                <w:szCs w:val="12"/>
                <w:color w:val="0000EE"/>
                <w:w w:val="91"/>
              </w:rPr>
            </w:pPr>
            <w:hyperlink r:id="rId215">
              <w:r>
                <w:rPr>
                  <w:rFonts w:ascii="Arial" w:cs="Arial" w:eastAsia="Arial" w:hAnsi="Arial"/>
                  <w:sz w:val="12"/>
                  <w:szCs w:val="12"/>
                  <w:color w:val="0000EE"/>
                  <w:w w:val="91"/>
                </w:rPr>
                <w:t>(incorporated by reference to Exhibit 10.3 to the Company’s Current Report on Form 8-K dated and filed with the SEC as of April 27, 2015 (File No. 001-36708))</w:t>
              </w:r>
            </w:hyperlink>
          </w:p>
        </w:tc>
        <w:tc>
          <w:tcPr>
            <w:tcW w:w="1680" w:type="dxa"/>
            <w:vAlign w:val="bottom"/>
            <w:tcBorders>
              <w:top w:val="single" w:sz="8" w:color="0000EE"/>
            </w:tcBorders>
            <w:gridSpan w:val="3"/>
          </w:tcPr>
          <w:p>
            <w:pPr>
              <w:spacing w:after="0"/>
              <w:rPr>
                <w:sz w:val="10"/>
                <w:szCs w:val="10"/>
                <w:color w:val="auto"/>
              </w:rPr>
            </w:pPr>
          </w:p>
        </w:tc>
        <w:tc>
          <w:tcPr>
            <w:tcW w:w="240" w:type="dxa"/>
            <w:vAlign w:val="bottom"/>
            <w:gridSpan w:val="9"/>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10.4</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00" w:type="dxa"/>
            <w:vAlign w:val="bottom"/>
            <w:tcBorders>
              <w:bottom w:val="single" w:sz="8" w:color="0000EE"/>
            </w:tcBorders>
            <w:gridSpan w:val="22"/>
          </w:tcPr>
          <w:p>
            <w:pPr>
              <w:spacing w:after="0"/>
              <w:rPr>
                <w:rFonts w:ascii="Arial" w:cs="Arial" w:eastAsia="Arial" w:hAnsi="Arial"/>
                <w:sz w:val="12"/>
                <w:szCs w:val="12"/>
                <w:color w:val="0000EE"/>
                <w:w w:val="91"/>
              </w:rPr>
            </w:pPr>
            <w:hyperlink r:id="rId216">
              <w:r>
                <w:rPr>
                  <w:rFonts w:ascii="Arial" w:cs="Arial" w:eastAsia="Arial" w:hAnsi="Arial"/>
                  <w:sz w:val="12"/>
                  <w:szCs w:val="12"/>
                  <w:color w:val="0000EE"/>
                  <w:w w:val="91"/>
                </w:rPr>
                <w:t>Intellectual Property Matters Agreement, dated as of April 24, 2015, by and among Windstream Services, LLC, individually and on behalf of its subsidiaries that may hold certain intellectual property as</w:t>
              </w:r>
            </w:hyperlink>
          </w:p>
        </w:tc>
        <w:tc>
          <w:tcPr>
            <w:tcW w:w="20" w:type="dxa"/>
            <w:vAlign w:val="bottom"/>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60" w:type="dxa"/>
            <w:vAlign w:val="bottom"/>
            <w:tcBorders>
              <w:bottom w:val="single" w:sz="8" w:color="0000EE"/>
            </w:tcBorders>
            <w:gridSpan w:val="20"/>
          </w:tcPr>
          <w:p>
            <w:pPr>
              <w:spacing w:after="0" w:line="124" w:lineRule="exact"/>
              <w:rPr>
                <w:rFonts w:ascii="Arial" w:cs="Arial" w:eastAsia="Arial" w:hAnsi="Arial"/>
                <w:sz w:val="12"/>
                <w:szCs w:val="12"/>
                <w:color w:val="0000EE"/>
                <w:w w:val="91"/>
              </w:rPr>
            </w:pPr>
            <w:hyperlink r:id="rId216">
              <w:r>
                <w:rPr>
                  <w:rFonts w:ascii="Arial" w:cs="Arial" w:eastAsia="Arial" w:hAnsi="Arial"/>
                  <w:sz w:val="12"/>
                  <w:szCs w:val="12"/>
                  <w:color w:val="0000EE"/>
                  <w:w w:val="91"/>
                </w:rPr>
                <w:t>described therein, CSL National, LP, and Talk America Services, LLC (incorporated by reference to Exhibit 10.5 to the Company’s Current Report on Form 8-K dated and filed with the SEC as of April</w:t>
              </w:r>
            </w:hyperlink>
          </w:p>
        </w:tc>
        <w:tc>
          <w:tcPr>
            <w:tcW w:w="60" w:type="dxa"/>
            <w:vAlign w:val="bottom"/>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rPr>
            </w:pPr>
            <w:hyperlink r:id="rId216">
              <w:r>
                <w:rPr>
                  <w:rFonts w:ascii="Arial" w:cs="Arial" w:eastAsia="Arial" w:hAnsi="Arial"/>
                  <w:sz w:val="12"/>
                  <w:szCs w:val="12"/>
                  <w:color w:val="0000EE"/>
                </w:rPr>
                <w:t>27,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10.5</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tcBorders>
              <w:bottom w:val="single" w:sz="8" w:color="0000EE"/>
            </w:tcBorders>
            <w:gridSpan w:val="18"/>
          </w:tcPr>
          <w:p>
            <w:pPr>
              <w:spacing w:after="0"/>
              <w:rPr>
                <w:rFonts w:ascii="Arial" w:cs="Arial" w:eastAsia="Arial" w:hAnsi="Arial"/>
                <w:sz w:val="12"/>
                <w:szCs w:val="12"/>
                <w:color w:val="0000EE"/>
                <w:w w:val="91"/>
              </w:rPr>
            </w:pPr>
            <w:hyperlink r:id="rId217">
              <w:r>
                <w:rPr>
                  <w:rFonts w:ascii="Arial" w:cs="Arial" w:eastAsia="Arial" w:hAnsi="Arial"/>
                  <w:sz w:val="12"/>
                  <w:szCs w:val="12"/>
                  <w:color w:val="0000EE"/>
                  <w:w w:val="91"/>
                </w:rPr>
                <w:t>Wholesale Master Services Agreement, dated April 24, 2015, between Windstream Communications, Inc. and Talk America Services, LLC (incorporated by reference to Exhibit 10.6 to the Company’s</w:t>
              </w:r>
            </w:hyperlink>
          </w:p>
        </w:tc>
        <w:tc>
          <w:tcPr>
            <w:tcW w:w="100" w:type="dxa"/>
            <w:vAlign w:val="bottom"/>
            <w:gridSpan w:val="5"/>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8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r:id="rId217">
              <w:r>
                <w:rPr>
                  <w:rFonts w:ascii="Arial" w:cs="Arial" w:eastAsia="Arial" w:hAnsi="Arial"/>
                  <w:sz w:val="12"/>
                  <w:szCs w:val="12"/>
                  <w:color w:val="0000EE"/>
                  <w:w w:val="91"/>
                </w:rPr>
                <w:t>Current Report on Form 8-K dated and filed with the SEC as of April 27, 2015 (File No. 001-36708))</w:t>
              </w:r>
            </w:hyperlink>
          </w:p>
        </w:tc>
        <w:tc>
          <w:tcPr>
            <w:tcW w:w="4840" w:type="dxa"/>
            <w:vAlign w:val="bottom"/>
            <w:gridSpan w:val="16"/>
          </w:tcPr>
          <w:p>
            <w:pPr>
              <w:spacing w:after="0"/>
              <w:rPr>
                <w:sz w:val="10"/>
                <w:szCs w:val="10"/>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80" w:type="dxa"/>
            <w:vAlign w:val="bottom"/>
            <w:tcBorders>
              <w:bottom w:val="single" w:sz="8" w:color="0000EE"/>
            </w:tcBorders>
            <w:gridSpan w:val="16"/>
          </w:tcPr>
          <w:p>
            <w:pPr>
              <w:spacing w:after="0"/>
              <w:rPr>
                <w:rFonts w:ascii="Arial" w:cs="Arial" w:eastAsia="Arial" w:hAnsi="Arial"/>
                <w:sz w:val="12"/>
                <w:szCs w:val="12"/>
                <w:color w:val="0000EE"/>
                <w:w w:val="90"/>
              </w:rPr>
            </w:pPr>
            <w:hyperlink r:id="rId218">
              <w:r>
                <w:rPr>
                  <w:rFonts w:ascii="Arial" w:cs="Arial" w:eastAsia="Arial" w:hAnsi="Arial"/>
                  <w:sz w:val="12"/>
                  <w:szCs w:val="12"/>
                  <w:color w:val="0000EE"/>
                  <w:w w:val="90"/>
                </w:rPr>
                <w:t>Master Services Agreement, dated as of April 24, 2015, by and between Windstream Services, LLC, on behalf of itself and its competitive local exchange and interexchange carrier affiliates, and Talk</w:t>
              </w:r>
            </w:hyperlink>
          </w:p>
        </w:tc>
        <w:tc>
          <w:tcPr>
            <w:tcW w:w="140" w:type="dxa"/>
            <w:vAlign w:val="bottom"/>
            <w:gridSpan w:val="7"/>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9"/>
              </w:rPr>
            </w:pPr>
            <w:hyperlink r:id="rId218">
              <w:r>
                <w:rPr>
                  <w:rFonts w:ascii="Arial" w:cs="Arial" w:eastAsia="Arial" w:hAnsi="Arial"/>
                  <w:sz w:val="12"/>
                  <w:szCs w:val="12"/>
                  <w:color w:val="0000EE"/>
                  <w:w w:val="99"/>
                </w:rPr>
                <w:t>America Services, LLC (incorporated by reference to Exhibit 10.8 to the Company’s Current Report on Form 8-K dated and filed with the SEC as of April 27,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5280" w:type="dxa"/>
            <w:vAlign w:val="bottom"/>
            <w:gridSpan w:val="6"/>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840" w:type="dxa"/>
            <w:vAlign w:val="bottom"/>
          </w:tcPr>
          <w:p>
            <w:pPr>
              <w:spacing w:after="0"/>
              <w:rPr>
                <w:sz w:val="20"/>
                <w:szCs w:val="20"/>
                <w:color w:val="auto"/>
              </w:rPr>
            </w:pPr>
            <w:r>
              <w:rPr>
                <w:rFonts w:ascii="Arial" w:cs="Arial" w:eastAsia="Arial" w:hAnsi="Arial"/>
                <w:sz w:val="12"/>
                <w:szCs w:val="12"/>
                <w:color w:val="auto"/>
              </w:rPr>
              <w:t>10.7</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00" w:type="dxa"/>
            <w:vAlign w:val="bottom"/>
            <w:tcBorders>
              <w:bottom w:val="single" w:sz="8" w:color="0000EE"/>
            </w:tcBorders>
            <w:gridSpan w:val="15"/>
          </w:tcPr>
          <w:p>
            <w:pPr>
              <w:spacing w:after="0"/>
              <w:rPr>
                <w:rFonts w:ascii="Arial" w:cs="Arial" w:eastAsia="Arial" w:hAnsi="Arial"/>
                <w:sz w:val="12"/>
                <w:szCs w:val="12"/>
                <w:color w:val="0000EE"/>
                <w:w w:val="90"/>
              </w:rPr>
            </w:pPr>
            <w:hyperlink r:id="rId219">
              <w:r>
                <w:rPr>
                  <w:rFonts w:ascii="Arial" w:cs="Arial" w:eastAsia="Arial" w:hAnsi="Arial"/>
                  <w:sz w:val="12"/>
                  <w:szCs w:val="12"/>
                  <w:color w:val="0000EE"/>
                  <w:w w:val="90"/>
                </w:rPr>
                <w:t>Credit Agreement, dated as of April 24, 2015, by and among Communications Sales &amp; Leasing, Inc. and CSL Capital, LLC, as Borrowers, the guarantors party thereto, the lenders party thereto from</w:t>
              </w:r>
            </w:hyperlink>
          </w:p>
        </w:tc>
        <w:tc>
          <w:tcPr>
            <w:tcW w:w="220" w:type="dxa"/>
            <w:vAlign w:val="bottom"/>
            <w:gridSpan w:val="8"/>
          </w:tcPr>
          <w:p>
            <w:pPr>
              <w:spacing w:after="0"/>
              <w:rPr>
                <w:sz w:val="12"/>
                <w:szCs w:val="12"/>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3"/>
          </w:tcPr>
          <w:p>
            <w:pPr>
              <w:spacing w:after="0" w:line="124" w:lineRule="exact"/>
              <w:rPr>
                <w:rFonts w:ascii="Arial" w:cs="Arial" w:eastAsia="Arial" w:hAnsi="Arial"/>
                <w:sz w:val="12"/>
                <w:szCs w:val="12"/>
                <w:color w:val="0000EE"/>
                <w:w w:val="91"/>
              </w:rPr>
            </w:pPr>
            <w:hyperlink r:id="rId219">
              <w:r>
                <w:rPr>
                  <w:rFonts w:ascii="Arial" w:cs="Arial" w:eastAsia="Arial" w:hAnsi="Arial"/>
                  <w:sz w:val="12"/>
                  <w:szCs w:val="12"/>
                  <w:color w:val="0000EE"/>
                  <w:w w:val="91"/>
                </w:rPr>
                <w:t>time to time and Bank of America, N.A., as administrative agent, collateral agent, swing line lender and L/C issuer (incorporated by reference to Exhibit 10.10 to the Company’s Current Report on Form</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8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2"/>
              </w:rPr>
            </w:pPr>
            <w:hyperlink r:id="rId219">
              <w:r>
                <w:rPr>
                  <w:rFonts w:ascii="Arial" w:cs="Arial" w:eastAsia="Arial" w:hAnsi="Arial"/>
                  <w:sz w:val="12"/>
                  <w:szCs w:val="12"/>
                  <w:color w:val="0000EE"/>
                  <w:w w:val="92"/>
                </w:rPr>
                <w:t>8-K dated and filed with the SEC as of April 27, 2015 (File No. 001-36708))</w:t>
              </w:r>
            </w:hyperlink>
          </w:p>
        </w:tc>
        <w:tc>
          <w:tcPr>
            <w:tcW w:w="6000" w:type="dxa"/>
            <w:vAlign w:val="bottom"/>
            <w:tcBorders>
              <w:top w:val="single" w:sz="8" w:color="0000EE"/>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76"/>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7"/>
          </w:tcPr>
          <w:p>
            <w:pPr>
              <w:ind w:left="3960"/>
              <w:spacing w:after="0"/>
              <w:rPr>
                <w:sz w:val="20"/>
                <w:szCs w:val="20"/>
                <w:color w:val="auto"/>
              </w:rPr>
            </w:pPr>
            <w:r>
              <w:rPr>
                <w:rFonts w:ascii="Arial" w:cs="Arial" w:eastAsia="Arial" w:hAnsi="Arial"/>
                <w:sz w:val="12"/>
                <w:szCs w:val="12"/>
                <w:color w:val="auto"/>
              </w:rPr>
              <w:t>138</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80" w:type="dxa"/>
            <w:vAlign w:val="bottom"/>
            <w:gridSpan w:val="15"/>
          </w:tcPr>
          <w:p>
            <w:pPr>
              <w:ind w:left="620"/>
              <w:spacing w:after="0"/>
              <w:rPr>
                <w:sz w:val="20"/>
                <w:szCs w:val="20"/>
                <w:color w:val="auto"/>
              </w:rPr>
            </w:pPr>
            <w:r>
              <w:rPr>
                <w:rFonts w:ascii="Arial" w:cs="Arial" w:eastAsia="Arial" w:hAnsi="Arial"/>
                <w:sz w:val="12"/>
                <w:szCs w:val="12"/>
                <w:b w:val="1"/>
                <w:bCs w:val="1"/>
                <w:color w:val="auto"/>
              </w:rPr>
              <w:t>Description</w:t>
            </w:r>
          </w:p>
        </w:tc>
      </w:tr>
      <w:tr>
        <w:trPr>
          <w:trHeight w:val="119"/>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10.8</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top w:val="single" w:sz="8" w:color="auto"/>
            </w:tcBorders>
            <w:gridSpan w:val="22"/>
          </w:tcPr>
          <w:p>
            <w:pPr>
              <w:spacing w:after="0" w:line="120" w:lineRule="exact"/>
              <w:rPr>
                <w:rFonts w:ascii="Arial" w:cs="Arial" w:eastAsia="Arial" w:hAnsi="Arial"/>
                <w:sz w:val="12"/>
                <w:szCs w:val="12"/>
                <w:color w:val="0000EE"/>
                <w:w w:val="92"/>
              </w:rPr>
            </w:pPr>
            <w:hyperlink r:id="rId222">
              <w:r>
                <w:rPr>
                  <w:rFonts w:ascii="Arial" w:cs="Arial" w:eastAsia="Arial" w:hAnsi="Arial"/>
                  <w:sz w:val="12"/>
                  <w:szCs w:val="12"/>
                  <w:color w:val="0000EE"/>
                  <w:w w:val="92"/>
                </w:rPr>
                <w:t>Amendment No. 1 to the Credit Agreement, dated as of October 21, 2016 by and among Communications Sales &amp; Leasing, Inc. and CSL Capital, LLC, as borrowers, the guarantors party thereto,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8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222">
              <w:r>
                <w:rPr>
                  <w:rFonts w:ascii="Arial" w:cs="Arial" w:eastAsia="Arial" w:hAnsi="Arial"/>
                  <w:sz w:val="12"/>
                  <w:szCs w:val="12"/>
                  <w:color w:val="0000EE"/>
                  <w:w w:val="90"/>
                </w:rPr>
                <w:t>lenders party thereto, and Bank of America, N.A., as administrative agent and collateral agent (incorporated by reference to Exhibit 10.1 to the Company’s Current Report on Form 8-K dated and filed</w:t>
              </w:r>
            </w:hyperlink>
          </w:p>
        </w:tc>
        <w:tc>
          <w:tcPr>
            <w:tcW w:w="140" w:type="dxa"/>
            <w:vAlign w:val="bottom"/>
            <w:gridSpan w:val="6"/>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60" w:type="dxa"/>
            <w:vAlign w:val="bottom"/>
            <w:tcBorders>
              <w:bottom w:val="single" w:sz="8" w:color="0000EE"/>
            </w:tcBorders>
            <w:gridSpan w:val="3"/>
          </w:tcPr>
          <w:p>
            <w:pPr>
              <w:spacing w:after="0" w:line="124" w:lineRule="exact"/>
              <w:rPr>
                <w:rFonts w:ascii="Arial" w:cs="Arial" w:eastAsia="Arial" w:hAnsi="Arial"/>
                <w:sz w:val="12"/>
                <w:szCs w:val="12"/>
                <w:color w:val="0000EE"/>
                <w:w w:val="90"/>
              </w:rPr>
            </w:pPr>
            <w:hyperlink r:id="rId222">
              <w:r>
                <w:rPr>
                  <w:rFonts w:ascii="Arial" w:cs="Arial" w:eastAsia="Arial" w:hAnsi="Arial"/>
                  <w:sz w:val="12"/>
                  <w:szCs w:val="12"/>
                  <w:color w:val="0000EE"/>
                  <w:w w:val="90"/>
                </w:rPr>
                <w:t>with the SEC as of October 21, 2016 (File No. 001-36708))</w:t>
              </w:r>
            </w:hyperlink>
          </w:p>
        </w:tc>
        <w:tc>
          <w:tcPr>
            <w:tcW w:w="6860" w:type="dxa"/>
            <w:vAlign w:val="bottom"/>
            <w:gridSpan w:val="19"/>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2"/>
          </w:tcPr>
          <w:p>
            <w:pPr>
              <w:spacing w:after="0"/>
              <w:rPr>
                <w:rFonts w:ascii="Arial" w:cs="Arial" w:eastAsia="Arial" w:hAnsi="Arial"/>
                <w:sz w:val="12"/>
                <w:szCs w:val="12"/>
                <w:color w:val="0000EE"/>
                <w:w w:val="92"/>
              </w:rPr>
            </w:pPr>
            <w:hyperlink r:id="rId223">
              <w:r>
                <w:rPr>
                  <w:rFonts w:ascii="Arial" w:cs="Arial" w:eastAsia="Arial" w:hAnsi="Arial"/>
                  <w:sz w:val="12"/>
                  <w:szCs w:val="12"/>
                  <w:color w:val="0000EE"/>
                  <w:w w:val="92"/>
                </w:rPr>
                <w:t>Amendment No. 2 to the Credit Agreement, dated as of February 9, 2017 by and among Communications Sales &amp; Leasing, Inc. and CSL Capital, LLC, as borrowers, the guarantors party thereto,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8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223">
              <w:r>
                <w:rPr>
                  <w:rFonts w:ascii="Arial" w:cs="Arial" w:eastAsia="Arial" w:hAnsi="Arial"/>
                  <w:sz w:val="12"/>
                  <w:szCs w:val="12"/>
                  <w:color w:val="0000EE"/>
                  <w:w w:val="90"/>
                </w:rPr>
                <w:t>lenders party thereto, and Bank of America, N.A., as administrative agent and collateral agent (incorporated by reference to Exhibit 10.1 to the Company’s Current Report on Form 8-K dated and filed</w:t>
              </w:r>
            </w:hyperlink>
          </w:p>
        </w:tc>
        <w:tc>
          <w:tcPr>
            <w:tcW w:w="140" w:type="dxa"/>
            <w:vAlign w:val="bottom"/>
            <w:gridSpan w:val="6"/>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tcBorders>
              <w:bottom w:val="single" w:sz="8" w:color="0000EE"/>
            </w:tcBorders>
            <w:gridSpan w:val="2"/>
          </w:tcPr>
          <w:p>
            <w:pPr>
              <w:spacing w:after="0" w:line="124" w:lineRule="exact"/>
              <w:rPr>
                <w:rFonts w:ascii="Arial" w:cs="Arial" w:eastAsia="Arial" w:hAnsi="Arial"/>
                <w:sz w:val="12"/>
                <w:szCs w:val="12"/>
                <w:color w:val="0000EE"/>
                <w:w w:val="90"/>
              </w:rPr>
            </w:pPr>
            <w:hyperlink r:id="rId223">
              <w:r>
                <w:rPr>
                  <w:rFonts w:ascii="Arial" w:cs="Arial" w:eastAsia="Arial" w:hAnsi="Arial"/>
                  <w:sz w:val="12"/>
                  <w:szCs w:val="12"/>
                  <w:color w:val="0000EE"/>
                  <w:w w:val="90"/>
                </w:rPr>
                <w:t>with the SEC as of February 9, 2017 (File No. 001-36708))</w:t>
              </w:r>
            </w:hyperlink>
          </w:p>
        </w:tc>
        <w:tc>
          <w:tcPr>
            <w:tcW w:w="6880" w:type="dxa"/>
            <w:vAlign w:val="bottom"/>
            <w:gridSpan w:val="20"/>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20" w:type="dxa"/>
            <w:vAlign w:val="bottom"/>
            <w:tcBorders>
              <w:bottom w:val="single" w:sz="8" w:color="0000EE"/>
            </w:tcBorders>
            <w:gridSpan w:val="18"/>
          </w:tcPr>
          <w:p>
            <w:pPr>
              <w:spacing w:after="0"/>
              <w:rPr>
                <w:rFonts w:ascii="Arial" w:cs="Arial" w:eastAsia="Arial" w:hAnsi="Arial"/>
                <w:sz w:val="12"/>
                <w:szCs w:val="12"/>
                <w:color w:val="0000EE"/>
                <w:w w:val="91"/>
              </w:rPr>
            </w:pPr>
            <w:hyperlink r:id="rId224">
              <w:r>
                <w:rPr>
                  <w:rFonts w:ascii="Arial" w:cs="Arial" w:eastAsia="Arial" w:hAnsi="Arial"/>
                  <w:sz w:val="12"/>
                  <w:szCs w:val="12"/>
                  <w:color w:val="0000EE"/>
                  <w:w w:val="91"/>
                </w:rPr>
                <w:t>Amendment No. 3 (Incremental Amendment) to the Credit Agreement, dated as of April 28, 2017 by and among Uniti Group Inc. and CSL Capital, LLC, as borrowers, the guarantors party thereto, the</w:t>
              </w:r>
            </w:hyperlink>
          </w:p>
        </w:tc>
        <w:tc>
          <w:tcPr>
            <w:tcW w:w="100" w:type="dxa"/>
            <w:vAlign w:val="bottom"/>
            <w:gridSpan w:val="4"/>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4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r:id="rId224">
              <w:r>
                <w:rPr>
                  <w:rFonts w:ascii="Arial" w:cs="Arial" w:eastAsia="Arial" w:hAnsi="Arial"/>
                  <w:sz w:val="12"/>
                  <w:szCs w:val="12"/>
                  <w:color w:val="0000EE"/>
                  <w:w w:val="90"/>
                </w:rPr>
                <w:t>lenders party thereto, and Bank of America, N.A., as administrative agent and collateral agent (incorporated by reference to Exhibit 10.1 to the Company’s Current Report on Form 8-K dated as of May</w:t>
              </w:r>
            </w:hyperlink>
          </w:p>
        </w:tc>
        <w:tc>
          <w:tcPr>
            <w:tcW w:w="80" w:type="dxa"/>
            <w:vAlign w:val="bottom"/>
            <w:gridSpan w:val="3"/>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2"/>
          </w:tcPr>
          <w:p>
            <w:pPr>
              <w:spacing w:after="0" w:line="124" w:lineRule="exact"/>
              <w:rPr>
                <w:rFonts w:ascii="Arial" w:cs="Arial" w:eastAsia="Arial" w:hAnsi="Arial"/>
                <w:sz w:val="12"/>
                <w:szCs w:val="12"/>
                <w:color w:val="0000EE"/>
              </w:rPr>
            </w:pPr>
            <w:hyperlink r:id="rId224">
              <w:r>
                <w:rPr>
                  <w:rFonts w:ascii="Arial" w:cs="Arial" w:eastAsia="Arial" w:hAnsi="Arial"/>
                  <w:sz w:val="12"/>
                  <w:szCs w:val="12"/>
                  <w:color w:val="0000EE"/>
                </w:rPr>
                <w:t>1, 2017 and filed with the SEC as of May 2, 2017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2"/>
          </w:tcPr>
          <w:p>
            <w:pPr>
              <w:spacing w:after="0"/>
              <w:rPr>
                <w:rFonts w:ascii="Arial" w:cs="Arial" w:eastAsia="Arial" w:hAnsi="Arial"/>
                <w:sz w:val="12"/>
                <w:szCs w:val="12"/>
                <w:color w:val="0000EE"/>
                <w:w w:val="92"/>
              </w:rPr>
            </w:pPr>
            <w:hyperlink r:id="rId225">
              <w:r>
                <w:rPr>
                  <w:rFonts w:ascii="Arial" w:cs="Arial" w:eastAsia="Arial" w:hAnsi="Arial"/>
                  <w:sz w:val="12"/>
                  <w:szCs w:val="12"/>
                  <w:color w:val="0000EE"/>
                  <w:w w:val="92"/>
                </w:rPr>
                <w:t>Amendment No. 4 and Limited Waiver to the Credit Agreement, dated as of March 18, 2019, among Uniti Group Inc., as parent guarantor, Uniti Group LP, Uniti Group Finance Inc. and CSL Capital,</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40" w:type="dxa"/>
            <w:vAlign w:val="bottom"/>
            <w:tcBorders>
              <w:top w:val="single" w:sz="8" w:color="0000EE"/>
            </w:tcBorders>
            <w:gridSpan w:val="14"/>
          </w:tcPr>
          <w:p>
            <w:pPr>
              <w:spacing w:after="0" w:line="124" w:lineRule="exact"/>
              <w:rPr>
                <w:rFonts w:ascii="Arial" w:cs="Arial" w:eastAsia="Arial" w:hAnsi="Arial"/>
                <w:sz w:val="12"/>
                <w:szCs w:val="12"/>
                <w:color w:val="0000EE"/>
                <w:w w:val="92"/>
              </w:rPr>
            </w:pPr>
            <w:hyperlink r:id="rId225">
              <w:r>
                <w:rPr>
                  <w:rFonts w:ascii="Arial" w:cs="Arial" w:eastAsia="Arial" w:hAnsi="Arial"/>
                  <w:sz w:val="12"/>
                  <w:szCs w:val="12"/>
                  <w:color w:val="0000EE"/>
                  <w:w w:val="92"/>
                </w:rPr>
                <w:t>LLC, as borrowers, the guarantors party thereto, the lenders party thereto, and Bank of America, N.A., as administrative agent and collateral agent (incorporated by reference to Exhibit 10.1 to the</w:t>
              </w:r>
            </w:hyperlink>
          </w:p>
        </w:tc>
        <w:tc>
          <w:tcPr>
            <w:tcW w:w="180" w:type="dxa"/>
            <w:vAlign w:val="bottom"/>
            <w:gridSpan w:val="8"/>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36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r:id="rId225">
              <w:r>
                <w:rPr>
                  <w:rFonts w:ascii="Arial" w:cs="Arial" w:eastAsia="Arial" w:hAnsi="Arial"/>
                  <w:sz w:val="12"/>
                  <w:szCs w:val="12"/>
                  <w:color w:val="0000EE"/>
                </w:rPr>
                <w:t>Company’s Annual Report on Form 10-K dated and filed with the SEC as of March 18, 2019 (File No. 001-36708</w:t>
              </w:r>
              <w:r>
                <w:rPr>
                  <w:rFonts w:ascii="Arial" w:cs="Arial" w:eastAsia="Arial" w:hAnsi="Arial"/>
                  <w:sz w:val="12"/>
                  <w:szCs w:val="12"/>
                  <w:color w:val="000000"/>
                </w:rPr>
                <w:t>))</w:t>
              </w:r>
            </w:hyperlink>
          </w:p>
        </w:tc>
        <w:tc>
          <w:tcPr>
            <w:tcW w:w="360" w:type="dxa"/>
            <w:vAlign w:val="bottom"/>
            <w:gridSpan w:val="11"/>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40" w:type="dxa"/>
            <w:vAlign w:val="bottom"/>
            <w:tcBorders>
              <w:bottom w:val="single" w:sz="8" w:color="0000EE"/>
            </w:tcBorders>
            <w:gridSpan w:val="19"/>
          </w:tcPr>
          <w:p>
            <w:pPr>
              <w:spacing w:after="0"/>
              <w:rPr>
                <w:rFonts w:ascii="Arial" w:cs="Arial" w:eastAsia="Arial" w:hAnsi="Arial"/>
                <w:sz w:val="12"/>
                <w:szCs w:val="12"/>
                <w:color w:val="0000EE"/>
                <w:w w:val="90"/>
              </w:rPr>
            </w:pPr>
            <w:hyperlink r:id="rId226">
              <w:r>
                <w:rPr>
                  <w:rFonts w:ascii="Arial" w:cs="Arial" w:eastAsia="Arial" w:hAnsi="Arial"/>
                  <w:sz w:val="12"/>
                  <w:szCs w:val="12"/>
                  <w:color w:val="0000EE"/>
                  <w:w w:val="90"/>
                </w:rPr>
                <w:t>Amendment No. 5 to the Credit Agreement, dated as of June 24, 2019, among Uniti Group Inc., as parent guarantor, Uniti Group LP, Uniti Group Finance Inc., and CSL Capital, LLC, as borrowers, the</w:t>
              </w:r>
            </w:hyperlink>
          </w:p>
        </w:tc>
        <w:tc>
          <w:tcPr>
            <w:tcW w:w="80" w:type="dxa"/>
            <w:vAlign w:val="bottom"/>
            <w:gridSpan w:val="3"/>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2"/>
          </w:tcPr>
          <w:p>
            <w:pPr>
              <w:spacing w:after="0" w:line="124" w:lineRule="exact"/>
              <w:rPr>
                <w:rFonts w:ascii="Arial" w:cs="Arial" w:eastAsia="Arial" w:hAnsi="Arial"/>
                <w:sz w:val="12"/>
                <w:szCs w:val="12"/>
                <w:color w:val="0000EE"/>
                <w:w w:val="90"/>
              </w:rPr>
            </w:pPr>
            <w:hyperlink r:id="rId226">
              <w:r>
                <w:rPr>
                  <w:rFonts w:ascii="Arial" w:cs="Arial" w:eastAsia="Arial" w:hAnsi="Arial"/>
                  <w:sz w:val="12"/>
                  <w:szCs w:val="12"/>
                  <w:color w:val="0000EE"/>
                  <w:w w:val="90"/>
                </w:rPr>
                <w:t>guarantors party thereto, the lenders party thereto, and Bank of America, N.A., as administrative agent and collateral agent (incorporated by reference to Exhibit 10.1 to the Company’s Current Report on</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94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color w:val="0000EE"/>
                <w:w w:val="90"/>
              </w:rPr>
            </w:pPr>
            <w:hyperlink r:id="rId226">
              <w:r>
                <w:rPr>
                  <w:rFonts w:ascii="Arial" w:cs="Arial" w:eastAsia="Arial" w:hAnsi="Arial"/>
                  <w:sz w:val="12"/>
                  <w:szCs w:val="12"/>
                  <w:color w:val="0000EE"/>
                  <w:w w:val="90"/>
                </w:rPr>
                <w:t>Form 8-K dated and filed with the SEC as of June 24, 2019 (File No. 001-36708))</w:t>
              </w:r>
            </w:hyperlink>
          </w:p>
        </w:tc>
        <w:tc>
          <w:tcPr>
            <w:tcW w:w="5760" w:type="dxa"/>
            <w:vAlign w:val="bottom"/>
            <w:tcBorders>
              <w:top w:val="single" w:sz="8" w:color="0000EE"/>
            </w:tcBorders>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2"/>
          </w:tcPr>
          <w:p>
            <w:pPr>
              <w:spacing w:after="0"/>
              <w:rPr>
                <w:rFonts w:ascii="Arial" w:cs="Arial" w:eastAsia="Arial" w:hAnsi="Arial"/>
                <w:sz w:val="12"/>
                <w:szCs w:val="12"/>
                <w:color w:val="0000EE"/>
                <w:w w:val="95"/>
              </w:rPr>
            </w:pPr>
            <w:hyperlink r:id="rId227">
              <w:r>
                <w:rPr>
                  <w:rFonts w:ascii="Arial" w:cs="Arial" w:eastAsia="Arial" w:hAnsi="Arial"/>
                  <w:sz w:val="12"/>
                  <w:szCs w:val="12"/>
                  <w:color w:val="0000EE"/>
                  <w:w w:val="95"/>
                </w:rPr>
                <w:t>Amendment No. 6 and Limited Waiver to the Credit Agreement, dated as of February 10, 2020, among Uniti Group LP, Uniti Group Finance 2019 Inc. and CSL Capital, LLC, as borrowers,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2"/>
          </w:tcPr>
          <w:p>
            <w:pPr>
              <w:spacing w:after="0" w:line="124" w:lineRule="exact"/>
              <w:rPr>
                <w:rFonts w:ascii="Arial" w:cs="Arial" w:eastAsia="Arial" w:hAnsi="Arial"/>
                <w:sz w:val="12"/>
                <w:szCs w:val="12"/>
                <w:color w:val="0000EE"/>
                <w:w w:val="91"/>
              </w:rPr>
            </w:pPr>
            <w:hyperlink r:id="rId227">
              <w:r>
                <w:rPr>
                  <w:rFonts w:ascii="Arial" w:cs="Arial" w:eastAsia="Arial" w:hAnsi="Arial"/>
                  <w:sz w:val="12"/>
                  <w:szCs w:val="12"/>
                  <w:color w:val="0000EE"/>
                  <w:w w:val="91"/>
                </w:rPr>
                <w:t>guarantor party thereto, the lenders party thereto, and Bank of America, N.A., as administrative agent and collateral agent (incorporated by reference to Exhibit 10.1 to the Company’s Current Report on</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6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r:id="rId227">
              <w:r>
                <w:rPr>
                  <w:rFonts w:ascii="Arial" w:cs="Arial" w:eastAsia="Arial" w:hAnsi="Arial"/>
                  <w:sz w:val="12"/>
                  <w:szCs w:val="12"/>
                  <w:color w:val="0000EE"/>
                </w:rPr>
                <w:t>Form 8-K filed with the SEC on February 10, 2020 (File No. 001-36708))</w:t>
              </w:r>
            </w:hyperlink>
          </w:p>
        </w:tc>
        <w:tc>
          <w:tcPr>
            <w:tcW w:w="6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2"/>
          </w:tcPr>
          <w:p>
            <w:pPr>
              <w:spacing w:after="0"/>
              <w:rPr>
                <w:rFonts w:ascii="Arial" w:cs="Arial" w:eastAsia="Arial" w:hAnsi="Arial"/>
                <w:sz w:val="12"/>
                <w:szCs w:val="12"/>
                <w:color w:val="0000EE"/>
                <w:w w:val="94"/>
              </w:rPr>
            </w:pPr>
            <w:hyperlink r:id="rId228">
              <w:r>
                <w:rPr>
                  <w:rFonts w:ascii="Arial" w:cs="Arial" w:eastAsia="Arial" w:hAnsi="Arial"/>
                  <w:sz w:val="12"/>
                  <w:szCs w:val="12"/>
                  <w:color w:val="0000EE"/>
                  <w:w w:val="94"/>
                </w:rPr>
                <w:t>Agreement of Resignation, Appointment and Acceptance, dated as of June 26, 2019, by and among Uniti Group LP, CSL Capital, LLC, Uniti Group Finance, Inc., and Unifi Fiber Holdings, Inc., as</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00" w:type="dxa"/>
            <w:vAlign w:val="bottom"/>
            <w:tcBorders>
              <w:top w:val="single" w:sz="8" w:color="0000EE"/>
            </w:tcBorders>
            <w:gridSpan w:val="13"/>
          </w:tcPr>
          <w:p>
            <w:pPr>
              <w:spacing w:after="0" w:line="124" w:lineRule="exact"/>
              <w:rPr>
                <w:rFonts w:ascii="Arial" w:cs="Arial" w:eastAsia="Arial" w:hAnsi="Arial"/>
                <w:sz w:val="12"/>
                <w:szCs w:val="12"/>
                <w:color w:val="0000EE"/>
                <w:w w:val="90"/>
              </w:rPr>
            </w:pPr>
            <w:hyperlink r:id="rId228">
              <w:r>
                <w:rPr>
                  <w:rFonts w:ascii="Arial" w:cs="Arial" w:eastAsia="Arial" w:hAnsi="Arial"/>
                  <w:sz w:val="12"/>
                  <w:szCs w:val="12"/>
                  <w:color w:val="0000EE"/>
                  <w:w w:val="90"/>
                </w:rPr>
                <w:t>Issuers, and Deutsche Bank Trust Company Americas, as successor trustee, and Wells Fargo Bank, N.A., as resigning trustee (incorporated by reference to Exhibit 10.4 to the Company’s Quarterly</w:t>
              </w:r>
            </w:hyperlink>
          </w:p>
        </w:tc>
        <w:tc>
          <w:tcPr>
            <w:tcW w:w="220" w:type="dxa"/>
            <w:vAlign w:val="bottom"/>
            <w:gridSpan w:val="9"/>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r:id="rId228">
              <w:r>
                <w:rPr>
                  <w:rFonts w:ascii="Arial" w:cs="Arial" w:eastAsia="Arial" w:hAnsi="Arial"/>
                  <w:sz w:val="12"/>
                  <w:szCs w:val="12"/>
                  <w:color w:val="0000EE"/>
                </w:rPr>
                <w:t>Report on Form 10-Q dated and filed with the SEC as of August 8, 2019 (File No. 001-36708))</w:t>
              </w:r>
            </w:hyperlink>
          </w:p>
        </w:tc>
        <w:tc>
          <w:tcPr>
            <w:tcW w:w="320" w:type="dxa"/>
            <w:vAlign w:val="bottom"/>
            <w:gridSpan w:val="10"/>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2"/>
          </w:tcPr>
          <w:p>
            <w:pPr>
              <w:spacing w:after="0"/>
              <w:rPr>
                <w:rFonts w:ascii="Arial" w:cs="Arial" w:eastAsia="Arial" w:hAnsi="Arial"/>
                <w:sz w:val="12"/>
                <w:szCs w:val="12"/>
                <w:color w:val="0000EE"/>
                <w:w w:val="92"/>
              </w:rPr>
            </w:pPr>
            <w:hyperlink r:id="rId229">
              <w:r>
                <w:rPr>
                  <w:rFonts w:ascii="Arial" w:cs="Arial" w:eastAsia="Arial" w:hAnsi="Arial"/>
                  <w:sz w:val="12"/>
                  <w:szCs w:val="12"/>
                  <w:color w:val="0000EE"/>
                  <w:w w:val="92"/>
                </w:rPr>
                <w:t>Borrower Assumption Agreement and Joinder, dated as of May 9, 2017 by and among Uniti Group Inc., as initial borrower, Uniti Group LP and Uniti Group Finance Inc., as borrowers, the guarantors</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6200" w:type="dxa"/>
            <w:vAlign w:val="bottom"/>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2"/>
          </w:tcPr>
          <w:p>
            <w:pPr>
              <w:spacing w:after="0" w:line="124" w:lineRule="exact"/>
              <w:rPr>
                <w:rFonts w:ascii="Arial" w:cs="Arial" w:eastAsia="Arial" w:hAnsi="Arial"/>
                <w:sz w:val="12"/>
                <w:szCs w:val="12"/>
                <w:color w:val="0000EE"/>
                <w:w w:val="90"/>
              </w:rPr>
            </w:pPr>
            <w:hyperlink r:id="rId229">
              <w:r>
                <w:rPr>
                  <w:rFonts w:ascii="Arial" w:cs="Arial" w:eastAsia="Arial" w:hAnsi="Arial"/>
                  <w:sz w:val="12"/>
                  <w:szCs w:val="12"/>
                  <w:color w:val="0000EE"/>
                  <w:w w:val="90"/>
                </w:rPr>
                <w:t>party thereto, the lenders party thereto, and Bank of America, N.A., as administrative agent and collateral agent  (incorporated by reference to Exhibit 10.1 to the Company’s Current Report on Form 8-K</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r:id="rId229">
              <w:r>
                <w:rPr>
                  <w:rFonts w:ascii="Arial" w:cs="Arial" w:eastAsia="Arial" w:hAnsi="Arial"/>
                  <w:sz w:val="12"/>
                  <w:szCs w:val="12"/>
                  <w:color w:val="0000EE"/>
                </w:rPr>
                <w:t>dated and filed with the SEC as of May 9, 2017 (File No. 001-36708))</w:t>
              </w:r>
            </w:hyperlink>
          </w:p>
        </w:tc>
        <w:tc>
          <w:tcPr>
            <w:tcW w:w="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2"/>
          </w:tcPr>
          <w:p>
            <w:pPr>
              <w:spacing w:after="0"/>
              <w:rPr>
                <w:rFonts w:ascii="Arial" w:cs="Arial" w:eastAsia="Arial" w:hAnsi="Arial"/>
                <w:sz w:val="12"/>
                <w:szCs w:val="12"/>
                <w:color w:val="0000EE"/>
                <w:w w:val="91"/>
              </w:rPr>
            </w:pPr>
            <w:hyperlink r:id="rId230">
              <w:r>
                <w:rPr>
                  <w:rFonts w:ascii="Arial" w:cs="Arial" w:eastAsia="Arial" w:hAnsi="Arial"/>
                  <w:sz w:val="12"/>
                  <w:szCs w:val="12"/>
                  <w:color w:val="0000EE"/>
                  <w:w w:val="91"/>
                </w:rPr>
                <w:t>Recognition Agreement, dated April 24, 2015, by and among CSL National, LP and the other entities listed therein, as Landlord, and Windstream Holdings, Inc., as Tenant, and JPMorgan Chase Bank,</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0" w:type="dxa"/>
            <w:vAlign w:val="bottom"/>
            <w:gridSpan w:val="1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2"/>
          </w:tcPr>
          <w:p>
            <w:pPr>
              <w:spacing w:after="0" w:line="124" w:lineRule="exact"/>
              <w:rPr>
                <w:rFonts w:ascii="Arial" w:cs="Arial" w:eastAsia="Arial" w:hAnsi="Arial"/>
                <w:sz w:val="12"/>
                <w:szCs w:val="12"/>
                <w:color w:val="0000EE"/>
                <w:w w:val="92"/>
              </w:rPr>
            </w:pPr>
            <w:hyperlink r:id="rId230">
              <w:r>
                <w:rPr>
                  <w:rFonts w:ascii="Arial" w:cs="Arial" w:eastAsia="Arial" w:hAnsi="Arial"/>
                  <w:sz w:val="12"/>
                  <w:szCs w:val="12"/>
                  <w:color w:val="0000EE"/>
                  <w:w w:val="92"/>
                </w:rPr>
                <w:t>N.A., as administrative agent and collateral agent (incorporated by reference to Exhibit 10.11 to the Company’s Current Report on Form 8-K dated and filed with the SEC as of April 27, 2015 (File No.</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230">
              <w:r>
                <w:rPr>
                  <w:rFonts w:ascii="Arial" w:cs="Arial" w:eastAsia="Arial" w:hAnsi="Arial"/>
                  <w:sz w:val="12"/>
                  <w:szCs w:val="12"/>
                  <w:color w:val="0000EE"/>
                  <w:w w:val="88"/>
                </w:rPr>
                <w:t>001-36708))</w:t>
              </w:r>
            </w:hyperlink>
          </w:p>
        </w:tc>
        <w:tc>
          <w:tcPr>
            <w:tcW w:w="22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37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76"/>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60" w:type="dxa"/>
            <w:vAlign w:val="bottom"/>
            <w:gridSpan w:val="8"/>
          </w:tcPr>
          <w:p>
            <w:pPr>
              <w:ind w:left="3960"/>
              <w:spacing w:after="0"/>
              <w:rPr>
                <w:sz w:val="20"/>
                <w:szCs w:val="20"/>
                <w:color w:val="auto"/>
              </w:rPr>
            </w:pPr>
            <w:r>
              <w:rPr>
                <w:rFonts w:ascii="Arial" w:cs="Arial" w:eastAsia="Arial" w:hAnsi="Arial"/>
                <w:sz w:val="12"/>
                <w:szCs w:val="12"/>
                <w:color w:val="auto"/>
              </w:rPr>
              <w:t>139</w:t>
            </w:r>
          </w:p>
        </w:tc>
        <w:tc>
          <w:tcPr>
            <w:tcW w:w="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3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38"/>
        </w:trPr>
        <w:tc>
          <w:tcPr>
            <w:tcW w:w="1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12"/>
          </w:tcPr>
          <w:p>
            <w:pPr>
              <w:ind w:left="840"/>
              <w:spacing w:after="0"/>
              <w:rPr>
                <w:sz w:val="20"/>
                <w:szCs w:val="20"/>
                <w:color w:val="auto"/>
              </w:rPr>
            </w:pPr>
            <w:r>
              <w:rPr>
                <w:rFonts w:ascii="Arial" w:cs="Arial" w:eastAsia="Arial" w:hAnsi="Arial"/>
                <w:sz w:val="12"/>
                <w:szCs w:val="12"/>
                <w:b w:val="1"/>
                <w:bCs w:val="1"/>
                <w:color w:val="auto"/>
              </w:rPr>
              <w:t>Description</w:t>
            </w:r>
          </w:p>
        </w:tc>
      </w:tr>
      <w:tr>
        <w:trPr>
          <w:trHeight w:val="119"/>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10.17+</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top w:val="single" w:sz="8" w:color="auto"/>
              <w:bottom w:val="single" w:sz="8" w:color="0000EE"/>
            </w:tcBorders>
            <w:gridSpan w:val="21"/>
          </w:tcPr>
          <w:p>
            <w:pPr>
              <w:spacing w:after="0" w:line="120" w:lineRule="exact"/>
              <w:rPr>
                <w:rFonts w:ascii="Arial" w:cs="Arial" w:eastAsia="Arial" w:hAnsi="Arial"/>
                <w:sz w:val="12"/>
                <w:szCs w:val="12"/>
                <w:color w:val="0000EE"/>
                <w:w w:val="91"/>
              </w:rPr>
            </w:pPr>
            <w:hyperlink r:id="rId233">
              <w:r>
                <w:rPr>
                  <w:rFonts w:ascii="Arial" w:cs="Arial" w:eastAsia="Arial" w:hAnsi="Arial"/>
                  <w:sz w:val="12"/>
                  <w:szCs w:val="12"/>
                  <w:color w:val="0000EE"/>
                  <w:w w:val="91"/>
                </w:rPr>
                <w:t>Employment Agreement between Uniti Group Inc. and Kenneth Gunderman, effective as of December 14, 2018 (incorporated by reference to Exhibit 10.1 to the Company’s Current Report on Form 8-K</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1"/>
          </w:tcPr>
          <w:p>
            <w:pPr>
              <w:spacing w:after="0" w:line="124" w:lineRule="exact"/>
              <w:rPr>
                <w:rFonts w:ascii="Arial" w:cs="Arial" w:eastAsia="Arial" w:hAnsi="Arial"/>
                <w:sz w:val="12"/>
                <w:szCs w:val="12"/>
                <w:color w:val="0000EE"/>
              </w:rPr>
            </w:pPr>
            <w:hyperlink r:id="rId233">
              <w:r>
                <w:rPr>
                  <w:rFonts w:ascii="Arial" w:cs="Arial" w:eastAsia="Arial" w:hAnsi="Arial"/>
                  <w:sz w:val="12"/>
                  <w:szCs w:val="12"/>
                  <w:color w:val="0000EE"/>
                </w:rPr>
                <w:t>dated and filed with the SEC as of December 14, 2018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60" w:type="dxa"/>
            <w:vAlign w:val="bottom"/>
            <w:tcBorders>
              <w:bottom w:val="single" w:sz="8" w:color="0000EE"/>
            </w:tcBorders>
            <w:gridSpan w:val="18"/>
          </w:tcPr>
          <w:p>
            <w:pPr>
              <w:spacing w:after="0"/>
              <w:rPr>
                <w:rFonts w:ascii="Arial" w:cs="Arial" w:eastAsia="Arial" w:hAnsi="Arial"/>
                <w:sz w:val="12"/>
                <w:szCs w:val="12"/>
                <w:color w:val="0000EE"/>
                <w:w w:val="90"/>
              </w:rPr>
            </w:pPr>
            <w:hyperlink r:id="rId234">
              <w:r>
                <w:rPr>
                  <w:rFonts w:ascii="Arial" w:cs="Arial" w:eastAsia="Arial" w:hAnsi="Arial"/>
                  <w:sz w:val="12"/>
                  <w:szCs w:val="12"/>
                  <w:color w:val="0000EE"/>
                  <w:w w:val="90"/>
                </w:rPr>
                <w:t>Severance Agreement, dated as of September 10, 2018, by and between Uniti Group Inc. and Mark A. Wallace (incorporated by reference to Exhibit 10.1 to the Company’s Current Report on Form 8-K</w:t>
              </w:r>
            </w:hyperlink>
          </w:p>
        </w:tc>
        <w:tc>
          <w:tcPr>
            <w:tcW w:w="60" w:type="dxa"/>
            <w:vAlign w:val="bottom"/>
            <w:gridSpan w:val="3"/>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1"/>
          </w:tcPr>
          <w:p>
            <w:pPr>
              <w:spacing w:after="0" w:line="124" w:lineRule="exact"/>
              <w:rPr>
                <w:rFonts w:ascii="Arial" w:cs="Arial" w:eastAsia="Arial" w:hAnsi="Arial"/>
                <w:sz w:val="12"/>
                <w:szCs w:val="12"/>
                <w:color w:val="0000EE"/>
              </w:rPr>
            </w:pPr>
            <w:hyperlink r:id="rId234">
              <w:r>
                <w:rPr>
                  <w:rFonts w:ascii="Arial" w:cs="Arial" w:eastAsia="Arial" w:hAnsi="Arial"/>
                  <w:sz w:val="12"/>
                  <w:szCs w:val="12"/>
                  <w:color w:val="0000EE"/>
                </w:rPr>
                <w:t>dated and filed with the SEC as of September 14, 2018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10.19+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1"/>
              </w:rPr>
            </w:pPr>
            <w:hyperlink r:id="rId235">
              <w:r>
                <w:rPr>
                  <w:rFonts w:ascii="Arial" w:cs="Arial" w:eastAsia="Arial" w:hAnsi="Arial"/>
                  <w:sz w:val="12"/>
                  <w:szCs w:val="12"/>
                  <w:color w:val="0000EE"/>
                  <w:w w:val="91"/>
                </w:rPr>
                <w:t>Severance Agreement, dated as of September 10, 2018, by and between Uniti Group Inc. and Daniel L. Heard (incorporated by reference to Exhibit 10.2 to the Company’s Current Report on Form 8-K</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r:id="rId235">
              <w:r>
                <w:rPr>
                  <w:rFonts w:ascii="Arial" w:cs="Arial" w:eastAsia="Arial" w:hAnsi="Arial"/>
                  <w:sz w:val="12"/>
                  <w:szCs w:val="12"/>
                  <w:color w:val="0000EE"/>
                </w:rPr>
                <w:t>dated and filed with the SEC as of September 14, 2018 (File No. 001-36708))</w:t>
              </w:r>
            </w:hyperlink>
          </w:p>
        </w:tc>
        <w:tc>
          <w:tcPr>
            <w:tcW w:w="120" w:type="dxa"/>
            <w:vAlign w:val="bottom"/>
            <w:gridSpan w:val="6"/>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80" w:type="dxa"/>
            <w:vAlign w:val="bottom"/>
            <w:tcBorders>
              <w:bottom w:val="single" w:sz="8" w:color="0000EE"/>
            </w:tcBorders>
            <w:gridSpan w:val="19"/>
          </w:tcPr>
          <w:p>
            <w:pPr>
              <w:spacing w:after="0"/>
              <w:rPr>
                <w:rFonts w:ascii="Arial" w:cs="Arial" w:eastAsia="Arial" w:hAnsi="Arial"/>
                <w:sz w:val="12"/>
                <w:szCs w:val="12"/>
                <w:color w:val="0000EE"/>
                <w:w w:val="91"/>
              </w:rPr>
            </w:pPr>
            <w:hyperlink r:id="rId236">
              <w:r>
                <w:rPr>
                  <w:rFonts w:ascii="Arial" w:cs="Arial" w:eastAsia="Arial" w:hAnsi="Arial"/>
                  <w:sz w:val="12"/>
                  <w:szCs w:val="12"/>
                  <w:color w:val="0000EE"/>
                  <w:w w:val="91"/>
                </w:rPr>
                <w:t>Uniti Group Inc. 2015 Equity Incentive Plan, as amended and restated effective March 28, 2018 (incorporated by reference to Exhibit 10.1 to the Company’s Current Report on Form 8-K dated and filed</w:t>
              </w:r>
            </w:hyperlink>
          </w:p>
        </w:tc>
        <w:tc>
          <w:tcPr>
            <w:tcW w:w="40" w:type="dxa"/>
            <w:vAlign w:val="bottom"/>
            <w:gridSpan w:val="2"/>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8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r:id="rId236">
              <w:r>
                <w:rPr>
                  <w:rFonts w:ascii="Arial" w:cs="Arial" w:eastAsia="Arial" w:hAnsi="Arial"/>
                  <w:sz w:val="12"/>
                  <w:szCs w:val="12"/>
                  <w:color w:val="0000EE"/>
                  <w:w w:val="91"/>
                </w:rPr>
                <w:t>with the SEC as of March 29, 2018 (File No. 001-36708))</w:t>
              </w:r>
            </w:hyperlink>
          </w:p>
        </w:tc>
        <w:tc>
          <w:tcPr>
            <w:tcW w:w="6940" w:type="dxa"/>
            <w:vAlign w:val="bottom"/>
            <w:gridSpan w:val="15"/>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1"/>
              </w:rPr>
            </w:pPr>
            <w:hyperlink r:id="rId237">
              <w:r>
                <w:rPr>
                  <w:rFonts w:ascii="Arial" w:cs="Arial" w:eastAsia="Arial" w:hAnsi="Arial"/>
                  <w:sz w:val="12"/>
                  <w:szCs w:val="12"/>
                  <w:color w:val="0000EE"/>
                  <w:w w:val="91"/>
                </w:rPr>
                <w:t>Form of Restricted Shares Agreement for employees (incorporated by reference to Exhibit 10.3 to the Company’s Current Report on Form 8-K dated and filed with the SEC as of June 3, 2015 (File No.</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r:id="rId237">
              <w:r>
                <w:rPr>
                  <w:rFonts w:ascii="Arial" w:cs="Arial" w:eastAsia="Arial" w:hAnsi="Arial"/>
                  <w:sz w:val="12"/>
                  <w:szCs w:val="12"/>
                  <w:color w:val="0000EE"/>
                  <w:w w:val="88"/>
                </w:rPr>
                <w:t>001-36708))</w:t>
              </w:r>
            </w:hyperlink>
          </w:p>
        </w:tc>
        <w:tc>
          <w:tcPr>
            <w:tcW w:w="20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9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560" w:type="dxa"/>
            <w:vAlign w:val="bottom"/>
            <w:tcBorders>
              <w:top w:val="single" w:sz="8" w:color="0000EE"/>
            </w:tcBorders>
          </w:tcPr>
          <w:p>
            <w:pPr>
              <w:spacing w:after="0"/>
              <w:rPr>
                <w:sz w:val="10"/>
                <w:szCs w:val="10"/>
                <w:color w:val="auto"/>
              </w:rPr>
            </w:pPr>
          </w:p>
        </w:tc>
        <w:tc>
          <w:tcPr>
            <w:tcW w:w="1640" w:type="dxa"/>
            <w:vAlign w:val="bottom"/>
            <w:tcBorders>
              <w:top w:val="single" w:sz="8" w:color="0000EE"/>
            </w:tcBorders>
          </w:tcPr>
          <w:p>
            <w:pPr>
              <w:spacing w:after="0"/>
              <w:rPr>
                <w:sz w:val="10"/>
                <w:szCs w:val="10"/>
                <w:color w:val="auto"/>
              </w:rPr>
            </w:pPr>
          </w:p>
        </w:tc>
        <w:tc>
          <w:tcPr>
            <w:tcW w:w="14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1"/>
              </w:rPr>
            </w:pPr>
            <w:hyperlink r:id="rId238">
              <w:r>
                <w:rPr>
                  <w:rFonts w:ascii="Arial" w:cs="Arial" w:eastAsia="Arial" w:hAnsi="Arial"/>
                  <w:sz w:val="12"/>
                  <w:szCs w:val="12"/>
                  <w:color w:val="0000EE"/>
                  <w:w w:val="91"/>
                </w:rPr>
                <w:t>Form of Restricted Shares Agreement for employees (incorporated by reference to Exhibit 10.19 to the Company’s Annual Report on Form 10-K dated and filed with the SEC as of March 18, 2019 (File</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8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r:id="rId238">
              <w:r>
                <w:rPr>
                  <w:rFonts w:ascii="Arial" w:cs="Arial" w:eastAsia="Arial" w:hAnsi="Arial"/>
                  <w:sz w:val="12"/>
                  <w:szCs w:val="12"/>
                  <w:color w:val="0000EE"/>
                </w:rPr>
                <w:t>No. 001-36708))</w:t>
              </w:r>
            </w:hyperlink>
          </w:p>
        </w:tc>
        <w:tc>
          <w:tcPr>
            <w:tcW w:w="4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40" w:type="dxa"/>
            <w:vAlign w:val="bottom"/>
            <w:tcBorders>
              <w:bottom w:val="single" w:sz="8" w:color="0000EE"/>
            </w:tcBorders>
            <w:gridSpan w:val="17"/>
          </w:tcPr>
          <w:p>
            <w:pPr>
              <w:spacing w:after="0"/>
              <w:rPr>
                <w:rFonts w:ascii="Arial" w:cs="Arial" w:eastAsia="Arial" w:hAnsi="Arial"/>
                <w:sz w:val="12"/>
                <w:szCs w:val="12"/>
                <w:color w:val="0000EE"/>
                <w:w w:val="90"/>
              </w:rPr>
            </w:pPr>
            <w:hyperlink r:id="rId239">
              <w:r>
                <w:rPr>
                  <w:rFonts w:ascii="Arial" w:cs="Arial" w:eastAsia="Arial" w:hAnsi="Arial"/>
                  <w:sz w:val="12"/>
                  <w:szCs w:val="12"/>
                  <w:color w:val="0000EE"/>
                  <w:w w:val="90"/>
                </w:rPr>
                <w:t>Form of Performance-Based Restricted Stock Unit Agreement (incorporated by reference to Exhibit 10.4 to the Company’s Current Report on Form 8-K dated and filed with the SEC as of June 3, 2015</w:t>
              </w:r>
            </w:hyperlink>
          </w:p>
        </w:tc>
        <w:tc>
          <w:tcPr>
            <w:tcW w:w="80" w:type="dxa"/>
            <w:vAlign w:val="bottom"/>
            <w:gridSpan w:val="4"/>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239">
              <w:r>
                <w:rPr>
                  <w:rFonts w:ascii="Arial" w:cs="Arial" w:eastAsia="Arial" w:hAnsi="Arial"/>
                  <w:sz w:val="12"/>
                  <w:szCs w:val="12"/>
                  <w:color w:val="0000EE"/>
                  <w:w w:val="91"/>
                </w:rPr>
                <w:t>(File No. 001-36708))</w:t>
              </w:r>
            </w:hyperlink>
          </w:p>
        </w:tc>
        <w:tc>
          <w:tcPr>
            <w:tcW w:w="8660" w:type="dxa"/>
            <w:vAlign w:val="bottom"/>
            <w:gridSpan w:val="18"/>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2"/>
              </w:rPr>
            </w:pPr>
            <w:hyperlink r:id="rId240">
              <w:r>
                <w:rPr>
                  <w:rFonts w:ascii="Arial" w:cs="Arial" w:eastAsia="Arial" w:hAnsi="Arial"/>
                  <w:sz w:val="12"/>
                  <w:szCs w:val="12"/>
                  <w:color w:val="0000EE"/>
                  <w:w w:val="92"/>
                </w:rPr>
                <w:t>Form of Performance-Based Restricted Stock Unit Agreement (incorporated by reference to Exhibit 10.21 to the Company’s Annual Report on Form 10-K dated and filed with the SEC as of March 18,</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2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r:id="rId240">
              <w:r>
                <w:rPr>
                  <w:rFonts w:ascii="Arial" w:cs="Arial" w:eastAsia="Arial" w:hAnsi="Arial"/>
                  <w:sz w:val="12"/>
                  <w:szCs w:val="12"/>
                  <w:color w:val="0000EE"/>
                </w:rPr>
                <w:t>2019 (File No. 001-36708))</w:t>
              </w:r>
            </w:hyperlink>
          </w:p>
        </w:tc>
        <w:tc>
          <w:tcPr>
            <w:tcW w:w="100" w:type="dxa"/>
            <w:vAlign w:val="bottom"/>
            <w:gridSpan w:val="5"/>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2"/>
              </w:rPr>
            </w:pPr>
            <w:hyperlink r:id="rId241">
              <w:r>
                <w:rPr>
                  <w:rFonts w:ascii="Arial" w:cs="Arial" w:eastAsia="Arial" w:hAnsi="Arial"/>
                  <w:sz w:val="12"/>
                  <w:szCs w:val="12"/>
                  <w:color w:val="0000EE"/>
                  <w:w w:val="92"/>
                </w:rPr>
                <w:t>Form of Restricted Shares Agreement for non-employee directors (incorporated by reference to Exhibit 10.5 to the Company’s Current Report on Form 8-K dated and filed with the SEC as of June 3,</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20" w:type="dxa"/>
            <w:vAlign w:val="bottom"/>
            <w:tcBorders>
              <w:top w:val="single" w:sz="8" w:color="0000EE"/>
            </w:tcBorders>
            <w:gridSpan w:val="13"/>
          </w:tcPr>
          <w:p>
            <w:pPr>
              <w:spacing w:after="0" w:line="124" w:lineRule="exact"/>
              <w:rPr>
                <w:rFonts w:ascii="Arial" w:cs="Arial" w:eastAsia="Arial" w:hAnsi="Arial"/>
                <w:sz w:val="12"/>
                <w:szCs w:val="12"/>
                <w:color w:val="0000EE"/>
              </w:rPr>
            </w:pPr>
            <w:hyperlink r:id="rId241">
              <w:r>
                <w:rPr>
                  <w:rFonts w:ascii="Arial" w:cs="Arial" w:eastAsia="Arial" w:hAnsi="Arial"/>
                  <w:sz w:val="12"/>
                  <w:szCs w:val="12"/>
                  <w:color w:val="0000EE"/>
                </w:rPr>
                <w:t>2015 (File No. 001-36708))</w:t>
              </w:r>
            </w:hyperlink>
          </w:p>
        </w:tc>
        <w:tc>
          <w:tcPr>
            <w:tcW w:w="200" w:type="dxa"/>
            <w:vAlign w:val="bottom"/>
            <w:gridSpan w:val="8"/>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1"/>
              </w:rPr>
            </w:pPr>
            <w:hyperlink r:id="rId242">
              <w:r>
                <w:rPr>
                  <w:rFonts w:ascii="Arial" w:cs="Arial" w:eastAsia="Arial" w:hAnsi="Arial"/>
                  <w:sz w:val="12"/>
                  <w:szCs w:val="12"/>
                  <w:color w:val="0000EE"/>
                  <w:w w:val="91"/>
                </w:rPr>
                <w:t>Form of Indemnity Agreement (incorporated by reference to Exhibit 10.20 to the Company’s Registration Statement on Form S-4 dated and filed with the SEC as of July 2, 2015 (File No. 333-205450))</w:t>
              </w:r>
            </w:hyperlink>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40" w:type="dxa"/>
            <w:vAlign w:val="bottom"/>
            <w:tcBorders>
              <w:top w:val="single" w:sz="8" w:color="0000EE"/>
              <w:bottom w:val="single" w:sz="8" w:color="0000EE"/>
            </w:tcBorders>
            <w:gridSpan w:val="17"/>
          </w:tcPr>
          <w:p>
            <w:pPr>
              <w:spacing w:after="0"/>
              <w:rPr>
                <w:rFonts w:ascii="Arial" w:cs="Arial" w:eastAsia="Arial" w:hAnsi="Arial"/>
                <w:sz w:val="12"/>
                <w:szCs w:val="12"/>
                <w:color w:val="0000EE"/>
                <w:w w:val="90"/>
              </w:rPr>
            </w:pPr>
            <w:hyperlink r:id="rId243">
              <w:r>
                <w:rPr>
                  <w:rFonts w:ascii="Arial" w:cs="Arial" w:eastAsia="Arial" w:hAnsi="Arial"/>
                  <w:sz w:val="12"/>
                  <w:szCs w:val="12"/>
                  <w:color w:val="0000EE"/>
                  <w:w w:val="90"/>
                </w:rPr>
                <w:t>Communications Sales &amp; Leasing, Inc. Deferred Compensation Plan, effective August 10, 2015 (incorporated by reference to Exhibit 10.20 to the Company’s Quarterly Report on Form 10-Q dated and</w:t>
              </w:r>
            </w:hyperlink>
          </w:p>
        </w:tc>
        <w:tc>
          <w:tcPr>
            <w:tcW w:w="20" w:type="dxa"/>
            <w:vAlign w:val="bottom"/>
            <w:tcBorders>
              <w:top w:val="single" w:sz="8" w:color="0000EE"/>
            </w:tcBorders>
          </w:tcPr>
          <w:p>
            <w:pPr>
              <w:spacing w:after="0"/>
              <w:rPr>
                <w:sz w:val="18"/>
                <w:szCs w:val="18"/>
                <w:color w:val="auto"/>
              </w:rPr>
            </w:pPr>
          </w:p>
        </w:tc>
        <w:tc>
          <w:tcPr>
            <w:tcW w:w="60" w:type="dxa"/>
            <w:vAlign w:val="bottom"/>
            <w:gridSpan w:val="3"/>
          </w:tcPr>
          <w:p>
            <w:pPr>
              <w:spacing w:after="0"/>
              <w:rPr>
                <w:sz w:val="18"/>
                <w:szCs w:val="18"/>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gridSpan w:val="21"/>
          </w:tcPr>
          <w:p>
            <w:pPr>
              <w:spacing w:after="0" w:line="124" w:lineRule="exact"/>
              <w:rPr>
                <w:rFonts w:ascii="Arial" w:cs="Arial" w:eastAsia="Arial" w:hAnsi="Arial"/>
                <w:sz w:val="12"/>
                <w:szCs w:val="12"/>
                <w:color w:val="0000EE"/>
              </w:rPr>
            </w:pPr>
            <w:hyperlink r:id="rId243">
              <w:r>
                <w:rPr>
                  <w:rFonts w:ascii="Arial" w:cs="Arial" w:eastAsia="Arial" w:hAnsi="Arial"/>
                  <w:sz w:val="12"/>
                  <w:szCs w:val="12"/>
                  <w:color w:val="0000EE"/>
                </w:rPr>
                <w:t>filed with the SEC as of August 13, 2015 (File No. 001-36708))</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0"/>
              </w:rPr>
            </w:pPr>
            <w:hyperlink r:id="rId244">
              <w:r>
                <w:rPr>
                  <w:rFonts w:ascii="Arial" w:cs="Arial" w:eastAsia="Arial" w:hAnsi="Arial"/>
                  <w:sz w:val="12"/>
                  <w:szCs w:val="12"/>
                  <w:color w:val="0000EE"/>
                  <w:w w:val="90"/>
                </w:rPr>
                <w:t>Uniti Group Inc. Amended and Restated Employee Stock Purchase Plan (incorporated by reference to Exhibit 99.1 to the Company’s Registration Statement on Form S-8 dated and filed with the SEC as</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8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r:id="rId244">
              <w:r>
                <w:rPr>
                  <w:rFonts w:ascii="Arial" w:cs="Arial" w:eastAsia="Arial" w:hAnsi="Arial"/>
                  <w:sz w:val="12"/>
                  <w:szCs w:val="12"/>
                  <w:color w:val="0000EE"/>
                </w:rPr>
                <w:t>of June 7, 2018 (File No. 333-225501))</w:t>
              </w:r>
            </w:hyperlink>
          </w:p>
        </w:tc>
        <w:tc>
          <w:tcPr>
            <w:tcW w:w="4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10.29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4"/>
              </w:rPr>
            </w:pPr>
            <w:hyperlink r:id="rId245">
              <w:r>
                <w:rPr>
                  <w:rFonts w:ascii="Arial" w:cs="Arial" w:eastAsia="Arial" w:hAnsi="Arial"/>
                  <w:sz w:val="12"/>
                  <w:szCs w:val="12"/>
                  <w:color w:val="0000EE"/>
                  <w:w w:val="94"/>
                </w:rPr>
                <w:t>Stockholders’ and Registration Rights Agreement, dated May 2, 2016, by and between Communications Sales and Leasing, Inc. and PEG Bandwidth Holdings, LLC (incorporated by reference to</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8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r:id="rId245">
              <w:r>
                <w:rPr>
                  <w:rFonts w:ascii="Arial" w:cs="Arial" w:eastAsia="Arial" w:hAnsi="Arial"/>
                  <w:sz w:val="12"/>
                  <w:szCs w:val="12"/>
                  <w:color w:val="0000EE"/>
                  <w:w w:val="91"/>
                </w:rPr>
                <w:t>Exhibit 10.1 to the Company’s Current Report on Form 8-K dated and filed with the SEC as of May 4, 2016 (File No. 001-36708))</w:t>
              </w:r>
            </w:hyperlink>
          </w:p>
        </w:tc>
        <w:tc>
          <w:tcPr>
            <w:tcW w:w="3060" w:type="dxa"/>
            <w:vAlign w:val="bottom"/>
            <w:tcBorders>
              <w:top w:val="single" w:sz="8" w:color="0000EE"/>
            </w:tcBorders>
            <w:gridSpan w:val="2"/>
          </w:tcPr>
          <w:p>
            <w:pPr>
              <w:spacing w:after="0"/>
              <w:rPr>
                <w:sz w:val="10"/>
                <w:szCs w:val="10"/>
                <w:color w:val="auto"/>
              </w:rPr>
            </w:pPr>
          </w:p>
        </w:tc>
        <w:tc>
          <w:tcPr>
            <w:tcW w:w="380" w:type="dxa"/>
            <w:vAlign w:val="bottom"/>
            <w:gridSpan w:val="9"/>
          </w:tcPr>
          <w:p>
            <w:pPr>
              <w:spacing w:after="0"/>
              <w:rPr>
                <w:sz w:val="10"/>
                <w:szCs w:val="10"/>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21"/>
          </w:tcPr>
          <w:p>
            <w:pPr>
              <w:spacing w:after="0"/>
              <w:rPr>
                <w:rFonts w:ascii="Arial" w:cs="Arial" w:eastAsia="Arial" w:hAnsi="Arial"/>
                <w:sz w:val="12"/>
                <w:szCs w:val="12"/>
                <w:color w:val="0000EE"/>
                <w:w w:val="91"/>
              </w:rPr>
            </w:pPr>
            <w:hyperlink r:id="rId246">
              <w:r>
                <w:rPr>
                  <w:rFonts w:ascii="Arial" w:cs="Arial" w:eastAsia="Arial" w:hAnsi="Arial"/>
                  <w:sz w:val="12"/>
                  <w:szCs w:val="12"/>
                  <w:color w:val="0000EE"/>
                  <w:w w:val="91"/>
                </w:rPr>
                <w:t>Amendment No. 1 to Master Lease, entered into as of February 12, 2016, by and among CSL National, L.P. and the other entities listed therein, as Landlord, and Windstream Holdings, Inc., as Tenant</w:t>
              </w:r>
            </w:hyperlink>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54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r:id="rId246">
              <w:r>
                <w:rPr>
                  <w:rFonts w:ascii="Arial" w:cs="Arial" w:eastAsia="Arial" w:hAnsi="Arial"/>
                  <w:sz w:val="12"/>
                  <w:szCs w:val="12"/>
                  <w:color w:val="0000EE"/>
                </w:rPr>
                <w:t>(incorporated by reference to Exhibit 10.3 to the Company’s Quarterly Report on Form 10-Q dated and filed with the SEC as of May 12, 2016 (File No. 001-36708))</w:t>
              </w:r>
            </w:hyperlink>
          </w:p>
        </w:tc>
        <w:tc>
          <w:tcPr>
            <w:tcW w:w="180" w:type="dxa"/>
            <w:vAlign w:val="bottom"/>
            <w:gridSpan w:val="7"/>
          </w:tcPr>
          <w:p>
            <w:pPr>
              <w:spacing w:after="0"/>
              <w:rPr>
                <w:sz w:val="10"/>
                <w:szCs w:val="10"/>
                <w:color w:val="auto"/>
              </w:rPr>
            </w:pPr>
          </w:p>
        </w:tc>
      </w:tr>
      <w:tr>
        <w:trPr>
          <w:trHeight w:val="376"/>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80" w:type="dxa"/>
            <w:vAlign w:val="bottom"/>
            <w:tcBorders>
              <w:top w:val="single" w:sz="8" w:color="0000EE"/>
            </w:tcBorders>
            <w:gridSpan w:val="10"/>
          </w:tcPr>
          <w:p>
            <w:pPr>
              <w:ind w:left="3960"/>
              <w:spacing w:after="0"/>
              <w:rPr>
                <w:sz w:val="20"/>
                <w:szCs w:val="20"/>
                <w:color w:val="auto"/>
              </w:rPr>
            </w:pPr>
            <w:r>
              <w:rPr>
                <w:rFonts w:ascii="Arial" w:cs="Arial" w:eastAsia="Arial" w:hAnsi="Arial"/>
                <w:sz w:val="12"/>
                <w:szCs w:val="12"/>
                <w:color w:val="auto"/>
              </w:rPr>
              <w:t>140</w:t>
            </w:r>
          </w:p>
        </w:tc>
        <w:tc>
          <w:tcPr>
            <w:tcW w:w="164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56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sectPr>
      </w:pPr>
    </w:p>
    <w:bookmarkStart w:id="140" w:name="page141"/>
    <w:bookmarkEnd w:id="140"/>
    <w:tbl>
      <w:tblPr>
        <w:tblLayout w:type="fixed"/>
        <w:tblInd w:w="8" w:type="dxa"/>
        <w:tblCellMar>
          <w:top w:w="0" w:type="dxa"/>
          <w:left w:w="0" w:type="dxa"/>
          <w:bottom w:w="0" w:type="dxa"/>
          <w:right w:w="0" w:type="dxa"/>
        </w:tblCellMar>
      </w:tblPr>
      <w:tr>
        <w:trPr>
          <w:trHeight w:val="138"/>
        </w:trPr>
        <w:tc>
          <w:tcPr>
            <w:tcW w:w="1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0" w:type="dxa"/>
            <w:vAlign w:val="bottom"/>
            <w:gridSpan w:val="3"/>
          </w:tcPr>
          <w:p>
            <w:pPr>
              <w:ind w:left="320"/>
              <w:spacing w:after="0"/>
              <w:rPr>
                <w:sz w:val="20"/>
                <w:szCs w:val="20"/>
                <w:color w:val="auto"/>
              </w:rPr>
            </w:pPr>
            <w:r>
              <w:rPr>
                <w:rFonts w:ascii="Arial" w:cs="Arial" w:eastAsia="Arial" w:hAnsi="Arial"/>
                <w:sz w:val="12"/>
                <w:szCs w:val="12"/>
                <w:b w:val="1"/>
                <w:bCs w:val="1"/>
                <w:color w:val="auto"/>
              </w:rPr>
              <w:t>Exhibit No.</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80" w:type="dxa"/>
            <w:vAlign w:val="bottom"/>
            <w:gridSpan w:val="10"/>
          </w:tcPr>
          <w:p>
            <w:pPr>
              <w:ind w:left="32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20"/>
        </w:trPr>
        <w:tc>
          <w:tcPr>
            <w:tcW w:w="84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color w:val="auto"/>
              </w:rPr>
              <w:t>10.31</w:t>
            </w: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720" w:type="dxa"/>
            <w:vAlign w:val="bottom"/>
            <w:tcBorders>
              <w:top w:val="single" w:sz="8" w:color="auto"/>
            </w:tcBorders>
            <w:gridSpan w:val="15"/>
          </w:tcPr>
          <w:p>
            <w:pPr>
              <w:spacing w:after="0" w:line="120" w:lineRule="exact"/>
              <w:rPr>
                <w:rFonts w:ascii="Arial" w:cs="Arial" w:eastAsia="Arial" w:hAnsi="Arial"/>
                <w:sz w:val="12"/>
                <w:szCs w:val="12"/>
                <w:color w:val="0000EE"/>
                <w:w w:val="90"/>
              </w:rPr>
            </w:pPr>
            <w:hyperlink r:id="rId249">
              <w:r>
                <w:rPr>
                  <w:rFonts w:ascii="Arial" w:cs="Arial" w:eastAsia="Arial" w:hAnsi="Arial"/>
                  <w:sz w:val="12"/>
                  <w:szCs w:val="12"/>
                  <w:color w:val="0000EE"/>
                  <w:w w:val="90"/>
                </w:rPr>
                <w:t>Registration Rights Agreement by and among each of the parties listed on the signature pages thereto and Communications Sales &amp; Leasing, Inc. dated as of June 15, 2016 (incorporated by reference to</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2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1"/>
              </w:rPr>
            </w:pPr>
            <w:hyperlink r:id="rId249">
              <w:r>
                <w:rPr>
                  <w:rFonts w:ascii="Arial" w:cs="Arial" w:eastAsia="Arial" w:hAnsi="Arial"/>
                  <w:sz w:val="12"/>
                  <w:szCs w:val="12"/>
                  <w:color w:val="0000EE"/>
                  <w:w w:val="91"/>
                </w:rPr>
                <w:t>Exhibit 10.2 to the Company’s Quarterly Report on Form 10-Q dated and filed with the SEC as of August 11, 2016 (File No. 001-36708))</w:t>
              </w:r>
            </w:hyperlink>
          </w:p>
        </w:tc>
        <w:tc>
          <w:tcPr>
            <w:tcW w:w="3020" w:type="dxa"/>
            <w:vAlign w:val="bottom"/>
            <w:tcBorders>
              <w:top w:val="single" w:sz="8" w:color="0000EE"/>
            </w:tcBorders>
            <w:gridSpan w:val="6"/>
          </w:tcPr>
          <w:p>
            <w:pPr>
              <w:spacing w:after="0"/>
              <w:rPr>
                <w:sz w:val="10"/>
                <w:szCs w:val="10"/>
                <w:color w:val="auto"/>
              </w:rPr>
            </w:pPr>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10.32+***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15"/>
          </w:tcPr>
          <w:p>
            <w:pPr>
              <w:spacing w:after="0"/>
              <w:rPr>
                <w:rFonts w:ascii="Arial" w:cs="Arial" w:eastAsia="Arial" w:hAnsi="Arial"/>
                <w:sz w:val="12"/>
                <w:szCs w:val="12"/>
                <w:color w:val="0000EE"/>
                <w:w w:val="92"/>
              </w:rPr>
            </w:pPr>
            <w:hyperlink r:id="rId250">
              <w:r>
                <w:rPr>
                  <w:rFonts w:ascii="Arial" w:cs="Arial" w:eastAsia="Arial" w:hAnsi="Arial"/>
                  <w:sz w:val="12"/>
                  <w:szCs w:val="12"/>
                  <w:color w:val="0000EE"/>
                  <w:w w:val="92"/>
                </w:rPr>
                <w:t>Uniti Group Inc. 2019 Short Term Incentive Plan (incorporated by reference to Exhibit 10.2 to the Company’s Quarterly Report on Form 10-Q dated and filed with the SEC as of May 9, 2019 (File No.</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8"/>
              </w:rPr>
            </w:pPr>
            <w:hyperlink r:id="rId250">
              <w:r>
                <w:rPr>
                  <w:rFonts w:ascii="Arial" w:cs="Arial" w:eastAsia="Arial" w:hAnsi="Arial"/>
                  <w:sz w:val="12"/>
                  <w:szCs w:val="12"/>
                  <w:color w:val="0000EE"/>
                  <w:w w:val="88"/>
                </w:rPr>
                <w:t>001-36708))</w:t>
              </w:r>
            </w:hyperlink>
          </w:p>
        </w:tc>
        <w:tc>
          <w:tcPr>
            <w:tcW w:w="11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360" w:type="dxa"/>
            <w:vAlign w:val="bottom"/>
            <w:tcBorders>
              <w:top w:val="single" w:sz="8" w:color="0000EE"/>
            </w:tcBorders>
          </w:tcPr>
          <w:p>
            <w:pPr>
              <w:spacing w:after="0"/>
              <w:rPr>
                <w:sz w:val="10"/>
                <w:szCs w:val="10"/>
                <w:color w:val="auto"/>
              </w:rPr>
            </w:pPr>
          </w:p>
        </w:tc>
        <w:tc>
          <w:tcPr>
            <w:tcW w:w="238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10.33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15"/>
          </w:tcPr>
          <w:p>
            <w:pPr>
              <w:spacing w:after="0"/>
              <w:rPr>
                <w:rFonts w:ascii="Arial" w:cs="Arial" w:eastAsia="Arial" w:hAnsi="Arial"/>
                <w:sz w:val="12"/>
                <w:szCs w:val="12"/>
                <w:color w:val="0000EE"/>
                <w:w w:val="91"/>
              </w:rPr>
            </w:pPr>
            <w:hyperlink r:id="rId251">
              <w:r>
                <w:rPr>
                  <w:rFonts w:ascii="Arial" w:cs="Arial" w:eastAsia="Arial" w:hAnsi="Arial"/>
                  <w:sz w:val="12"/>
                  <w:szCs w:val="12"/>
                  <w:color w:val="0000EE"/>
                  <w:w w:val="91"/>
                </w:rPr>
                <w:t>Plan Support Agreement dated as of March 2, 2020 (incorporated by reference to Exhibit 10.1 to the Company’s Current Report on Form 8-K dated and filed with the SEC as of March 2, 2020 (File No.</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8"/>
              </w:rPr>
            </w:pPr>
            <w:hyperlink r:id="rId251">
              <w:r>
                <w:rPr>
                  <w:rFonts w:ascii="Arial" w:cs="Arial" w:eastAsia="Arial" w:hAnsi="Arial"/>
                  <w:sz w:val="12"/>
                  <w:szCs w:val="12"/>
                  <w:color w:val="0000EE"/>
                  <w:w w:val="88"/>
                </w:rPr>
                <w:t>001-36708))</w:t>
              </w:r>
            </w:hyperlink>
          </w:p>
        </w:tc>
        <w:tc>
          <w:tcPr>
            <w:tcW w:w="11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360" w:type="dxa"/>
            <w:vAlign w:val="bottom"/>
            <w:tcBorders>
              <w:top w:val="single" w:sz="8" w:color="0000EE"/>
            </w:tcBorders>
          </w:tcPr>
          <w:p>
            <w:pPr>
              <w:spacing w:after="0"/>
              <w:rPr>
                <w:sz w:val="10"/>
                <w:szCs w:val="10"/>
                <w:color w:val="auto"/>
              </w:rPr>
            </w:pPr>
          </w:p>
        </w:tc>
        <w:tc>
          <w:tcPr>
            <w:tcW w:w="238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10.34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15"/>
          </w:tcPr>
          <w:p>
            <w:pPr>
              <w:spacing w:after="0"/>
              <w:rPr>
                <w:rFonts w:ascii="Arial" w:cs="Arial" w:eastAsia="Arial" w:hAnsi="Arial"/>
                <w:sz w:val="12"/>
                <w:szCs w:val="12"/>
                <w:color w:val="0000EE"/>
                <w:w w:val="93"/>
              </w:rPr>
            </w:pPr>
            <w:hyperlink r:id="rId252">
              <w:r>
                <w:rPr>
                  <w:rFonts w:ascii="Arial" w:cs="Arial" w:eastAsia="Arial" w:hAnsi="Arial"/>
                  <w:sz w:val="12"/>
                  <w:szCs w:val="12"/>
                  <w:color w:val="0000EE"/>
                  <w:w w:val="93"/>
                </w:rPr>
                <w:t>Form of binding Letter of Intent to purchase Settlement Common Stock (incorporated by reference to Exhibit 10.2 to the Company’s Current Report on Form 8-K dated and filed with the SEC as of</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40" w:type="dxa"/>
            <w:vAlign w:val="bottom"/>
            <w:tcBorders>
              <w:top w:val="single" w:sz="8" w:color="0000EE"/>
            </w:tcBorders>
            <w:gridSpan w:val="9"/>
          </w:tcPr>
          <w:p>
            <w:pPr>
              <w:spacing w:after="0" w:line="124" w:lineRule="exact"/>
              <w:rPr>
                <w:rFonts w:ascii="Arial" w:cs="Arial" w:eastAsia="Arial" w:hAnsi="Arial"/>
                <w:sz w:val="12"/>
                <w:szCs w:val="12"/>
                <w:color w:val="0000EE"/>
              </w:rPr>
            </w:pPr>
            <w:hyperlink r:id="rId252">
              <w:r>
                <w:rPr>
                  <w:rFonts w:ascii="Arial" w:cs="Arial" w:eastAsia="Arial" w:hAnsi="Arial"/>
                  <w:sz w:val="12"/>
                  <w:szCs w:val="12"/>
                  <w:color w:val="0000EE"/>
                </w:rPr>
                <w:t>March 2, 2020 (File No. 001-36708))</w:t>
              </w:r>
            </w:hyperlink>
          </w:p>
        </w:tc>
        <w:tc>
          <w:tcPr>
            <w:tcW w:w="2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21.1*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15"/>
          </w:tcPr>
          <w:p>
            <w:pPr>
              <w:spacing w:after="0"/>
              <w:rPr>
                <w:rFonts w:ascii="Arial" w:cs="Arial" w:eastAsia="Arial" w:hAnsi="Arial"/>
                <w:sz w:val="12"/>
                <w:szCs w:val="12"/>
                <w:color w:val="0000EE"/>
              </w:rPr>
            </w:pPr>
            <w:hyperlink w:anchor="page161">
              <w:r>
                <w:rPr>
                  <w:rFonts w:ascii="Arial" w:cs="Arial" w:eastAsia="Arial" w:hAnsi="Arial"/>
                  <w:sz w:val="12"/>
                  <w:szCs w:val="12"/>
                  <w:color w:val="0000EE"/>
                </w:rPr>
                <w:t>List of Subsidiaries of Uniti Group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23.1*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15"/>
          </w:tcPr>
          <w:p>
            <w:pPr>
              <w:spacing w:after="0"/>
              <w:rPr>
                <w:rFonts w:ascii="Arial" w:cs="Arial" w:eastAsia="Arial" w:hAnsi="Arial"/>
                <w:sz w:val="12"/>
                <w:szCs w:val="12"/>
                <w:color w:val="0000EE"/>
              </w:rPr>
            </w:pPr>
            <w:hyperlink w:anchor="page163">
              <w:r>
                <w:rPr>
                  <w:rFonts w:ascii="Arial" w:cs="Arial" w:eastAsia="Arial" w:hAnsi="Arial"/>
                  <w:sz w:val="12"/>
                  <w:szCs w:val="12"/>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31.1*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15"/>
          </w:tcPr>
          <w:p>
            <w:pPr>
              <w:spacing w:after="0"/>
              <w:rPr>
                <w:rFonts w:ascii="Arial" w:cs="Arial" w:eastAsia="Arial" w:hAnsi="Arial"/>
                <w:sz w:val="12"/>
                <w:szCs w:val="12"/>
                <w:color w:val="0000EE"/>
                <w:w w:val="93"/>
              </w:rPr>
            </w:pPr>
            <w:hyperlink w:anchor="page164">
              <w:r>
                <w:rPr>
                  <w:rFonts w:ascii="Arial" w:cs="Arial" w:eastAsia="Arial" w:hAnsi="Arial"/>
                  <w:sz w:val="12"/>
                  <w:szCs w:val="12"/>
                  <w:color w:val="0000EE"/>
                  <w:w w:val="93"/>
                </w:rPr>
                <w:t>Certification of Principal Executive Officer Pursuant to Rules 13a-14(a) and 15d-14(a) under the Securities Exchange Act of 1934, as Adopted Pursuant to Section 302 of the Sarbanes-Oxley Act of</w:t>
              </w:r>
            </w:hyperlink>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79"/>
              </w:rPr>
            </w:pPr>
            <w:hyperlink w:anchor="page164">
              <w:r>
                <w:rPr>
                  <w:rFonts w:ascii="Arial" w:cs="Arial" w:eastAsia="Arial" w:hAnsi="Arial"/>
                  <w:sz w:val="12"/>
                  <w:szCs w:val="12"/>
                  <w:color w:val="0000EE"/>
                  <w:w w:val="79"/>
                </w:rPr>
                <w:t>2002.</w:t>
              </w:r>
            </w:hyperlink>
          </w:p>
        </w:tc>
        <w:tc>
          <w:tcPr>
            <w:tcW w:w="34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360" w:type="dxa"/>
            <w:vAlign w:val="bottom"/>
            <w:tcBorders>
              <w:top w:val="single" w:sz="8" w:color="0000EE"/>
            </w:tcBorders>
          </w:tcPr>
          <w:p>
            <w:pPr>
              <w:spacing w:after="0"/>
              <w:rPr>
                <w:sz w:val="10"/>
                <w:szCs w:val="10"/>
                <w:color w:val="auto"/>
              </w:rPr>
            </w:pPr>
          </w:p>
        </w:tc>
        <w:tc>
          <w:tcPr>
            <w:tcW w:w="238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100"/>
              <w:spacing w:after="0"/>
              <w:rPr>
                <w:sz w:val="20"/>
                <w:szCs w:val="20"/>
                <w:color w:val="auto"/>
              </w:rPr>
            </w:pPr>
            <w:r>
              <w:rPr>
                <w:rFonts w:ascii="Arial" w:cs="Arial" w:eastAsia="Arial" w:hAnsi="Arial"/>
                <w:sz w:val="12"/>
                <w:szCs w:val="12"/>
                <w:color w:val="auto"/>
              </w:rPr>
              <w:t>31.2*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00" w:type="dxa"/>
            <w:vAlign w:val="bottom"/>
            <w:gridSpan w:val="14"/>
            <w:vMerge w:val="restart"/>
          </w:tcPr>
          <w:p>
            <w:pPr>
              <w:spacing w:after="0"/>
              <w:rPr>
                <w:rFonts w:ascii="Arial" w:cs="Arial" w:eastAsia="Arial" w:hAnsi="Arial"/>
                <w:sz w:val="12"/>
                <w:szCs w:val="12"/>
                <w:color w:val="0000EE"/>
                <w:w w:val="90"/>
              </w:rPr>
            </w:pPr>
            <w:hyperlink w:anchor="page165">
              <w:r>
                <w:rPr>
                  <w:rFonts w:ascii="Arial" w:cs="Arial" w:eastAsia="Arial" w:hAnsi="Arial"/>
                  <w:sz w:val="12"/>
                  <w:szCs w:val="12"/>
                  <w:color w:val="0000EE"/>
                  <w:w w:val="90"/>
                </w:rPr>
                <w:t>Certification of Principal Financial Officer Pursuant to Rules 13a-14(a) and 15d-14(a) under the Securities Exchange Act of 1934, as Adopted Pursuant to Section 302 of the Sarbanes-Oxley Act of 2002</w:t>
              </w:r>
            </w:hyperlink>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700" w:type="dxa"/>
            <w:vAlign w:val="bottom"/>
            <w:tcBorders>
              <w:bottom w:val="single" w:sz="8" w:color="0000EE"/>
            </w:tcBorders>
            <w:gridSpan w:val="1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00" w:type="dxa"/>
            <w:vAlign w:val="bottom"/>
            <w:tcBorders>
              <w:bottom w:val="single" w:sz="8" w:color="0000EE"/>
            </w:tcBorders>
            <w:gridSpan w:val="8"/>
          </w:tcPr>
          <w:p>
            <w:pPr>
              <w:spacing w:after="0"/>
              <w:rPr>
                <w:rFonts w:ascii="Arial" w:cs="Arial" w:eastAsia="Arial" w:hAnsi="Arial"/>
                <w:sz w:val="12"/>
                <w:szCs w:val="12"/>
                <w:color w:val="0000EE"/>
                <w:w w:val="91"/>
              </w:rPr>
            </w:pPr>
            <w:hyperlink w:anchor="page166">
              <w:r>
                <w:rPr>
                  <w:rFonts w:ascii="Arial" w:cs="Arial" w:eastAsia="Arial" w:hAnsi="Arial"/>
                  <w:sz w:val="12"/>
                  <w:szCs w:val="12"/>
                  <w:color w:val="0000EE"/>
                  <w:w w:val="91"/>
                </w:rPr>
                <w:t>Certification of Principal Executive Officer Pursuant to 18 U.S.C. Section 1350, as Adopted Pursuant to Section 906 of the Sarbanes-Oxley Act of 2002</w:t>
              </w:r>
            </w:hyperlink>
          </w:p>
        </w:tc>
        <w:tc>
          <w:tcPr>
            <w:tcW w:w="24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2"/>
                <w:szCs w:val="12"/>
                <w:color w:val="auto"/>
              </w:rPr>
              <w:t>32.2*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20" w:type="dxa"/>
            <w:vAlign w:val="bottom"/>
            <w:gridSpan w:val="15"/>
          </w:tcPr>
          <w:p>
            <w:pPr>
              <w:spacing w:after="0"/>
              <w:rPr>
                <w:rFonts w:ascii="Arial" w:cs="Arial" w:eastAsia="Arial" w:hAnsi="Arial"/>
                <w:sz w:val="12"/>
                <w:szCs w:val="12"/>
                <w:color w:val="0000EE"/>
              </w:rPr>
            </w:pPr>
            <w:hyperlink w:anchor="page167">
              <w:r>
                <w:rPr>
                  <w:rFonts w:ascii="Arial" w:cs="Arial" w:eastAsia="Arial" w:hAnsi="Arial"/>
                  <w:sz w:val="12"/>
                  <w:szCs w:val="12"/>
                  <w:color w:val="0000EE"/>
                </w:rPr>
                <w:t>Certification of Principal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600" w:type="dxa"/>
            <w:vAlign w:val="bottom"/>
            <w:gridSpan w:val="3"/>
          </w:tcPr>
          <w:p>
            <w:pPr>
              <w:spacing w:after="0" w:line="20" w:lineRule="exact"/>
              <w:rPr>
                <w:sz w:val="1"/>
                <w:szCs w:val="1"/>
                <w:color w:val="auto"/>
              </w:rPr>
            </w:pPr>
          </w:p>
        </w:tc>
        <w:tc>
          <w:tcPr>
            <w:tcW w:w="7260" w:type="dxa"/>
            <w:vAlign w:val="bottom"/>
            <w:gridSpan w:val="7"/>
            <w:shd w:val="clear" w:color="auto" w:fill="0000EE"/>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600" w:type="dxa"/>
            <w:vAlign w:val="bottom"/>
            <w:gridSpan w:val="3"/>
          </w:tcPr>
          <w:p>
            <w:pPr>
              <w:spacing w:after="0"/>
              <w:rPr>
                <w:sz w:val="20"/>
                <w:szCs w:val="20"/>
                <w:color w:val="auto"/>
              </w:rPr>
            </w:pPr>
            <w:r>
              <w:rPr>
                <w:rFonts w:ascii="Arial" w:cs="Arial" w:eastAsia="Arial" w:hAnsi="Arial"/>
                <w:sz w:val="12"/>
                <w:szCs w:val="12"/>
                <w:color w:val="auto"/>
              </w:rPr>
              <w:t>101.INS</w:t>
            </w:r>
          </w:p>
        </w:tc>
        <w:tc>
          <w:tcPr>
            <w:tcW w:w="9720" w:type="dxa"/>
            <w:vAlign w:val="bottom"/>
            <w:gridSpan w:val="15"/>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101.SCH</w:t>
            </w:r>
          </w:p>
        </w:tc>
        <w:tc>
          <w:tcPr>
            <w:tcW w:w="9720" w:type="dxa"/>
            <w:vAlign w:val="bottom"/>
            <w:gridSpan w:val="15"/>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Schema Document</w:t>
            </w:r>
          </w:p>
        </w:tc>
        <w:tc>
          <w:tcPr>
            <w:tcW w:w="0" w:type="dxa"/>
            <w:vAlign w:val="bottom"/>
          </w:tcPr>
          <w:p>
            <w:pPr>
              <w:spacing w:after="0"/>
              <w:rPr>
                <w:sz w:val="1"/>
                <w:szCs w:val="1"/>
                <w:color w:val="auto"/>
              </w:rPr>
            </w:pP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101.CAL</w:t>
            </w:r>
          </w:p>
        </w:tc>
        <w:tc>
          <w:tcPr>
            <w:tcW w:w="9720" w:type="dxa"/>
            <w:vAlign w:val="bottom"/>
            <w:gridSpan w:val="15"/>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Calculation Linkbase Document</w:t>
            </w:r>
          </w:p>
        </w:tc>
        <w:tc>
          <w:tcPr>
            <w:tcW w:w="0" w:type="dxa"/>
            <w:vAlign w:val="bottom"/>
          </w:tcPr>
          <w:p>
            <w:pPr>
              <w:spacing w:after="0"/>
              <w:rPr>
                <w:sz w:val="1"/>
                <w:szCs w:val="1"/>
                <w:color w:val="auto"/>
              </w:rPr>
            </w:pP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101.DEF</w:t>
            </w:r>
          </w:p>
        </w:tc>
        <w:tc>
          <w:tcPr>
            <w:tcW w:w="9720" w:type="dxa"/>
            <w:vAlign w:val="bottom"/>
            <w:gridSpan w:val="15"/>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Definition Linkbase Document</w:t>
            </w:r>
          </w:p>
        </w:tc>
        <w:tc>
          <w:tcPr>
            <w:tcW w:w="0" w:type="dxa"/>
            <w:vAlign w:val="bottom"/>
          </w:tcPr>
          <w:p>
            <w:pPr>
              <w:spacing w:after="0"/>
              <w:rPr>
                <w:sz w:val="1"/>
                <w:szCs w:val="1"/>
                <w:color w:val="auto"/>
              </w:rPr>
            </w:pP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101.LAB</w:t>
            </w:r>
          </w:p>
        </w:tc>
        <w:tc>
          <w:tcPr>
            <w:tcW w:w="9720" w:type="dxa"/>
            <w:vAlign w:val="bottom"/>
            <w:gridSpan w:val="15"/>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Label Linkbase Document</w:t>
            </w:r>
          </w:p>
        </w:tc>
        <w:tc>
          <w:tcPr>
            <w:tcW w:w="0" w:type="dxa"/>
            <w:vAlign w:val="bottom"/>
          </w:tcPr>
          <w:p>
            <w:pPr>
              <w:spacing w:after="0"/>
              <w:rPr>
                <w:sz w:val="1"/>
                <w:szCs w:val="1"/>
                <w:color w:val="auto"/>
              </w:rPr>
            </w:pPr>
          </w:p>
        </w:tc>
      </w:tr>
      <w:tr>
        <w:trPr>
          <w:trHeight w:val="234"/>
        </w:trPr>
        <w:tc>
          <w:tcPr>
            <w:tcW w:w="1600" w:type="dxa"/>
            <w:vAlign w:val="bottom"/>
            <w:gridSpan w:val="3"/>
          </w:tcPr>
          <w:p>
            <w:pPr>
              <w:spacing w:after="0"/>
              <w:rPr>
                <w:sz w:val="20"/>
                <w:szCs w:val="20"/>
                <w:color w:val="auto"/>
              </w:rPr>
            </w:pPr>
            <w:r>
              <w:rPr>
                <w:rFonts w:ascii="Arial" w:cs="Arial" w:eastAsia="Arial" w:hAnsi="Arial"/>
                <w:sz w:val="12"/>
                <w:szCs w:val="12"/>
                <w:color w:val="auto"/>
              </w:rPr>
              <w:t>101.PRE</w:t>
            </w:r>
          </w:p>
        </w:tc>
        <w:tc>
          <w:tcPr>
            <w:tcW w:w="9720" w:type="dxa"/>
            <w:vAlign w:val="bottom"/>
            <w:gridSpan w:val="15"/>
          </w:tcPr>
          <w:p>
            <w:pPr>
              <w:spacing w:after="0"/>
              <w:rPr>
                <w:sz w:val="20"/>
                <w:szCs w:val="20"/>
                <w:color w:val="auto"/>
              </w:rPr>
            </w:pPr>
            <w:r>
              <w:rPr>
                <w:rFonts w:ascii="Arial" w:cs="Arial" w:eastAsia="Arial" w:hAnsi="Arial"/>
                <w:sz w:val="12"/>
                <w:szCs w:val="12"/>
                <w:color w:val="212529"/>
              </w:rPr>
              <w:t xml:space="preserve">Inline </w:t>
            </w:r>
            <w:r>
              <w:rPr>
                <w:rFonts w:ascii="Arial" w:cs="Arial" w:eastAsia="Arial" w:hAnsi="Arial"/>
                <w:sz w:val="12"/>
                <w:szCs w:val="12"/>
                <w:color w:val="000000"/>
              </w:rPr>
              <w:t>XBRL Taxonomy Extension Presentation Linkbase Document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Arial" w:cs="Arial" w:eastAsia="Arial" w:hAnsi="Arial"/>
                <w:sz w:val="12"/>
                <w:szCs w:val="12"/>
                <w:color w:val="auto"/>
              </w:rPr>
              <w:t>104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20" w:type="dxa"/>
            <w:vAlign w:val="bottom"/>
            <w:gridSpan w:val="15"/>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3487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151" w:lineRule="exact"/>
        <w:rPr>
          <w:sz w:val="20"/>
          <w:szCs w:val="20"/>
          <w:color w:val="auto"/>
        </w:rPr>
      </w:pPr>
    </w:p>
    <w:p>
      <w:pPr>
        <w:ind w:left="588" w:hanging="588"/>
        <w:spacing w:after="0"/>
        <w:tabs>
          <w:tab w:leader="none" w:pos="588" w:val="left"/>
        </w:tabs>
        <w:numPr>
          <w:ilvl w:val="0"/>
          <w:numId w:val="26"/>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33" w:lineRule="exact"/>
        <w:rPr>
          <w:sz w:val="20"/>
          <w:szCs w:val="20"/>
          <w:color w:val="auto"/>
        </w:rPr>
      </w:pPr>
    </w:p>
    <w:p>
      <w:pPr>
        <w:jc w:val="both"/>
        <w:ind w:left="588" w:right="440" w:hanging="588"/>
        <w:spacing w:after="0" w:line="263" w:lineRule="auto"/>
        <w:tabs>
          <w:tab w:leader="none" w:pos="5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Certain portions of this exhibit have been omitted pursuant to a request for confidential treatment granted by,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122"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8"/>
          </w:cols>
          <w:pgMar w:left="292" w:top="118" w:right="279" w:bottom="1440" w:gutter="0" w:footer="0" w:header="0"/>
        </w:sectPr>
      </w:pPr>
    </w:p>
    <w:bookmarkStart w:id="141" w:name="page142"/>
    <w:bookmarkEnd w:id="14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05" w:lineRule="exact"/>
        <w:rPr>
          <w:sz w:val="20"/>
          <w:szCs w:val="20"/>
          <w:color w:val="auto"/>
        </w:rPr>
      </w:pPr>
    </w:p>
    <w:p>
      <w:pPr>
        <w:ind w:left="588" w:hanging="588"/>
        <w:spacing w:after="0" w:line="328" w:lineRule="auto"/>
        <w:tabs>
          <w:tab w:leader="none" w:pos="588" w:val="left"/>
        </w:tabs>
        <w:numPr>
          <w:ilvl w:val="0"/>
          <w:numId w:val="28"/>
        </w:numPr>
        <w:rPr>
          <w:rFonts w:ascii="Arial" w:cs="Arial" w:eastAsia="Arial" w:hAnsi="Arial"/>
          <w:sz w:val="10"/>
          <w:szCs w:val="10"/>
          <w:color w:val="auto"/>
        </w:rPr>
      </w:pPr>
      <w:r>
        <w:rPr>
          <w:rFonts w:ascii="Arial" w:cs="Arial" w:eastAsia="Arial" w:hAnsi="Arial"/>
          <w:sz w:val="10"/>
          <w:szCs w:val="10"/>
          <w:color w:val="auto"/>
        </w:rPr>
        <w:t>Certain portions of this exhibit have been omitted pursuant to Item 601(b)(10)(iv) of Regulation S-K because such portions are both not material and would likely cause competitive harm to the Company if publicly disclosed. The Company agrees to furnish an unredacted copy of the exhibit to the Securities and Exchange Commission upon request but may request confidential treatment for any supplemental material so furnished.</w:t>
      </w:r>
    </w:p>
    <w:p>
      <w:pPr>
        <w:spacing w:after="0" w:line="1" w:lineRule="exact"/>
        <w:rPr>
          <w:sz w:val="20"/>
          <w:szCs w:val="20"/>
          <w:color w:val="auto"/>
        </w:rPr>
      </w:pPr>
    </w:p>
    <w:p>
      <w:pPr>
        <w:ind w:left="588" w:hanging="588"/>
        <w:spacing w:after="0"/>
        <w:tabs>
          <w:tab w:leader="none" w:pos="588"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Constitutes a management contract or compensation plan or arrangement.</w:t>
      </w:r>
    </w:p>
    <w:p>
      <w:pPr>
        <w:spacing w:after="0" w:line="200" w:lineRule="exact"/>
        <w:rPr>
          <w:sz w:val="20"/>
          <w:szCs w:val="20"/>
          <w:color w:val="auto"/>
        </w:rPr>
      </w:pPr>
    </w:p>
    <w:p>
      <w:pPr>
        <w:spacing w:after="0" w:line="3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247"/>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48"/>
          </w:cols>
          <w:pgMar w:left="292" w:top="131" w:right="559" w:bottom="1440" w:gutter="0" w:footer="0" w:header="0"/>
        </w:sectPr>
      </w:pPr>
    </w:p>
    <w:bookmarkStart w:id="142" w:name="page143"/>
    <w:bookmarkEnd w:id="1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1"/>
          <w:szCs w:val="11"/>
          <w:b w:val="1"/>
          <w:bCs w:val="1"/>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220" w:type="dxa"/>
            <w:vAlign w:val="bottom"/>
          </w:tcPr>
          <w:p>
            <w:pPr>
              <w:ind w:left="1920"/>
              <w:spacing w:after="0"/>
              <w:rPr>
                <w:sz w:val="20"/>
                <w:szCs w:val="20"/>
                <w:color w:val="auto"/>
              </w:rPr>
            </w:pPr>
            <w:r>
              <w:rPr>
                <w:rFonts w:ascii="Arial" w:cs="Arial" w:eastAsia="Arial" w:hAnsi="Arial"/>
                <w:sz w:val="12"/>
                <w:szCs w:val="12"/>
                <w:color w:val="auto"/>
              </w:rPr>
              <w:t>UNITI GROUP INC.</w:t>
            </w:r>
          </w:p>
        </w:tc>
      </w:tr>
      <w:tr>
        <w:trPr>
          <w:trHeight w:val="306"/>
        </w:trPr>
        <w:tc>
          <w:tcPr>
            <w:tcW w:w="3400" w:type="dxa"/>
            <w:vAlign w:val="bottom"/>
          </w:tcPr>
          <w:p>
            <w:pPr>
              <w:spacing w:after="0"/>
              <w:rPr>
                <w:sz w:val="20"/>
                <w:szCs w:val="20"/>
                <w:color w:val="auto"/>
              </w:rPr>
            </w:pPr>
            <w:r>
              <w:rPr>
                <w:rFonts w:ascii="Arial" w:cs="Arial" w:eastAsia="Arial" w:hAnsi="Arial"/>
                <w:sz w:val="12"/>
                <w:szCs w:val="12"/>
                <w:color w:val="auto"/>
              </w:rPr>
              <w:t>Date: March 12, 2020</w:t>
            </w:r>
          </w:p>
        </w:tc>
        <w:tc>
          <w:tcPr>
            <w:tcW w:w="2680" w:type="dxa"/>
            <w:vAlign w:val="bottom"/>
          </w:tcPr>
          <w:p>
            <w:pPr>
              <w:ind w:left="2360"/>
              <w:spacing w:after="0"/>
              <w:rPr>
                <w:sz w:val="20"/>
                <w:szCs w:val="20"/>
                <w:color w:val="auto"/>
              </w:rPr>
            </w:pPr>
            <w:r>
              <w:rPr>
                <w:rFonts w:ascii="Arial" w:cs="Arial" w:eastAsia="Arial" w:hAnsi="Arial"/>
                <w:sz w:val="12"/>
                <w:szCs w:val="12"/>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Kenneth A. Gunderman</w:t>
            </w:r>
          </w:p>
        </w:tc>
      </w:tr>
      <w:tr>
        <w:trPr>
          <w:trHeight w:val="138"/>
        </w:trPr>
        <w:tc>
          <w:tcPr>
            <w:tcW w:w="3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20" w:type="dxa"/>
            <w:vAlign w:val="bottom"/>
          </w:tcPr>
          <w:p>
            <w:pPr>
              <w:jc w:val="center"/>
              <w:spacing w:after="0"/>
              <w:rPr>
                <w:sz w:val="20"/>
                <w:szCs w:val="20"/>
                <w:color w:val="auto"/>
              </w:rPr>
            </w:pPr>
            <w:r>
              <w:rPr>
                <w:rFonts w:ascii="Arial" w:cs="Arial" w:eastAsia="Arial" w:hAnsi="Arial"/>
                <w:sz w:val="12"/>
                <w:szCs w:val="12"/>
                <w:b w:val="1"/>
                <w:bCs w:val="1"/>
                <w:color w:val="auto"/>
                <w:w w:val="92"/>
              </w:rPr>
              <w:t>Kenneth A. Gunderman</w:t>
            </w:r>
          </w:p>
        </w:tc>
      </w:tr>
      <w:tr>
        <w:trPr>
          <w:trHeight w:val="157"/>
        </w:trPr>
        <w:tc>
          <w:tcPr>
            <w:tcW w:w="34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220" w:type="dxa"/>
            <w:vAlign w:val="bottom"/>
          </w:tcPr>
          <w:p>
            <w:pPr>
              <w:jc w:val="center"/>
              <w:spacing w:after="0"/>
              <w:rPr>
                <w:sz w:val="20"/>
                <w:szCs w:val="20"/>
                <w:color w:val="auto"/>
              </w:rPr>
            </w:pPr>
            <w:r>
              <w:rPr>
                <w:rFonts w:ascii="Arial" w:cs="Arial" w:eastAsia="Arial" w:hAnsi="Arial"/>
                <w:sz w:val="12"/>
                <w:szCs w:val="12"/>
                <w:b w:val="1"/>
                <w:bCs w:val="1"/>
                <w:color w:val="auto"/>
                <w:w w:val="90"/>
              </w:rPr>
              <w:t>President and Chief Executive Officer</w:t>
            </w:r>
          </w:p>
        </w:tc>
      </w:tr>
    </w:tbl>
    <w:p>
      <w:pPr>
        <w:spacing w:after="0" w:line="1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920" w:type="dxa"/>
            <w:vAlign w:val="bottom"/>
          </w:tcPr>
          <w:p>
            <w:pPr>
              <w:ind w:left="1340"/>
              <w:spacing w:after="0"/>
              <w:rPr>
                <w:sz w:val="20"/>
                <w:szCs w:val="20"/>
                <w:color w:val="auto"/>
              </w:rPr>
            </w:pPr>
            <w:r>
              <w:rPr>
                <w:rFonts w:ascii="Arial" w:cs="Arial" w:eastAsia="Arial" w:hAnsi="Arial"/>
                <w:sz w:val="10"/>
                <w:szCs w:val="10"/>
                <w:b w:val="1"/>
                <w:bCs w:val="1"/>
                <w:color w:val="auto"/>
              </w:rPr>
              <w:t>Name</w:t>
            </w:r>
          </w:p>
        </w:tc>
        <w:tc>
          <w:tcPr>
            <w:tcW w:w="5000" w:type="dxa"/>
            <w:vAlign w:val="bottom"/>
          </w:tcPr>
          <w:p>
            <w:pPr>
              <w:ind w:left="2860"/>
              <w:spacing w:after="0"/>
              <w:rPr>
                <w:sz w:val="20"/>
                <w:szCs w:val="20"/>
                <w:color w:val="auto"/>
              </w:rPr>
            </w:pPr>
            <w:r>
              <w:rPr>
                <w:rFonts w:ascii="Arial" w:cs="Arial" w:eastAsia="Arial" w:hAnsi="Arial"/>
                <w:sz w:val="10"/>
                <w:szCs w:val="10"/>
                <w:b w:val="1"/>
                <w:bCs w:val="1"/>
                <w:color w:val="auto"/>
              </w:rPr>
              <w:t>Title</w:t>
            </w:r>
          </w:p>
        </w:tc>
        <w:tc>
          <w:tcPr>
            <w:tcW w:w="3380" w:type="dxa"/>
            <w:vAlign w:val="bottom"/>
          </w:tcPr>
          <w:p>
            <w:pPr>
              <w:jc w:val="center"/>
              <w:ind w:left="861"/>
              <w:spacing w:after="0"/>
              <w:rPr>
                <w:sz w:val="20"/>
                <w:szCs w:val="20"/>
                <w:color w:val="auto"/>
              </w:rPr>
            </w:pPr>
            <w:r>
              <w:rPr>
                <w:rFonts w:ascii="Arial" w:cs="Arial" w:eastAsia="Arial" w:hAnsi="Arial"/>
                <w:sz w:val="10"/>
                <w:szCs w:val="10"/>
                <w:b w:val="1"/>
                <w:bCs w:val="1"/>
                <w:color w:val="auto"/>
                <w:w w:val="82"/>
              </w:rPr>
              <w:t>Date</w:t>
            </w:r>
          </w:p>
        </w:tc>
      </w:tr>
      <w:tr>
        <w:trPr>
          <w:trHeight w:val="395"/>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Kenneth A. Gunderman</w:t>
            </w:r>
          </w:p>
        </w:tc>
        <w:tc>
          <w:tcPr>
            <w:tcW w:w="5000" w:type="dxa"/>
            <w:vAlign w:val="bottom"/>
          </w:tcPr>
          <w:p>
            <w:pPr>
              <w:ind w:left="100"/>
              <w:spacing w:after="0"/>
              <w:rPr>
                <w:sz w:val="20"/>
                <w:szCs w:val="20"/>
                <w:color w:val="auto"/>
              </w:rPr>
            </w:pPr>
            <w:r>
              <w:rPr>
                <w:rFonts w:ascii="Arial" w:cs="Arial" w:eastAsia="Arial" w:hAnsi="Arial"/>
                <w:sz w:val="12"/>
                <w:szCs w:val="12"/>
                <w:color w:val="auto"/>
              </w:rPr>
              <w:t>President and Chief Executive Officer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Kenneth A. Gunderman</w:t>
            </w:r>
          </w:p>
        </w:tc>
        <w:tc>
          <w:tcPr>
            <w:tcW w:w="5000" w:type="dxa"/>
            <w:vAlign w:val="bottom"/>
          </w:tcPr>
          <w:p>
            <w:pPr>
              <w:ind w:left="100"/>
              <w:spacing w:after="0"/>
              <w:rPr>
                <w:sz w:val="20"/>
                <w:szCs w:val="20"/>
                <w:color w:val="auto"/>
              </w:rPr>
            </w:pPr>
            <w:r>
              <w:rPr>
                <w:rFonts w:ascii="Arial" w:cs="Arial" w:eastAsia="Arial" w:hAnsi="Arial"/>
                <w:sz w:val="12"/>
                <w:szCs w:val="12"/>
                <w:i w:val="1"/>
                <w:iCs w:val="1"/>
                <w:color w:val="auto"/>
              </w:rPr>
              <w:t>(Principal Executive Officer)</w:t>
            </w:r>
          </w:p>
        </w:tc>
        <w:tc>
          <w:tcPr>
            <w:tcW w:w="3380" w:type="dxa"/>
            <w:vAlign w:val="bottom"/>
          </w:tcPr>
          <w:p>
            <w:pPr>
              <w:spacing w:after="0"/>
              <w:rPr>
                <w:sz w:val="13"/>
                <w:szCs w:val="13"/>
                <w:color w:val="auto"/>
              </w:rPr>
            </w:pPr>
          </w:p>
        </w:tc>
      </w:tr>
      <w:tr>
        <w:trPr>
          <w:trHeight w:val="422"/>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Mark A. Wallace</w:t>
            </w:r>
          </w:p>
        </w:tc>
        <w:tc>
          <w:tcPr>
            <w:tcW w:w="5000" w:type="dxa"/>
            <w:vAlign w:val="bottom"/>
          </w:tcPr>
          <w:p>
            <w:pPr>
              <w:ind w:left="100"/>
              <w:spacing w:after="0"/>
              <w:rPr>
                <w:sz w:val="20"/>
                <w:szCs w:val="20"/>
                <w:color w:val="auto"/>
              </w:rPr>
            </w:pPr>
            <w:r>
              <w:rPr>
                <w:rFonts w:ascii="Arial" w:cs="Arial" w:eastAsia="Arial" w:hAnsi="Arial"/>
                <w:sz w:val="12"/>
                <w:szCs w:val="12"/>
                <w:color w:val="auto"/>
              </w:rPr>
              <w:t>Executive Vice President – Chief Financial Officer and Treasurer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Mark A. Wallace</w:t>
            </w:r>
          </w:p>
        </w:tc>
        <w:tc>
          <w:tcPr>
            <w:tcW w:w="5000" w:type="dxa"/>
            <w:vAlign w:val="bottom"/>
          </w:tcPr>
          <w:p>
            <w:pPr>
              <w:ind w:left="100"/>
              <w:spacing w:after="0"/>
              <w:rPr>
                <w:sz w:val="20"/>
                <w:szCs w:val="20"/>
                <w:color w:val="auto"/>
              </w:rPr>
            </w:pPr>
            <w:r>
              <w:rPr>
                <w:rFonts w:ascii="Arial" w:cs="Arial" w:eastAsia="Arial" w:hAnsi="Arial"/>
                <w:sz w:val="12"/>
                <w:szCs w:val="12"/>
                <w:i w:val="1"/>
                <w:iCs w:val="1"/>
                <w:color w:val="auto"/>
              </w:rPr>
              <w:t>(Principal Financial Officer)</w:t>
            </w:r>
          </w:p>
        </w:tc>
        <w:tc>
          <w:tcPr>
            <w:tcW w:w="3380" w:type="dxa"/>
            <w:vAlign w:val="bottom"/>
          </w:tcPr>
          <w:p>
            <w:pPr>
              <w:spacing w:after="0"/>
              <w:rPr>
                <w:sz w:val="13"/>
                <w:szCs w:val="13"/>
                <w:color w:val="auto"/>
              </w:rPr>
            </w:pPr>
          </w:p>
        </w:tc>
      </w:tr>
      <w:tr>
        <w:trPr>
          <w:trHeight w:val="314"/>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Blake Schuhmacher</w:t>
            </w:r>
          </w:p>
        </w:tc>
        <w:tc>
          <w:tcPr>
            <w:tcW w:w="5000" w:type="dxa"/>
            <w:vAlign w:val="bottom"/>
          </w:tcPr>
          <w:p>
            <w:pPr>
              <w:ind w:left="100"/>
              <w:spacing w:after="0"/>
              <w:rPr>
                <w:sz w:val="20"/>
                <w:szCs w:val="20"/>
                <w:color w:val="auto"/>
              </w:rPr>
            </w:pPr>
            <w:r>
              <w:rPr>
                <w:rFonts w:ascii="Arial" w:cs="Arial" w:eastAsia="Arial" w:hAnsi="Arial"/>
                <w:sz w:val="12"/>
                <w:szCs w:val="12"/>
                <w:color w:val="auto"/>
              </w:rPr>
              <w:t>Senior Vice President – Chief Accounting Officer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Blake Schuhmacher</w:t>
            </w:r>
          </w:p>
        </w:tc>
        <w:tc>
          <w:tcPr>
            <w:tcW w:w="5000" w:type="dxa"/>
            <w:vAlign w:val="bottom"/>
          </w:tcPr>
          <w:p>
            <w:pPr>
              <w:ind w:left="100"/>
              <w:spacing w:after="0"/>
              <w:rPr>
                <w:sz w:val="20"/>
                <w:szCs w:val="20"/>
                <w:color w:val="auto"/>
              </w:rPr>
            </w:pPr>
            <w:r>
              <w:rPr>
                <w:rFonts w:ascii="Arial" w:cs="Arial" w:eastAsia="Arial" w:hAnsi="Arial"/>
                <w:sz w:val="12"/>
                <w:szCs w:val="12"/>
                <w:i w:val="1"/>
                <w:iCs w:val="1"/>
                <w:color w:val="auto"/>
              </w:rPr>
              <w:t>(Principal Accounting Officer)</w:t>
            </w:r>
          </w:p>
        </w:tc>
        <w:tc>
          <w:tcPr>
            <w:tcW w:w="3380" w:type="dxa"/>
            <w:vAlign w:val="bottom"/>
          </w:tcPr>
          <w:p>
            <w:pPr>
              <w:spacing w:after="0"/>
              <w:rPr>
                <w:sz w:val="13"/>
                <w:szCs w:val="13"/>
                <w:color w:val="auto"/>
              </w:rPr>
            </w:pPr>
          </w:p>
        </w:tc>
      </w:tr>
      <w:tr>
        <w:trPr>
          <w:trHeight w:val="314"/>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Francis X. Frantz</w:t>
            </w:r>
          </w:p>
        </w:tc>
        <w:tc>
          <w:tcPr>
            <w:tcW w:w="5000" w:type="dxa"/>
            <w:vAlign w:val="bottom"/>
          </w:tcPr>
          <w:p>
            <w:pPr>
              <w:ind w:left="100"/>
              <w:spacing w:after="0"/>
              <w:rPr>
                <w:sz w:val="20"/>
                <w:szCs w:val="20"/>
                <w:color w:val="auto"/>
              </w:rPr>
            </w:pPr>
            <w:r>
              <w:rPr>
                <w:rFonts w:ascii="Arial" w:cs="Arial" w:eastAsia="Arial" w:hAnsi="Arial"/>
                <w:sz w:val="12"/>
                <w:szCs w:val="12"/>
                <w:color w:val="auto"/>
              </w:rPr>
              <w:t>Chairman and Director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Francis X. Frantz</w:t>
            </w:r>
          </w:p>
        </w:tc>
        <w:tc>
          <w:tcPr>
            <w:tcW w:w="500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368"/>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Jennifer S. Banner</w:t>
            </w:r>
          </w:p>
        </w:tc>
        <w:tc>
          <w:tcPr>
            <w:tcW w:w="500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Jennifer S. Banner</w:t>
            </w:r>
          </w:p>
        </w:tc>
        <w:tc>
          <w:tcPr>
            <w:tcW w:w="500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377"/>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Scott G. Bruce</w:t>
            </w:r>
          </w:p>
        </w:tc>
        <w:tc>
          <w:tcPr>
            <w:tcW w:w="500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Scott G. Bruce</w:t>
            </w:r>
          </w:p>
        </w:tc>
        <w:tc>
          <w:tcPr>
            <w:tcW w:w="500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368"/>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Carmen Perez-Carlton</w:t>
            </w:r>
          </w:p>
        </w:tc>
        <w:tc>
          <w:tcPr>
            <w:tcW w:w="500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52"/>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Carmen Perez-Carlton</w:t>
            </w:r>
          </w:p>
        </w:tc>
        <w:tc>
          <w:tcPr>
            <w:tcW w:w="500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368"/>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L. Solomon</w:t>
            </w:r>
          </w:p>
        </w:tc>
        <w:tc>
          <w:tcPr>
            <w:tcW w:w="5000" w:type="dxa"/>
            <w:vAlign w:val="bottom"/>
          </w:tcPr>
          <w:p>
            <w:pPr>
              <w:ind w:left="100"/>
              <w:spacing w:after="0"/>
              <w:rPr>
                <w:sz w:val="20"/>
                <w:szCs w:val="20"/>
                <w:color w:val="auto"/>
              </w:rPr>
            </w:pPr>
            <w:r>
              <w:rPr>
                <w:rFonts w:ascii="Arial" w:cs="Arial" w:eastAsia="Arial" w:hAnsi="Arial"/>
                <w:sz w:val="12"/>
                <w:szCs w:val="12"/>
                <w:color w:val="auto"/>
              </w:rPr>
              <w:t>Director</w:t>
            </w:r>
          </w:p>
        </w:tc>
        <w:tc>
          <w:tcPr>
            <w:tcW w:w="3380" w:type="dxa"/>
            <w:vAlign w:val="bottom"/>
          </w:tcPr>
          <w:p>
            <w:pPr>
              <w:jc w:val="center"/>
              <w:ind w:left="881"/>
              <w:spacing w:after="0"/>
              <w:rPr>
                <w:sz w:val="20"/>
                <w:szCs w:val="20"/>
                <w:color w:val="auto"/>
              </w:rPr>
            </w:pPr>
            <w:r>
              <w:rPr>
                <w:rFonts w:ascii="Arial" w:cs="Arial" w:eastAsia="Arial" w:hAnsi="Arial"/>
                <w:sz w:val="12"/>
                <w:szCs w:val="12"/>
                <w:color w:val="auto"/>
                <w:w w:val="91"/>
              </w:rPr>
              <w:t>March 12, 2020</w:t>
            </w:r>
          </w:p>
        </w:tc>
      </w:tr>
      <w:tr>
        <w:trPr>
          <w:trHeight w:val="143"/>
        </w:trPr>
        <w:tc>
          <w:tcPr>
            <w:tcW w:w="2920" w:type="dxa"/>
            <w:vAlign w:val="bottom"/>
          </w:tcPr>
          <w:p>
            <w:pPr>
              <w:ind w:left="140"/>
              <w:spacing w:after="0"/>
              <w:rPr>
                <w:sz w:val="20"/>
                <w:szCs w:val="20"/>
                <w:color w:val="auto"/>
              </w:rPr>
            </w:pPr>
            <w:r>
              <w:rPr>
                <w:rFonts w:ascii="Arial" w:cs="Arial" w:eastAsia="Arial" w:hAnsi="Arial"/>
                <w:sz w:val="10"/>
                <w:szCs w:val="10"/>
                <w:b w:val="1"/>
                <w:bCs w:val="1"/>
                <w:color w:val="auto"/>
              </w:rPr>
              <w:t>David L. Solomon</w:t>
            </w:r>
          </w:p>
        </w:tc>
        <w:tc>
          <w:tcPr>
            <w:tcW w:w="50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773"/>
        </w:trPr>
        <w:tc>
          <w:tcPr>
            <w:tcW w:w="2920" w:type="dxa"/>
            <w:vAlign w:val="bottom"/>
          </w:tcPr>
          <w:p>
            <w:pPr>
              <w:spacing w:after="0"/>
              <w:rPr>
                <w:sz w:val="24"/>
                <w:szCs w:val="24"/>
                <w:color w:val="auto"/>
              </w:rPr>
            </w:pPr>
          </w:p>
        </w:tc>
        <w:tc>
          <w:tcPr>
            <w:tcW w:w="5000" w:type="dxa"/>
            <w:vAlign w:val="bottom"/>
          </w:tcPr>
          <w:p>
            <w:pPr>
              <w:ind w:left="2640"/>
              <w:spacing w:after="0"/>
              <w:rPr>
                <w:sz w:val="20"/>
                <w:szCs w:val="20"/>
                <w:color w:val="auto"/>
              </w:rPr>
            </w:pPr>
            <w:r>
              <w:rPr>
                <w:rFonts w:ascii="Arial" w:cs="Arial" w:eastAsia="Arial" w:hAnsi="Arial"/>
                <w:sz w:val="12"/>
                <w:szCs w:val="12"/>
                <w:color w:val="auto"/>
              </w:rPr>
              <w:t>143</w:t>
            </w:r>
          </w:p>
        </w:tc>
        <w:tc>
          <w:tcPr>
            <w:tcW w:w="3380" w:type="dxa"/>
            <w:vAlign w:val="bottom"/>
          </w:tcPr>
          <w:p>
            <w:pPr>
              <w:spacing w:after="0"/>
              <w:rPr>
                <w:sz w:val="24"/>
                <w:szCs w:val="24"/>
                <w:color w:val="auto"/>
              </w:rPr>
            </w:pPr>
          </w:p>
        </w:tc>
      </w:tr>
      <w:tr>
        <w:trPr>
          <w:trHeight w:val="72"/>
        </w:trPr>
        <w:tc>
          <w:tcPr>
            <w:tcW w:w="2920" w:type="dxa"/>
            <w:vAlign w:val="bottom"/>
            <w:tcBorders>
              <w:bottom w:val="single" w:sz="8" w:color="9A9A9A"/>
            </w:tcBorders>
          </w:tcPr>
          <w:p>
            <w:pPr>
              <w:spacing w:after="0"/>
              <w:rPr>
                <w:sz w:val="6"/>
                <w:szCs w:val="6"/>
                <w:color w:val="auto"/>
              </w:rPr>
            </w:pPr>
          </w:p>
        </w:tc>
        <w:tc>
          <w:tcPr>
            <w:tcW w:w="5000" w:type="dxa"/>
            <w:vAlign w:val="bottom"/>
            <w:tcBorders>
              <w:bottom w:val="single" w:sz="8" w:color="9A9A9A"/>
            </w:tcBorders>
          </w:tcPr>
          <w:p>
            <w:pPr>
              <w:spacing w:after="0"/>
              <w:rPr>
                <w:sz w:val="6"/>
                <w:szCs w:val="6"/>
                <w:color w:val="auto"/>
              </w:rPr>
            </w:pPr>
          </w:p>
        </w:tc>
        <w:tc>
          <w:tcPr>
            <w:tcW w:w="33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3" w:name="page144"/>
    <w:bookmarkEnd w:id="1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60" w:type="dxa"/>
            <w:vAlign w:val="bottom"/>
            <w:gridSpan w:val="2"/>
          </w:tcPr>
          <w:p>
            <w:pPr>
              <w:spacing w:after="0"/>
              <w:rPr>
                <w:sz w:val="20"/>
                <w:szCs w:val="20"/>
                <w:color w:val="auto"/>
              </w:rPr>
            </w:pPr>
            <w:r>
              <w:rPr>
                <w:rFonts w:ascii="Arial" w:cs="Arial" w:eastAsia="Arial" w:hAnsi="Arial"/>
                <w:sz w:val="10"/>
                <w:szCs w:val="10"/>
                <w:color w:val="auto"/>
              </w:rPr>
              <w:t>(Thousands, except par value)</w:t>
            </w:r>
          </w:p>
        </w:tc>
        <w:tc>
          <w:tcPr>
            <w:tcW w:w="360" w:type="dxa"/>
            <w:vAlign w:val="bottom"/>
          </w:tcPr>
          <w:p>
            <w:pPr>
              <w:spacing w:after="0"/>
              <w:rPr>
                <w:sz w:val="10"/>
                <w:szCs w:val="10"/>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December 31, 2019</w:t>
            </w:r>
          </w:p>
        </w:tc>
        <w:tc>
          <w:tcPr>
            <w:tcW w:w="340" w:type="dxa"/>
            <w:vAlign w:val="bottom"/>
          </w:tcPr>
          <w:p>
            <w:pPr>
              <w:spacing w:after="0"/>
              <w:rPr>
                <w:sz w:val="10"/>
                <w:szCs w:val="10"/>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42"/>
        </w:trPr>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Cash and cash equivalents</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43,423</w:t>
            </w:r>
          </w:p>
        </w:tc>
        <w:tc>
          <w:tcPr>
            <w:tcW w:w="26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36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291</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b w:val="1"/>
                <w:bCs w:val="1"/>
                <w:color w:val="auto"/>
              </w:rPr>
              <w:t>Total Assets</w:t>
            </w: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43,714</w:t>
            </w:r>
          </w:p>
        </w:tc>
        <w:tc>
          <w:tcPr>
            <w:tcW w:w="2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Accrued other liabilities</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Dividends payable</w:t>
            </w:r>
          </w:p>
        </w:tc>
        <w:tc>
          <w:tcPr>
            <w:tcW w:w="36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42,519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111,265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Cash distributions and losses in excess of investments in consolidated subsidiaries</w:t>
            </w:r>
          </w:p>
        </w:tc>
        <w:tc>
          <w:tcPr>
            <w:tcW w:w="36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1,567,499</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1,388,036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Total liabilities</w:t>
            </w:r>
          </w:p>
        </w:tc>
        <w:tc>
          <w:tcPr>
            <w:tcW w:w="3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1,610,582</w:t>
            </w:r>
          </w:p>
        </w:tc>
        <w:tc>
          <w:tcPr>
            <w:tcW w:w="2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1,499,331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60" w:type="dxa"/>
            <w:vAlign w:val="bottom"/>
            <w:gridSpan w:val="2"/>
          </w:tcPr>
          <w:p>
            <w:pPr>
              <w:spacing w:after="0"/>
              <w:rPr>
                <w:sz w:val="20"/>
                <w:szCs w:val="20"/>
                <w:color w:val="auto"/>
              </w:rPr>
            </w:pPr>
            <w:r>
              <w:rPr>
                <w:rFonts w:ascii="Arial" w:cs="Arial" w:eastAsia="Arial" w:hAnsi="Arial"/>
                <w:sz w:val="12"/>
                <w:szCs w:val="12"/>
                <w:b w:val="1"/>
                <w:bCs w:val="1"/>
                <w:color w:val="auto"/>
                <w:w w:val="93"/>
              </w:rPr>
              <w:t>Convertible Preferred Stock</w:t>
            </w:r>
            <w:r>
              <w:rPr>
                <w:rFonts w:ascii="Arial" w:cs="Arial" w:eastAsia="Arial" w:hAnsi="Arial"/>
                <w:sz w:val="12"/>
                <w:szCs w:val="12"/>
                <w:color w:val="auto"/>
                <w:w w:val="93"/>
              </w:rPr>
              <w:t>, Series A, $0.0001</w:t>
            </w:r>
            <w:r>
              <w:rPr>
                <w:rFonts w:ascii="Arial" w:cs="Arial" w:eastAsia="Arial" w:hAnsi="Arial"/>
                <w:sz w:val="12"/>
                <w:szCs w:val="12"/>
                <w:b w:val="1"/>
                <w:bCs w:val="1"/>
                <w:color w:val="auto"/>
                <w:w w:val="93"/>
              </w:rPr>
              <w:t xml:space="preserve"> par value, 88 shares authorized, no shares at December 31, 2019 and 88 shares at</w:t>
            </w: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December 31, 2018, $87,500 liquidation value</w:t>
            </w:r>
          </w:p>
        </w:tc>
        <w:tc>
          <w:tcPr>
            <w:tcW w:w="36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86,508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Shareholders' Deficit:</w:t>
            </w: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Preferred stock, $0.0001 par value, 50,000 shares authorized, no shares issued and outstanding</w:t>
            </w:r>
          </w:p>
        </w:tc>
        <w:tc>
          <w:tcPr>
            <w:tcW w:w="36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60" w:type="dxa"/>
            <w:vAlign w:val="bottom"/>
            <w:gridSpan w:val="2"/>
          </w:tcPr>
          <w:p>
            <w:pPr>
              <w:ind w:left="160"/>
              <w:spacing w:after="0"/>
              <w:rPr>
                <w:sz w:val="20"/>
                <w:szCs w:val="20"/>
                <w:color w:val="auto"/>
              </w:rPr>
            </w:pPr>
            <w:r>
              <w:rPr>
                <w:rFonts w:ascii="Arial" w:cs="Arial" w:eastAsia="Arial" w:hAnsi="Arial"/>
                <w:sz w:val="12"/>
                <w:szCs w:val="12"/>
                <w:color w:val="auto"/>
                <w:w w:val="95"/>
              </w:rPr>
              <w:t>Common stock, $0.0001 par value, 500,000 shares authorized, issued and outstanding:  192,142 shares at December 31, 2019 and</w:t>
            </w: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180,536 at December 31, 2018</w:t>
            </w:r>
          </w:p>
        </w:tc>
        <w:tc>
          <w:tcPr>
            <w:tcW w:w="36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36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951,295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757,517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tcPr>
          <w:p>
            <w:pPr>
              <w:ind w:left="160"/>
              <w:spacing w:after="0"/>
              <w:rPr>
                <w:sz w:val="20"/>
                <w:szCs w:val="20"/>
                <w:color w:val="auto"/>
              </w:rPr>
            </w:pPr>
            <w:r>
              <w:rPr>
                <w:rFonts w:ascii="Arial" w:cs="Arial" w:eastAsia="Arial" w:hAnsi="Arial"/>
                <w:sz w:val="12"/>
                <w:szCs w:val="12"/>
                <w:color w:val="auto"/>
              </w:rPr>
              <w:t>Accumulated other comprehensive (loss) income</w:t>
            </w:r>
          </w:p>
        </w:tc>
        <w:tc>
          <w:tcPr>
            <w:tcW w:w="360" w:type="dxa"/>
            <w:vAlign w:val="bottom"/>
          </w:tcPr>
          <w:p>
            <w:pPr>
              <w:spacing w:after="0"/>
              <w:rPr>
                <w:sz w:val="13"/>
                <w:szCs w:val="13"/>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(23,442)</w:t>
            </w:r>
          </w:p>
        </w:tc>
        <w:tc>
          <w:tcPr>
            <w:tcW w:w="3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30,105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Distributions in excess of accumulated earnings</w:t>
            </w:r>
          </w:p>
        </w:tc>
        <w:tc>
          <w:tcPr>
            <w:tcW w:w="360" w:type="dxa"/>
            <w:vAlign w:val="bottom"/>
            <w:shd w:val="clear" w:color="auto" w:fill="CFF0FC"/>
          </w:tcPr>
          <w:p>
            <w:pPr>
              <w:spacing w:after="0"/>
              <w:rPr>
                <w:sz w:val="13"/>
                <w:szCs w:val="13"/>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(2,494,740)</w:t>
            </w:r>
          </w:p>
        </w:tc>
        <w:tc>
          <w:tcPr>
            <w:tcW w:w="34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(2,373,218)</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320"/>
              <w:spacing w:after="0"/>
              <w:rPr>
                <w:sz w:val="20"/>
                <w:szCs w:val="20"/>
                <w:color w:val="auto"/>
              </w:rPr>
            </w:pPr>
            <w:r>
              <w:rPr>
                <w:rFonts w:ascii="Arial" w:cs="Arial" w:eastAsia="Arial" w:hAnsi="Arial"/>
                <w:sz w:val="12"/>
                <w:szCs w:val="12"/>
                <w:color w:val="auto"/>
              </w:rPr>
              <w:t>Total Uniti shareholders' deficit</w:t>
            </w:r>
          </w:p>
        </w:tc>
        <w:tc>
          <w:tcPr>
            <w:tcW w:w="3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(1,566,868)</w:t>
            </w:r>
          </w:p>
        </w:tc>
        <w:tc>
          <w:tcPr>
            <w:tcW w:w="340" w:type="dxa"/>
            <w:vAlign w:val="bottom"/>
          </w:tcPr>
          <w:p>
            <w:pPr>
              <w:spacing w:after="0"/>
              <w:rPr>
                <w:sz w:val="12"/>
                <w:szCs w:val="12"/>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2"/>
                <w:szCs w:val="12"/>
                <w:color w:val="auto"/>
              </w:rPr>
              <w:t>(1,585,578)</w:t>
            </w:r>
          </w:p>
        </w:tc>
        <w:tc>
          <w:tcPr>
            <w:tcW w:w="0" w:type="dxa"/>
            <w:vAlign w:val="bottom"/>
          </w:tcPr>
          <w:p>
            <w:pPr>
              <w:spacing w:after="0"/>
              <w:rPr>
                <w:sz w:val="1"/>
                <w:szCs w:val="1"/>
                <w:color w:val="auto"/>
              </w:rPr>
            </w:pPr>
          </w:p>
        </w:tc>
      </w:tr>
      <w:tr>
        <w:trPr>
          <w:trHeight w:val="149"/>
        </w:trPr>
        <w:tc>
          <w:tcPr>
            <w:tcW w:w="6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Total Liabilities, Convertible Preferred Stock, and Shareholders' Deficit</w:t>
            </w:r>
          </w:p>
        </w:tc>
        <w:tc>
          <w:tcPr>
            <w:tcW w:w="360" w:type="dxa"/>
            <w:vAlign w:val="bottom"/>
            <w:tcBorders>
              <w:top w:val="single" w:sz="8" w:color="auto"/>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43,714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4" w:name="page145"/>
    <w:bookmarkEnd w:id="1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Comprehensive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4"/>
              </w:rPr>
              <w:t>Year Ended December 31,</w:t>
            </w: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682"/>
              <w:spacing w:after="0"/>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Costs and Expenses:</w:t>
            </w: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Interest expense</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119,702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General and administrative expense</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Transaction related costs</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2,138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Other expense</w:t>
            </w: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Total costs and expenses</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2,174</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128,995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Operating loss</w:t>
            </w:r>
          </w:p>
        </w:tc>
        <w:tc>
          <w:tcPr>
            <w:tcW w:w="4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(2,174)</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(22)</w:t>
            </w:r>
          </w:p>
        </w:tc>
        <w:tc>
          <w:tcPr>
            <w:tcW w:w="4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(128,995)</w:t>
            </w:r>
          </w:p>
        </w:tc>
        <w:tc>
          <w:tcPr>
            <w:tcW w:w="0" w:type="dxa"/>
            <w:vAlign w:val="bottom"/>
          </w:tcPr>
          <w:p>
            <w:pPr>
              <w:spacing w:after="0"/>
              <w:rPr>
                <w:sz w:val="1"/>
                <w:szCs w:val="1"/>
                <w:color w:val="auto"/>
              </w:rPr>
            </w:pPr>
          </w:p>
        </w:tc>
      </w:tr>
      <w:tr>
        <w:trPr>
          <w:trHeight w:val="15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Earnings from consolidated subsidiaries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24,730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16,209</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119,556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(loss) before income taxes</w:t>
            </w: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22,556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16,187</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(9,439)</w:t>
            </w:r>
          </w:p>
        </w:tc>
        <w:tc>
          <w:tcPr>
            <w:tcW w:w="0" w:type="dxa"/>
            <w:vAlign w:val="bottom"/>
          </w:tcPr>
          <w:p>
            <w:pPr>
              <w:spacing w:after="0"/>
              <w:rPr>
                <w:sz w:val="1"/>
                <w:szCs w:val="1"/>
                <w:color w:val="auto"/>
              </w:rPr>
            </w:pPr>
          </w:p>
        </w:tc>
      </w:tr>
      <w:tr>
        <w:trPr>
          <w:trHeight w:val="15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Income tax expense</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11,974</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 attributable to shareholders</w:t>
            </w: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10,582</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16,187</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(9,439)</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Comprehensive (loss) income attributable to shareholders</w:t>
            </w: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(42,639)</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38,472</w:t>
            </w:r>
          </w:p>
        </w:tc>
        <w:tc>
          <w:tcPr>
            <w:tcW w:w="240" w:type="dxa"/>
            <w:vAlign w:val="bottom"/>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4,751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5" w:name="page146"/>
    <w:bookmarkEnd w:id="1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94"/>
              </w:rPr>
              <w:t>Year Ended December 31,</w:t>
            </w: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5720" w:type="dxa"/>
            <w:vAlign w:val="bottom"/>
            <w:gridSpan w:val="2"/>
          </w:tcPr>
          <w:p>
            <w:pPr>
              <w:spacing w:after="0"/>
              <w:rPr>
                <w:sz w:val="20"/>
                <w:szCs w:val="20"/>
                <w:color w:val="auto"/>
              </w:rPr>
            </w:pPr>
            <w:r>
              <w:rPr>
                <w:rFonts w:ascii="Arial" w:cs="Arial" w:eastAsia="Arial" w:hAnsi="Arial"/>
                <w:sz w:val="10"/>
                <w:szCs w:val="10"/>
                <w:color w:val="auto"/>
              </w:rPr>
              <w:t>(Thousands)</w:t>
            </w:r>
          </w:p>
        </w:tc>
        <w:tc>
          <w:tcPr>
            <w:tcW w:w="40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681"/>
              <w:spacing w:after="0"/>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681"/>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3"/>
                <w:szCs w:val="13"/>
                <w:color w:val="auto"/>
              </w:rPr>
            </w:pPr>
          </w:p>
        </w:tc>
      </w:tr>
      <w:tr>
        <w:trPr>
          <w:trHeight w:val="142"/>
        </w:trPr>
        <w:tc>
          <w:tcPr>
            <w:tcW w:w="5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720" w:type="dxa"/>
            <w:vAlign w:val="bottom"/>
            <w:gridSpan w:val="2"/>
          </w:tcPr>
          <w:p>
            <w:pPr>
              <w:spacing w:after="0"/>
              <w:rPr>
                <w:sz w:val="20"/>
                <w:szCs w:val="20"/>
                <w:color w:val="auto"/>
              </w:rPr>
            </w:pPr>
            <w:r>
              <w:rPr>
                <w:rFonts w:ascii="Arial" w:cs="Arial" w:eastAsia="Arial" w:hAnsi="Arial"/>
                <w:sz w:val="12"/>
                <w:szCs w:val="12"/>
                <w:color w:val="auto"/>
              </w:rPr>
              <w:t>Net cash provided by (used in) operating activities</w:t>
            </w:r>
          </w:p>
        </w:tc>
        <w:tc>
          <w:tcPr>
            <w:tcW w:w="400" w:type="dxa"/>
            <w:vAlign w:val="bottom"/>
          </w:tcPr>
          <w:p>
            <w:pPr>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199,572</w:t>
            </w:r>
          </w:p>
        </w:tc>
        <w:tc>
          <w:tcPr>
            <w:tcW w:w="2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425,771</w:t>
            </w:r>
          </w:p>
        </w:tc>
        <w:tc>
          <w:tcPr>
            <w:tcW w:w="2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(602,530)</w:t>
            </w:r>
          </w:p>
        </w:tc>
      </w:tr>
      <w:tr>
        <w:trPr>
          <w:trHeight w:val="142"/>
        </w:trPr>
        <w:tc>
          <w:tcPr>
            <w:tcW w:w="56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720" w:type="dxa"/>
            <w:vAlign w:val="bottom"/>
            <w:gridSpan w:val="2"/>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Proceeds from sale of real estate, net of cash</w:t>
            </w: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2,488</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5720" w:type="dxa"/>
            <w:vAlign w:val="bottom"/>
            <w:gridSpan w:val="2"/>
          </w:tcPr>
          <w:p>
            <w:pPr>
              <w:spacing w:after="0"/>
              <w:rPr>
                <w:sz w:val="20"/>
                <w:szCs w:val="20"/>
                <w:color w:val="auto"/>
              </w:rPr>
            </w:pPr>
            <w:r>
              <w:rPr>
                <w:rFonts w:ascii="Arial" w:cs="Arial" w:eastAsia="Arial" w:hAnsi="Arial"/>
                <w:sz w:val="12"/>
                <w:szCs w:val="12"/>
                <w:color w:val="auto"/>
              </w:rPr>
              <w:t>Net cash provided by (used in) investing activities</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2,488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53"/>
        </w:trPr>
        <w:tc>
          <w:tcPr>
            <w:tcW w:w="5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720" w:type="dxa"/>
            <w:vAlign w:val="bottom"/>
            <w:gridSpan w:val="2"/>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Principal payment on debt</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(5,270)</w:t>
            </w: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Dividends paid</w:t>
            </w:r>
          </w:p>
        </w:tc>
        <w:tc>
          <w:tcPr>
            <w:tcW w:w="40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(138,731)</w:t>
            </w:r>
          </w:p>
        </w:tc>
        <w:tc>
          <w:tcPr>
            <w:tcW w:w="180" w:type="dxa"/>
            <w:vAlign w:val="bottom"/>
          </w:tcPr>
          <w:p>
            <w:pPr>
              <w:spacing w:after="0"/>
              <w:rPr>
                <w:sz w:val="13"/>
                <w:szCs w:val="13"/>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(426,094)</w:t>
            </w:r>
          </w:p>
        </w:tc>
        <w:tc>
          <w:tcPr>
            <w:tcW w:w="4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(400,210)</w:t>
            </w: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Proceeds from issuance of Notes</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83,665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201,000</w:t>
            </w:r>
          </w:p>
        </w:tc>
        <w:tc>
          <w:tcPr>
            <w:tcW w:w="120" w:type="dxa"/>
            <w:vAlign w:val="bottom"/>
            <w:shd w:val="clear" w:color="auto" w:fill="CFF0FC"/>
          </w:tcPr>
          <w:p>
            <w:pPr>
              <w:spacing w:after="0"/>
              <w:rPr>
                <w:sz w:val="13"/>
                <w:szCs w:val="13"/>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Borrowings under revolving credit facility</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350,000</w:t>
            </w:r>
          </w:p>
        </w:tc>
        <w:tc>
          <w:tcPr>
            <w:tcW w:w="120" w:type="dxa"/>
            <w:vAlign w:val="bottom"/>
          </w:tcPr>
          <w:p>
            <w:pPr>
              <w:spacing w:after="0"/>
              <w:rPr>
                <w:sz w:val="13"/>
                <w:szCs w:val="13"/>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Payments under revolving credit facility</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(125,000)</w:t>
            </w: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Payments of contingent consideration</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(18,791)</w:t>
            </w: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Purchase of noncontrolling interests</w:t>
            </w: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(560)</w:t>
            </w: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Deferred financing costs</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(24,686)</w:t>
            </w: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Payments for financing costs</w:t>
            </w:r>
          </w:p>
        </w:tc>
        <w:tc>
          <w:tcPr>
            <w:tcW w:w="40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(2,895)</w:t>
            </w: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Common stock issuance, net of costs</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21,641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109,441</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498,926</w:t>
            </w:r>
          </w:p>
        </w:tc>
        <w:tc>
          <w:tcPr>
            <w:tcW w:w="120" w:type="dxa"/>
            <w:vAlign w:val="bottom"/>
          </w:tcPr>
          <w:p>
            <w:pPr>
              <w:spacing w:after="0"/>
              <w:rPr>
                <w:sz w:val="13"/>
                <w:szCs w:val="13"/>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Net share settlement</w:t>
            </w:r>
          </w:p>
        </w:tc>
        <w:tc>
          <w:tcPr>
            <w:tcW w:w="40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(1,834)</w:t>
            </w:r>
          </w:p>
        </w:tc>
        <w:tc>
          <w:tcPr>
            <w:tcW w:w="1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(1,604)</w:t>
            </w:r>
          </w:p>
        </w:tc>
        <w:tc>
          <w:tcPr>
            <w:tcW w:w="4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(1,836)</w:t>
            </w: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Proceeds from sale of warrants</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50,819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Payment for bond hedge option</w:t>
            </w:r>
          </w:p>
        </w:tc>
        <w:tc>
          <w:tcPr>
            <w:tcW w:w="40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(70,035)</w:t>
            </w: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5720" w:type="dxa"/>
            <w:vAlign w:val="bottom"/>
            <w:gridSpan w:val="2"/>
          </w:tcPr>
          <w:p>
            <w:pPr>
              <w:ind w:left="160"/>
              <w:spacing w:after="0"/>
              <w:rPr>
                <w:sz w:val="20"/>
                <w:szCs w:val="20"/>
                <w:color w:val="auto"/>
              </w:rPr>
            </w:pPr>
            <w:r>
              <w:rPr>
                <w:rFonts w:ascii="Arial" w:cs="Arial" w:eastAsia="Arial" w:hAnsi="Arial"/>
                <w:sz w:val="12"/>
                <w:szCs w:val="12"/>
                <w:color w:val="auto"/>
              </w:rPr>
              <w:t>Intercompany transactions, net</w:t>
            </w:r>
          </w:p>
        </w:tc>
        <w:tc>
          <w:tcPr>
            <w:tcW w:w="40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(102,411)</w:t>
            </w:r>
          </w:p>
        </w:tc>
        <w:tc>
          <w:tcPr>
            <w:tcW w:w="180" w:type="dxa"/>
            <w:vAlign w:val="bottom"/>
          </w:tcPr>
          <w:p>
            <w:pPr>
              <w:spacing w:after="0"/>
              <w:rPr>
                <w:sz w:val="13"/>
                <w:szCs w:val="13"/>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(109,441)</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Employee stock purchase plan</w:t>
            </w: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883</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5720" w:type="dxa"/>
            <w:vAlign w:val="bottom"/>
            <w:gridSpan w:val="2"/>
          </w:tcPr>
          <w:p>
            <w:pPr>
              <w:spacing w:after="0"/>
              <w:rPr>
                <w:sz w:val="20"/>
                <w:szCs w:val="20"/>
                <w:color w:val="auto"/>
              </w:rPr>
            </w:pPr>
            <w:r>
              <w:rPr>
                <w:rFonts w:ascii="Arial" w:cs="Arial" w:eastAsia="Arial" w:hAnsi="Arial"/>
                <w:sz w:val="12"/>
                <w:szCs w:val="12"/>
                <w:color w:val="auto"/>
              </w:rPr>
              <w:t>Net cash (used in) provided by financing activities</w:t>
            </w:r>
          </w:p>
        </w:tc>
        <w:tc>
          <w:tcPr>
            <w:tcW w:w="40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(158,898)</w:t>
            </w:r>
          </w:p>
        </w:tc>
        <w:tc>
          <w:tcPr>
            <w:tcW w:w="180" w:type="dxa"/>
            <w:vAlign w:val="bottom"/>
          </w:tcPr>
          <w:p>
            <w:pPr>
              <w:spacing w:after="0"/>
              <w:rPr>
                <w:sz w:val="12"/>
                <w:szCs w:val="12"/>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(427,698)</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473,573</w:t>
            </w:r>
          </w:p>
        </w:tc>
        <w:tc>
          <w:tcPr>
            <w:tcW w:w="120" w:type="dxa"/>
            <w:vAlign w:val="bottom"/>
          </w:tcPr>
          <w:p>
            <w:pPr>
              <w:spacing w:after="0"/>
              <w:rPr>
                <w:sz w:val="12"/>
                <w:szCs w:val="12"/>
                <w:color w:val="auto"/>
              </w:rPr>
            </w:pPr>
          </w:p>
        </w:tc>
      </w:tr>
      <w:tr>
        <w:trPr>
          <w:trHeight w:val="153"/>
        </w:trPr>
        <w:tc>
          <w:tcPr>
            <w:tcW w:w="5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5720" w:type="dxa"/>
            <w:vAlign w:val="bottom"/>
            <w:gridSpan w:val="2"/>
          </w:tcPr>
          <w:p>
            <w:pPr>
              <w:spacing w:after="0"/>
              <w:rPr>
                <w:sz w:val="20"/>
                <w:szCs w:val="20"/>
                <w:color w:val="auto"/>
              </w:rPr>
            </w:pPr>
            <w:r>
              <w:rPr>
                <w:rFonts w:ascii="Arial" w:cs="Arial" w:eastAsia="Arial" w:hAnsi="Arial"/>
                <w:sz w:val="12"/>
                <w:szCs w:val="12"/>
                <w:color w:val="auto"/>
              </w:rPr>
              <w:t>Net increase (decrease) in cash and cash equivalents</w:t>
            </w: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43,162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(1,927)</w:t>
            </w:r>
          </w:p>
        </w:tc>
        <w:tc>
          <w:tcPr>
            <w:tcW w:w="4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(128,957)</w:t>
            </w:r>
          </w:p>
        </w:tc>
      </w:tr>
      <w:tr>
        <w:trPr>
          <w:trHeight w:val="153"/>
        </w:trPr>
        <w:tc>
          <w:tcPr>
            <w:tcW w:w="5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and cash equivalents at beginning of period</w:t>
            </w: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2,188</w:t>
            </w:r>
          </w:p>
        </w:tc>
        <w:tc>
          <w:tcPr>
            <w:tcW w:w="24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131,145</w:t>
            </w:r>
          </w:p>
        </w:tc>
        <w:tc>
          <w:tcPr>
            <w:tcW w:w="120" w:type="dxa"/>
            <w:vAlign w:val="bottom"/>
            <w:shd w:val="clear" w:color="auto" w:fill="CFF0FC"/>
          </w:tcPr>
          <w:p>
            <w:pPr>
              <w:spacing w:after="0"/>
              <w:rPr>
                <w:sz w:val="13"/>
                <w:szCs w:val="13"/>
                <w:color w:val="auto"/>
              </w:rPr>
            </w:pPr>
          </w:p>
        </w:tc>
      </w:tr>
      <w:tr>
        <w:trPr>
          <w:trHeight w:val="149"/>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Cash and cash equivalents at end of period</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43,423</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w:t>
            </w:r>
          </w:p>
        </w:tc>
        <w:tc>
          <w:tcPr>
            <w:tcW w:w="2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2,188</w:t>
            </w:r>
          </w:p>
        </w:tc>
        <w:tc>
          <w:tcPr>
            <w:tcW w:w="120" w:type="dxa"/>
            <w:vAlign w:val="bottom"/>
            <w:tcBorders>
              <w:bottom w:val="single" w:sz="8" w:color="CFF0FC"/>
            </w:tcBorders>
          </w:tcPr>
          <w:p>
            <w:pPr>
              <w:spacing w:after="0"/>
              <w:rPr>
                <w:sz w:val="12"/>
                <w:szCs w:val="12"/>
                <w:color w:val="auto"/>
              </w:rPr>
            </w:pPr>
          </w:p>
        </w:tc>
      </w:tr>
      <w:tr>
        <w:trPr>
          <w:trHeight w:val="144"/>
        </w:trPr>
        <w:tc>
          <w:tcPr>
            <w:tcW w:w="572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Non-cash investing and financing activities:</w:t>
            </w: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5720" w:type="dxa"/>
            <w:vAlign w:val="bottom"/>
            <w:gridSpan w:val="2"/>
          </w:tcPr>
          <w:p>
            <w:pPr>
              <w:ind w:left="160"/>
              <w:spacing w:after="0"/>
              <w:rPr>
                <w:sz w:val="20"/>
                <w:szCs w:val="20"/>
                <w:color w:val="auto"/>
              </w:rPr>
            </w:pPr>
            <w:r>
              <w:rPr>
                <w:rFonts w:ascii="Arial" w:cs="Arial" w:eastAsia="Arial" w:hAnsi="Arial"/>
                <w:sz w:val="11"/>
                <w:szCs w:val="11"/>
                <w:color w:val="auto"/>
              </w:rPr>
              <w:t>Settlement of convertible preferred stock, Series A Shares</w:t>
            </w:r>
          </w:p>
        </w:tc>
        <w:tc>
          <w:tcPr>
            <w:tcW w:w="400" w:type="dxa"/>
            <w:vAlign w:val="bottom"/>
          </w:tcPr>
          <w:p>
            <w:pPr>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87,500</w:t>
            </w:r>
          </w:p>
        </w:tc>
        <w:tc>
          <w:tcPr>
            <w:tcW w:w="24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r>
      <w:tr>
        <w:trPr>
          <w:trHeight w:val="146"/>
        </w:trPr>
        <w:tc>
          <w:tcPr>
            <w:tcW w:w="572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Settlement of contingent consideration through non-cash consideration</w:t>
            </w:r>
          </w:p>
        </w:tc>
        <w:tc>
          <w:tcPr>
            <w:tcW w:w="4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11,178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of Uniti Group Inc. included in Financial Statements and Supplementary Data.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6" w:name="page147"/>
    <w:bookmarkEnd w:id="1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ind w:left="3900"/>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Schedule I – Condensed Financial Information of</w:t>
      </w:r>
    </w:p>
    <w:p>
      <w:pPr>
        <w:spacing w:after="0" w:line="6"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The Registrant (Parent Company)</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Background and Basis of Presentation</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Uniti Group Inc.’s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Subsidiary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 Subsidiaries</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During 2017, the parent company completed its reorganization (the “up-REIT Reorganization”) to operate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December 31, 2019, we are the sole general partner of the Operating Partnership and own approximately 98.2% of the partnership interests in the Operating Partnership.</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Cash dividends received from subsidiaries and recorded in Cash Flow from Operating Activities in the Condensed Statement of Cash Flows were $136.2 million, $426.1 million and $104.9 million for the year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38"/>
        </w:trPr>
        <w:tc>
          <w:tcPr>
            <w:tcW w:w="424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44"/>
        </w:trPr>
        <w:tc>
          <w:tcPr>
            <w:tcW w:w="84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center"/>
              <w:ind w:left="841"/>
              <w:spacing w:after="0"/>
              <w:rPr>
                <w:sz w:val="20"/>
                <w:szCs w:val="20"/>
                <w:color w:val="auto"/>
              </w:rPr>
            </w:pPr>
            <w:r>
              <w:rPr>
                <w:rFonts w:ascii="Arial" w:cs="Arial" w:eastAsia="Arial" w:hAnsi="Arial"/>
                <w:sz w:val="12"/>
                <w:szCs w:val="12"/>
                <w:b w:val="1"/>
                <w:bCs w:val="1"/>
                <w:color w:val="auto"/>
                <w:w w:val="95"/>
              </w:rPr>
              <w:t>Uniti Group Inc.</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0"/>
              </w:rPr>
              <w:t>Schedule II – Valuation and Qualifying Accounts</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9"/>
              </w:rPr>
              <w:t>(dollars in thousands)</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840" w:type="dxa"/>
            <w:vAlign w:val="bottom"/>
          </w:tcPr>
          <w:p>
            <w:pPr>
              <w:spacing w:after="0"/>
              <w:rPr>
                <w:sz w:val="24"/>
                <w:szCs w:val="24"/>
                <w:color w:val="auto"/>
              </w:rPr>
            </w:pPr>
          </w:p>
        </w:tc>
        <w:tc>
          <w:tcPr>
            <w:tcW w:w="3400" w:type="dxa"/>
            <w:vAlign w:val="bottom"/>
            <w:gridSpan w:val="2"/>
          </w:tcPr>
          <w:p>
            <w:pPr>
              <w:jc w:val="center"/>
              <w:ind w:right="1000"/>
              <w:spacing w:after="0"/>
              <w:rPr>
                <w:sz w:val="20"/>
                <w:szCs w:val="20"/>
                <w:color w:val="auto"/>
              </w:rPr>
            </w:pPr>
            <w:r>
              <w:rPr>
                <w:rFonts w:ascii="Arial" w:cs="Arial" w:eastAsia="Arial" w:hAnsi="Arial"/>
                <w:sz w:val="12"/>
                <w:szCs w:val="12"/>
                <w:color w:val="auto"/>
                <w:w w:val="98"/>
              </w:rPr>
              <w:t>Column A</w:t>
            </w:r>
          </w:p>
        </w:tc>
        <w:tc>
          <w:tcPr>
            <w:tcW w:w="8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Arial" w:cs="Arial" w:eastAsia="Arial" w:hAnsi="Arial"/>
                <w:sz w:val="12"/>
                <w:szCs w:val="12"/>
                <w:color w:val="auto"/>
              </w:rPr>
              <w:t>Column B</w:t>
            </w:r>
          </w:p>
        </w:tc>
        <w:tc>
          <w:tcPr>
            <w:tcW w:w="200" w:type="dxa"/>
            <w:vAlign w:val="bottom"/>
          </w:tcPr>
          <w:p>
            <w:pPr>
              <w:spacing w:after="0"/>
              <w:rPr>
                <w:sz w:val="24"/>
                <w:szCs w:val="24"/>
                <w:color w:val="auto"/>
              </w:rPr>
            </w:pPr>
          </w:p>
        </w:tc>
        <w:tc>
          <w:tcPr>
            <w:tcW w:w="1660" w:type="dxa"/>
            <w:vAlign w:val="bottom"/>
            <w:gridSpan w:val="3"/>
          </w:tcPr>
          <w:p>
            <w:pPr>
              <w:jc w:val="center"/>
              <w:ind w:left="284"/>
              <w:spacing w:after="0"/>
              <w:rPr>
                <w:sz w:val="20"/>
                <w:szCs w:val="20"/>
                <w:color w:val="auto"/>
              </w:rPr>
            </w:pPr>
            <w:r>
              <w:rPr>
                <w:rFonts w:ascii="Arial" w:cs="Arial" w:eastAsia="Arial" w:hAnsi="Arial"/>
                <w:sz w:val="12"/>
                <w:szCs w:val="12"/>
                <w:color w:val="auto"/>
                <w:w w:val="89"/>
              </w:rPr>
              <w:t>Column C</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2"/>
                <w:szCs w:val="12"/>
                <w:color w:val="auto"/>
              </w:rPr>
              <w:t>Column D</w:t>
            </w: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color w:val="auto"/>
                <w:w w:val="94"/>
              </w:rPr>
              <w:t>Column E</w:t>
            </w:r>
          </w:p>
        </w:tc>
      </w:tr>
      <w:tr>
        <w:trPr>
          <w:trHeight w:val="151"/>
        </w:trPr>
        <w:tc>
          <w:tcPr>
            <w:tcW w:w="84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gridSpan w:val="3"/>
          </w:tcPr>
          <w:p>
            <w:pPr>
              <w:jc w:val="center"/>
              <w:ind w:left="284"/>
              <w:spacing w:after="0"/>
              <w:rPr>
                <w:sz w:val="20"/>
                <w:szCs w:val="20"/>
                <w:color w:val="auto"/>
              </w:rPr>
            </w:pPr>
            <w:r>
              <w:rPr>
                <w:rFonts w:ascii="Arial" w:cs="Arial" w:eastAsia="Arial" w:hAnsi="Arial"/>
                <w:sz w:val="10"/>
                <w:szCs w:val="10"/>
                <w:color w:val="auto"/>
                <w:w w:val="87"/>
              </w:rPr>
              <w:t>Additions</w:t>
            </w:r>
          </w:p>
        </w:tc>
        <w:tc>
          <w:tcPr>
            <w:tcW w:w="54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5"/>
        </w:trPr>
        <w:tc>
          <w:tcPr>
            <w:tcW w:w="8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jc w:val="right"/>
              <w:ind w:right="500"/>
              <w:spacing w:after="0" w:line="85" w:lineRule="exact"/>
              <w:rPr>
                <w:sz w:val="20"/>
                <w:szCs w:val="20"/>
                <w:color w:val="auto"/>
              </w:rPr>
            </w:pPr>
            <w:r>
              <w:rPr>
                <w:rFonts w:ascii="Arial" w:cs="Arial" w:eastAsia="Arial" w:hAnsi="Arial"/>
                <w:sz w:val="8"/>
                <w:szCs w:val="8"/>
                <w:color w:val="auto"/>
              </w:rPr>
              <w:t>Charged to Cost</w:t>
            </w: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1"/>
        </w:trPr>
        <w:tc>
          <w:tcPr>
            <w:tcW w:w="8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jc w:val="center"/>
              <w:ind w:right="806"/>
              <w:spacing w:after="0" w:line="112" w:lineRule="exact"/>
              <w:rPr>
                <w:sz w:val="20"/>
                <w:szCs w:val="20"/>
                <w:color w:val="auto"/>
              </w:rPr>
            </w:pPr>
            <w:r>
              <w:rPr>
                <w:rFonts w:ascii="Arial" w:cs="Arial" w:eastAsia="Arial" w:hAnsi="Arial"/>
                <w:sz w:val="10"/>
                <w:szCs w:val="10"/>
                <w:color w:val="auto"/>
                <w:w w:val="87"/>
              </w:rPr>
              <w:t>Description</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87"/>
              </w:rPr>
              <w:t>Balance at Beginning of Period</w:t>
            </w:r>
          </w:p>
        </w:tc>
        <w:tc>
          <w:tcPr>
            <w:tcW w:w="2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224"/>
              <w:spacing w:after="0" w:line="112" w:lineRule="exact"/>
              <w:rPr>
                <w:sz w:val="20"/>
                <w:szCs w:val="20"/>
                <w:color w:val="auto"/>
              </w:rPr>
            </w:pPr>
            <w:r>
              <w:rPr>
                <w:rFonts w:ascii="Arial" w:cs="Arial" w:eastAsia="Arial" w:hAnsi="Arial"/>
                <w:sz w:val="10"/>
                <w:szCs w:val="10"/>
                <w:color w:val="auto"/>
                <w:w w:val="91"/>
              </w:rPr>
              <w:t>and Expenses</w:t>
            </w:r>
          </w:p>
        </w:tc>
        <w:tc>
          <w:tcPr>
            <w:tcW w:w="2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gridSpan w:val="2"/>
          </w:tcPr>
          <w:p>
            <w:pPr>
              <w:spacing w:after="0" w:line="112" w:lineRule="exact"/>
              <w:rPr>
                <w:sz w:val="20"/>
                <w:szCs w:val="20"/>
                <w:color w:val="auto"/>
              </w:rPr>
            </w:pPr>
            <w:r>
              <w:rPr>
                <w:rFonts w:ascii="Arial" w:cs="Arial" w:eastAsia="Arial" w:hAnsi="Arial"/>
                <w:sz w:val="10"/>
                <w:szCs w:val="10"/>
                <w:color w:val="auto"/>
                <w:w w:val="85"/>
              </w:rPr>
              <w:t>Charged to Other Accounts</w:t>
            </w:r>
          </w:p>
        </w:tc>
        <w:tc>
          <w:tcPr>
            <w:tcW w:w="26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402"/>
              <w:spacing w:after="0" w:line="112" w:lineRule="exact"/>
              <w:rPr>
                <w:sz w:val="20"/>
                <w:szCs w:val="20"/>
                <w:color w:val="auto"/>
              </w:rPr>
            </w:pPr>
            <w:r>
              <w:rPr>
                <w:rFonts w:ascii="Arial" w:cs="Arial" w:eastAsia="Arial" w:hAnsi="Arial"/>
                <w:sz w:val="10"/>
                <w:szCs w:val="10"/>
                <w:color w:val="auto"/>
              </w:rPr>
              <w:t>Deductions</w:t>
            </w:r>
          </w:p>
        </w:tc>
        <w:tc>
          <w:tcPr>
            <w:tcW w:w="26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gridSpan w:val="2"/>
          </w:tcPr>
          <w:p>
            <w:pPr>
              <w:jc w:val="center"/>
              <w:spacing w:after="0" w:line="112" w:lineRule="exact"/>
              <w:rPr>
                <w:sz w:val="20"/>
                <w:szCs w:val="20"/>
                <w:color w:val="auto"/>
              </w:rPr>
            </w:pPr>
            <w:r>
              <w:rPr>
                <w:rFonts w:ascii="Arial" w:cs="Arial" w:eastAsia="Arial" w:hAnsi="Arial"/>
                <w:sz w:val="10"/>
                <w:szCs w:val="10"/>
                <w:color w:val="auto"/>
                <w:w w:val="86"/>
              </w:rPr>
              <w:t>Balance at End of Period</w:t>
            </w:r>
          </w:p>
        </w:tc>
        <w:tc>
          <w:tcPr>
            <w:tcW w:w="120" w:type="dxa"/>
            <w:vAlign w:val="bottom"/>
            <w:tcBorders>
              <w:bottom w:val="single" w:sz="8" w:color="CFF0FC"/>
            </w:tcBorders>
          </w:tcPr>
          <w:p>
            <w:pPr>
              <w:spacing w:after="0"/>
              <w:rPr>
                <w:sz w:val="9"/>
                <w:szCs w:val="9"/>
                <w:color w:val="auto"/>
              </w:rPr>
            </w:pPr>
          </w:p>
        </w:tc>
      </w:tr>
      <w:tr>
        <w:trPr>
          <w:trHeight w:val="151"/>
        </w:trPr>
        <w:tc>
          <w:tcPr>
            <w:tcW w:w="42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Valuation allowance for deferred tax assets:</w:t>
            </w:r>
          </w:p>
        </w:tc>
        <w:tc>
          <w:tcPr>
            <w:tcW w:w="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424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r>
      <w:tr>
        <w:trPr>
          <w:trHeight w:val="162"/>
        </w:trPr>
        <w:tc>
          <w:tcPr>
            <w:tcW w:w="424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Year Ended December 31, 2018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r>
      <w:tr>
        <w:trPr>
          <w:trHeight w:val="162"/>
        </w:trPr>
        <w:tc>
          <w:tcPr>
            <w:tcW w:w="424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8,176</w:t>
            </w:r>
          </w:p>
        </w:tc>
        <w:tc>
          <w:tcPr>
            <w:tcW w:w="26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(8,176)</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r>
      <w:tr>
        <w:trPr>
          <w:trHeight w:val="162"/>
        </w:trPr>
        <w:tc>
          <w:tcPr>
            <w:tcW w:w="42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Allowance for Doubtful Accounts</w:t>
            </w: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24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2,288</w:t>
            </w:r>
          </w:p>
        </w:tc>
        <w:tc>
          <w:tcPr>
            <w:tcW w:w="26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1,140</w:t>
            </w:r>
          </w:p>
        </w:tc>
        <w:tc>
          <w:tcPr>
            <w:tcW w:w="2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(685)</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2,743</w:t>
            </w:r>
          </w:p>
        </w:tc>
        <w:tc>
          <w:tcPr>
            <w:tcW w:w="120" w:type="dxa"/>
            <w:vAlign w:val="bottom"/>
          </w:tcPr>
          <w:p>
            <w:pPr>
              <w:spacing w:after="0"/>
              <w:rPr>
                <w:sz w:val="14"/>
                <w:szCs w:val="14"/>
                <w:color w:val="auto"/>
              </w:rPr>
            </w:pPr>
          </w:p>
        </w:tc>
      </w:tr>
      <w:tr>
        <w:trPr>
          <w:trHeight w:val="162"/>
        </w:trPr>
        <w:tc>
          <w:tcPr>
            <w:tcW w:w="424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Year Ended December 31, 2018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1,333</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(56)</w:t>
            </w: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2,288</w:t>
            </w:r>
          </w:p>
        </w:tc>
        <w:tc>
          <w:tcPr>
            <w:tcW w:w="120" w:type="dxa"/>
            <w:vAlign w:val="bottom"/>
            <w:shd w:val="clear" w:color="auto" w:fill="CFF0FC"/>
          </w:tcPr>
          <w:p>
            <w:pPr>
              <w:spacing w:after="0"/>
              <w:rPr>
                <w:sz w:val="14"/>
                <w:szCs w:val="14"/>
                <w:color w:val="auto"/>
              </w:rPr>
            </w:pPr>
          </w:p>
        </w:tc>
      </w:tr>
      <w:tr>
        <w:trPr>
          <w:trHeight w:val="162"/>
        </w:trPr>
        <w:tc>
          <w:tcPr>
            <w:tcW w:w="4240" w:type="dxa"/>
            <w:vAlign w:val="bottom"/>
            <w:gridSpan w:val="3"/>
          </w:tcPr>
          <w:p>
            <w:pPr>
              <w:ind w:left="160"/>
              <w:spacing w:after="0"/>
              <w:rPr>
                <w:sz w:val="20"/>
                <w:szCs w:val="20"/>
                <w:color w:val="auto"/>
              </w:rPr>
            </w:pPr>
            <w:r>
              <w:rPr>
                <w:rFonts w:ascii="Arial" w:cs="Arial" w:eastAsia="Arial" w:hAnsi="Arial"/>
                <w:sz w:val="12"/>
                <w:szCs w:val="12"/>
                <w:color w:val="auto"/>
              </w:rPr>
              <w:t>Year Ended December 31, 2017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1,352</w:t>
            </w:r>
          </w:p>
        </w:tc>
        <w:tc>
          <w:tcPr>
            <w:tcW w:w="26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(86)</w:t>
            </w:r>
          </w:p>
        </w:tc>
        <w:tc>
          <w:tcPr>
            <w:tcW w:w="5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45</w:t>
            </w:r>
          </w:p>
        </w:tc>
        <w:tc>
          <w:tcPr>
            <w:tcW w:w="26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(300)</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1,011</w:t>
            </w:r>
          </w:p>
        </w:tc>
        <w:tc>
          <w:tcPr>
            <w:tcW w:w="120" w:type="dxa"/>
            <w:vAlign w:val="bottom"/>
          </w:tcPr>
          <w:p>
            <w:pPr>
              <w:spacing w:after="0"/>
              <w:rPr>
                <w:sz w:val="14"/>
                <w:szCs w:val="14"/>
                <w:color w:val="auto"/>
              </w:rPr>
            </w:pPr>
          </w:p>
        </w:tc>
      </w:tr>
      <w:tr>
        <w:trPr>
          <w:trHeight w:val="720"/>
        </w:trPr>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center"/>
              <w:ind w:left="1021"/>
              <w:spacing w:after="0"/>
              <w:rPr>
                <w:sz w:val="20"/>
                <w:szCs w:val="20"/>
                <w:color w:val="auto"/>
              </w:rPr>
            </w:pPr>
            <w:r>
              <w:rPr>
                <w:rFonts w:ascii="Arial" w:cs="Arial" w:eastAsia="Arial" w:hAnsi="Arial"/>
                <w:sz w:val="12"/>
                <w:szCs w:val="12"/>
                <w:color w:val="auto"/>
                <w:w w:val="85"/>
              </w:rPr>
              <w:t>S-5</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3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48" w:name="page149"/>
    <w:bookmarkEnd w:id="148"/>
    <w:p>
      <w:pPr>
        <w:ind w:left="4"/>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4"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As of December 31, 2019</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1680" w:type="dxa"/>
            <w:vAlign w:val="bottom"/>
            <w:gridSpan w:val="2"/>
          </w:tcPr>
          <w:p>
            <w:pPr>
              <w:ind w:left="260"/>
              <w:spacing w:after="0"/>
              <w:rPr>
                <w:sz w:val="20"/>
                <w:szCs w:val="20"/>
                <w:color w:val="auto"/>
              </w:rPr>
            </w:pPr>
            <w:r>
              <w:rPr>
                <w:rFonts w:ascii="Arial" w:cs="Arial" w:eastAsia="Arial" w:hAnsi="Arial"/>
                <w:sz w:val="12"/>
                <w:szCs w:val="12"/>
                <w:color w:val="auto"/>
              </w:rPr>
              <w:t>Col. A</w:t>
            </w:r>
          </w:p>
        </w:tc>
        <w:tc>
          <w:tcPr>
            <w:tcW w:w="10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color w:val="auto"/>
              </w:rPr>
              <w:t>Col. B</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Col. C</w:t>
            </w:r>
          </w:p>
        </w:tc>
        <w:tc>
          <w:tcPr>
            <w:tcW w:w="1100" w:type="dxa"/>
            <w:vAlign w:val="bottom"/>
            <w:gridSpan w:val="2"/>
          </w:tcPr>
          <w:p>
            <w:pPr>
              <w:jc w:val="center"/>
              <w:ind w:left="643"/>
              <w:spacing w:after="0"/>
              <w:rPr>
                <w:sz w:val="20"/>
                <w:szCs w:val="20"/>
                <w:color w:val="auto"/>
              </w:rPr>
            </w:pPr>
            <w:r>
              <w:rPr>
                <w:rFonts w:ascii="Arial" w:cs="Arial" w:eastAsia="Arial" w:hAnsi="Arial"/>
                <w:sz w:val="12"/>
                <w:szCs w:val="12"/>
                <w:color w:val="auto"/>
                <w:w w:val="95"/>
              </w:rPr>
              <w:t>Col. 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Col. E</w:t>
            </w:r>
          </w:p>
        </w:tc>
        <w:tc>
          <w:tcPr>
            <w:tcW w:w="12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color w:val="auto"/>
                <w:w w:val="93"/>
              </w:rPr>
              <w:t>Col. F</w:t>
            </w:r>
          </w:p>
        </w:tc>
        <w:tc>
          <w:tcPr>
            <w:tcW w:w="1180" w:type="dxa"/>
            <w:vAlign w:val="bottom"/>
            <w:gridSpan w:val="2"/>
          </w:tcPr>
          <w:p>
            <w:pPr>
              <w:ind w:left="360"/>
              <w:spacing w:after="0"/>
              <w:rPr>
                <w:sz w:val="20"/>
                <w:szCs w:val="20"/>
                <w:color w:val="auto"/>
              </w:rPr>
            </w:pPr>
            <w:r>
              <w:rPr>
                <w:rFonts w:ascii="Arial" w:cs="Arial" w:eastAsia="Arial" w:hAnsi="Arial"/>
                <w:sz w:val="12"/>
                <w:szCs w:val="12"/>
                <w:color w:val="auto"/>
              </w:rPr>
              <w:t>Col. G</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Col. H</w:t>
            </w:r>
          </w:p>
        </w:tc>
        <w:tc>
          <w:tcPr>
            <w:tcW w:w="1060" w:type="dxa"/>
            <w:vAlign w:val="bottom"/>
          </w:tcPr>
          <w:p>
            <w:pPr>
              <w:jc w:val="center"/>
              <w:spacing w:after="0"/>
              <w:rPr>
                <w:sz w:val="20"/>
                <w:szCs w:val="20"/>
                <w:color w:val="auto"/>
              </w:rPr>
            </w:pPr>
            <w:r>
              <w:rPr>
                <w:rFonts w:ascii="Arial" w:cs="Arial" w:eastAsia="Arial" w:hAnsi="Arial"/>
                <w:sz w:val="12"/>
                <w:szCs w:val="12"/>
                <w:color w:val="auto"/>
                <w:w w:val="99"/>
              </w:rPr>
              <w:t>Col. I</w:t>
            </w:r>
          </w:p>
        </w:tc>
        <w:tc>
          <w:tcPr>
            <w:tcW w:w="0" w:type="dxa"/>
            <w:vAlign w:val="bottom"/>
          </w:tcPr>
          <w:p>
            <w:pPr>
              <w:spacing w:after="0"/>
              <w:rPr>
                <w:sz w:val="1"/>
                <w:szCs w:val="1"/>
                <w:color w:val="auto"/>
              </w:rPr>
            </w:pPr>
          </w:p>
        </w:tc>
      </w:tr>
      <w:tr>
        <w:trPr>
          <w:trHeight w:val="238"/>
        </w:trPr>
        <w:tc>
          <w:tcPr>
            <w:tcW w:w="84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89"/>
              </w:rPr>
              <w:t>Life on which</w:t>
            </w: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gridSpan w:val="4"/>
          </w:tcPr>
          <w:p>
            <w:pPr>
              <w:jc w:val="center"/>
              <w:ind w:right="140"/>
              <w:spacing w:after="0" w:line="103" w:lineRule="exact"/>
              <w:rPr>
                <w:sz w:val="20"/>
                <w:szCs w:val="20"/>
                <w:color w:val="auto"/>
              </w:rPr>
            </w:pPr>
            <w:r>
              <w:rPr>
                <w:rFonts w:ascii="Arial" w:cs="Arial" w:eastAsia="Arial" w:hAnsi="Arial"/>
                <w:sz w:val="10"/>
                <w:szCs w:val="10"/>
                <w:color w:val="auto"/>
                <w:w w:val="87"/>
              </w:rPr>
              <w:t>Cost capitalized subsequent to acquisition</w:t>
            </w:r>
            <w:r>
              <w:rPr>
                <w:rFonts w:ascii="Arial" w:cs="Arial" w:eastAsia="Arial" w:hAnsi="Arial"/>
                <w:sz w:val="8"/>
                <w:szCs w:val="8"/>
                <w:color w:val="auto"/>
                <w:w w:val="87"/>
              </w:rPr>
              <w:t>(1)</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jc w:val="center"/>
              <w:spacing w:after="0" w:line="103" w:lineRule="exact"/>
              <w:rPr>
                <w:sz w:val="20"/>
                <w:szCs w:val="20"/>
                <w:color w:val="auto"/>
              </w:rPr>
            </w:pPr>
            <w:r>
              <w:rPr>
                <w:rFonts w:ascii="Arial" w:cs="Arial" w:eastAsia="Arial" w:hAnsi="Arial"/>
                <w:sz w:val="10"/>
                <w:szCs w:val="10"/>
                <w:color w:val="auto"/>
                <w:w w:val="86"/>
              </w:rPr>
              <w:t>Depreciation in Latest</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0"/>
                <w:szCs w:val="10"/>
                <w:color w:val="auto"/>
                <w:w w:val="89"/>
              </w:rPr>
              <w:t>Initial cost to</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w:t>
            </w: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0"/>
                <w:szCs w:val="10"/>
                <w:color w:val="auto"/>
                <w:w w:val="86"/>
              </w:rPr>
              <w:t>Gross Amount Carried at</w:t>
            </w:r>
          </w:p>
        </w:tc>
        <w:tc>
          <w:tcPr>
            <w:tcW w:w="120" w:type="dxa"/>
            <w:vAlign w:val="bottom"/>
          </w:tcPr>
          <w:p>
            <w:pPr>
              <w:spacing w:after="0"/>
              <w:rPr>
                <w:sz w:val="9"/>
                <w:szCs w:val="9"/>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6"/>
              </w:rPr>
              <w:t>Accumulated</w:t>
            </w: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0"/>
                <w:szCs w:val="10"/>
                <w:color w:val="auto"/>
                <w:w w:val="85"/>
              </w:rPr>
              <w:t>Income</w:t>
            </w:r>
          </w:p>
        </w:tc>
        <w:tc>
          <w:tcPr>
            <w:tcW w:w="0" w:type="dxa"/>
            <w:vAlign w:val="bottom"/>
          </w:tcPr>
          <w:p>
            <w:pPr>
              <w:spacing w:after="0"/>
              <w:rPr>
                <w:sz w:val="1"/>
                <w:szCs w:val="1"/>
                <w:color w:val="auto"/>
              </w:rPr>
            </w:pPr>
          </w:p>
        </w:tc>
      </w:tr>
      <w:tr>
        <w:trPr>
          <w:trHeight w:val="85"/>
        </w:trPr>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40" w:type="dxa"/>
            <w:vAlign w:val="bottom"/>
            <w:tcBorders>
              <w:bottom w:val="single" w:sz="8" w:color="auto"/>
            </w:tcBorders>
          </w:tcPr>
          <w:p>
            <w:pPr>
              <w:ind w:left="200"/>
              <w:spacing w:after="0" w:line="112" w:lineRule="exact"/>
              <w:rPr>
                <w:sz w:val="20"/>
                <w:szCs w:val="20"/>
                <w:color w:val="auto"/>
              </w:rPr>
            </w:pPr>
            <w:r>
              <w:rPr>
                <w:rFonts w:ascii="Arial" w:cs="Arial" w:eastAsia="Arial" w:hAnsi="Arial"/>
                <w:sz w:val="10"/>
                <w:szCs w:val="10"/>
                <w:color w:val="auto"/>
              </w:rPr>
              <w:t>Description</w:t>
            </w:r>
          </w:p>
        </w:tc>
        <w:tc>
          <w:tcPr>
            <w:tcW w:w="8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ind w:left="40"/>
              <w:spacing w:after="0" w:line="112" w:lineRule="exact"/>
              <w:rPr>
                <w:sz w:val="20"/>
                <w:szCs w:val="20"/>
                <w:color w:val="auto"/>
              </w:rPr>
            </w:pPr>
            <w:r>
              <w:rPr>
                <w:rFonts w:ascii="Arial" w:cs="Arial" w:eastAsia="Arial" w:hAnsi="Arial"/>
                <w:sz w:val="10"/>
                <w:szCs w:val="10"/>
                <w:color w:val="auto"/>
              </w:rPr>
              <w:t>Encumbrances</w:t>
            </w:r>
          </w:p>
        </w:tc>
        <w:tc>
          <w:tcPr>
            <w:tcW w:w="26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91"/>
              </w:rPr>
              <w:t>company</w:t>
            </w:r>
            <w:r>
              <w:rPr>
                <w:rFonts w:ascii="Arial" w:cs="Arial" w:eastAsia="Arial" w:hAnsi="Arial"/>
                <w:sz w:val="8"/>
                <w:szCs w:val="8"/>
                <w:color w:val="auto"/>
                <w:w w:val="91"/>
              </w:rPr>
              <w:t>(1)</w:t>
            </w:r>
          </w:p>
        </w:tc>
        <w:tc>
          <w:tcPr>
            <w:tcW w:w="14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143"/>
              <w:spacing w:after="0" w:line="112" w:lineRule="exact"/>
              <w:rPr>
                <w:sz w:val="20"/>
                <w:szCs w:val="20"/>
                <w:color w:val="auto"/>
              </w:rPr>
            </w:pPr>
            <w:r>
              <w:rPr>
                <w:rFonts w:ascii="Arial" w:cs="Arial" w:eastAsia="Arial" w:hAnsi="Arial"/>
                <w:sz w:val="10"/>
                <w:szCs w:val="10"/>
                <w:color w:val="auto"/>
              </w:rPr>
              <w:t>Improvements</w:t>
            </w:r>
          </w:p>
        </w:tc>
        <w:tc>
          <w:tcPr>
            <w:tcW w:w="14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right"/>
              <w:ind w:right="61"/>
              <w:spacing w:after="0" w:line="112" w:lineRule="exact"/>
              <w:rPr>
                <w:sz w:val="20"/>
                <w:szCs w:val="20"/>
                <w:color w:val="auto"/>
              </w:rPr>
            </w:pPr>
            <w:r>
              <w:rPr>
                <w:rFonts w:ascii="Arial" w:cs="Arial" w:eastAsia="Arial" w:hAnsi="Arial"/>
                <w:sz w:val="10"/>
                <w:szCs w:val="10"/>
                <w:color w:val="auto"/>
              </w:rPr>
              <w:t>Carry Costs</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ind w:right="81"/>
              <w:spacing w:after="0" w:line="112" w:lineRule="exact"/>
              <w:rPr>
                <w:sz w:val="20"/>
                <w:szCs w:val="20"/>
                <w:color w:val="auto"/>
              </w:rPr>
            </w:pPr>
            <w:r>
              <w:rPr>
                <w:rFonts w:ascii="Arial" w:cs="Arial" w:eastAsia="Arial" w:hAnsi="Arial"/>
                <w:sz w:val="10"/>
                <w:szCs w:val="10"/>
                <w:color w:val="auto"/>
                <w:w w:val="89"/>
              </w:rPr>
              <w:t>Close of Period</w:t>
            </w:r>
            <w:r>
              <w:rPr>
                <w:rFonts w:ascii="Arial" w:cs="Arial" w:eastAsia="Arial" w:hAnsi="Arial"/>
                <w:sz w:val="8"/>
                <w:szCs w:val="8"/>
                <w:color w:val="auto"/>
                <w:w w:val="89"/>
              </w:rPr>
              <w:t>(5)</w:t>
            </w:r>
          </w:p>
        </w:tc>
        <w:tc>
          <w:tcPr>
            <w:tcW w:w="2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62"/>
              <w:spacing w:after="0" w:line="112" w:lineRule="exact"/>
              <w:rPr>
                <w:sz w:val="20"/>
                <w:szCs w:val="20"/>
                <w:color w:val="auto"/>
              </w:rPr>
            </w:pPr>
            <w:r>
              <w:rPr>
                <w:rFonts w:ascii="Arial" w:cs="Arial" w:eastAsia="Arial" w:hAnsi="Arial"/>
                <w:sz w:val="10"/>
                <w:szCs w:val="10"/>
                <w:color w:val="auto"/>
                <w:w w:val="88"/>
              </w:rPr>
              <w:t>Depreciation</w:t>
            </w:r>
          </w:p>
        </w:tc>
        <w:tc>
          <w:tcPr>
            <w:tcW w:w="26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1"/>
              <w:spacing w:after="0" w:line="112" w:lineRule="exact"/>
              <w:rPr>
                <w:sz w:val="20"/>
                <w:szCs w:val="20"/>
                <w:color w:val="auto"/>
              </w:rPr>
            </w:pPr>
            <w:r>
              <w:rPr>
                <w:rFonts w:ascii="Arial" w:cs="Arial" w:eastAsia="Arial" w:hAnsi="Arial"/>
                <w:sz w:val="10"/>
                <w:szCs w:val="10"/>
                <w:color w:val="auto"/>
                <w:w w:val="93"/>
              </w:rPr>
              <w:t>Date of Construction</w:t>
            </w:r>
            <w:r>
              <w:rPr>
                <w:rFonts w:ascii="Arial" w:cs="Arial" w:eastAsia="Arial" w:hAnsi="Arial"/>
                <w:sz w:val="8"/>
                <w:szCs w:val="8"/>
                <w:color w:val="auto"/>
                <w:w w:val="93"/>
              </w:rPr>
              <w:t>(2)</w:t>
            </w:r>
          </w:p>
        </w:tc>
        <w:tc>
          <w:tcPr>
            <w:tcW w:w="140" w:type="dxa"/>
            <w:vAlign w:val="bottom"/>
            <w:tcBorders>
              <w:bottom w:val="single" w:sz="8" w:color="CFF0FC"/>
            </w:tcBorders>
          </w:tcPr>
          <w:p>
            <w:pPr>
              <w:spacing w:after="0"/>
              <w:rPr>
                <w:sz w:val="9"/>
                <w:szCs w:val="9"/>
                <w:color w:val="auto"/>
              </w:rPr>
            </w:pPr>
          </w:p>
        </w:tc>
        <w:tc>
          <w:tcPr>
            <w:tcW w:w="780" w:type="dxa"/>
            <w:vAlign w:val="bottom"/>
            <w:tcBorders>
              <w:bottom w:val="single" w:sz="8" w:color="auto"/>
            </w:tcBorders>
          </w:tcPr>
          <w:p>
            <w:pPr>
              <w:jc w:val="right"/>
              <w:ind w:right="1"/>
              <w:spacing w:after="0" w:line="112" w:lineRule="exact"/>
              <w:rPr>
                <w:sz w:val="20"/>
                <w:szCs w:val="20"/>
                <w:color w:val="auto"/>
              </w:rPr>
            </w:pPr>
            <w:r>
              <w:rPr>
                <w:rFonts w:ascii="Arial" w:cs="Arial" w:eastAsia="Arial" w:hAnsi="Arial"/>
                <w:sz w:val="10"/>
                <w:szCs w:val="10"/>
                <w:color w:val="auto"/>
                <w:w w:val="95"/>
              </w:rPr>
              <w:t>Date Acquired</w:t>
            </w:r>
            <w:r>
              <w:rPr>
                <w:rFonts w:ascii="Arial" w:cs="Arial" w:eastAsia="Arial" w:hAnsi="Arial"/>
                <w:sz w:val="8"/>
                <w:szCs w:val="8"/>
                <w:color w:val="auto"/>
                <w:w w:val="95"/>
              </w:rPr>
              <w:t>(2)</w:t>
            </w:r>
          </w:p>
        </w:tc>
        <w:tc>
          <w:tcPr>
            <w:tcW w:w="1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center"/>
              <w:spacing w:after="0" w:line="112" w:lineRule="exact"/>
              <w:rPr>
                <w:sz w:val="20"/>
                <w:szCs w:val="20"/>
                <w:color w:val="auto"/>
              </w:rPr>
            </w:pPr>
            <w:r>
              <w:rPr>
                <w:rFonts w:ascii="Arial" w:cs="Arial" w:eastAsia="Arial" w:hAnsi="Arial"/>
                <w:sz w:val="10"/>
                <w:szCs w:val="10"/>
                <w:color w:val="auto"/>
                <w:w w:val="83"/>
              </w:rPr>
              <w:t>Statements is Computed</w:t>
            </w:r>
          </w:p>
        </w:tc>
        <w:tc>
          <w:tcPr>
            <w:tcW w:w="0" w:type="dxa"/>
            <w:vAlign w:val="bottom"/>
          </w:tcPr>
          <w:p>
            <w:pPr>
              <w:spacing w:after="0"/>
              <w:rPr>
                <w:sz w:val="1"/>
                <w:szCs w:val="1"/>
                <w:color w:val="auto"/>
              </w:rPr>
            </w:pPr>
          </w:p>
        </w:tc>
      </w:tr>
      <w:tr>
        <w:trPr>
          <w:trHeight w:val="142"/>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Land</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26,672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Indefinite</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Arial" w:cs="Arial" w:eastAsia="Arial" w:hAnsi="Arial"/>
                <w:sz w:val="12"/>
                <w:szCs w:val="12"/>
                <w:color w:val="auto"/>
              </w:rPr>
              <w:t>Building and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improvements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333,272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175,093</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3 - 40 years</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Poles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258,535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185,907</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Fiber</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2,645,726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1,216,173</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Equipment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5 -7 years</w:t>
            </w: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Copper</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3,792,366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3,370,043</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Conduit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89,770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62,616</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 years</w:t>
            </w: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Towers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168,154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8,582</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Finance lease</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assets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25,511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1,694</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Arial" w:cs="Arial" w:eastAsia="Arial" w:hAnsi="Arial"/>
                <w:sz w:val="12"/>
                <w:szCs w:val="12"/>
                <w:color w:val="auto"/>
              </w:rPr>
              <w:t>Real property</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8,290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251</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r>
        <w:trPr>
          <w:trHeight w:val="153"/>
        </w:trPr>
        <w:tc>
          <w:tcPr>
            <w:tcW w:w="16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11,747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2,570</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15 - 20 years</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Arial" w:cs="Arial" w:eastAsia="Arial" w:hAnsi="Arial"/>
                <w:sz w:val="12"/>
                <w:szCs w:val="12"/>
                <w:color w:val="auto"/>
              </w:rPr>
              <w:t>Construction in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gridSpan w:val="2"/>
          </w:tcPr>
          <w:p>
            <w:pPr>
              <w:spacing w:after="0"/>
              <w:rPr>
                <w:sz w:val="20"/>
                <w:szCs w:val="20"/>
                <w:color w:val="auto"/>
              </w:rPr>
            </w:pPr>
            <w:r>
              <w:rPr>
                <w:rFonts w:ascii="Arial" w:cs="Arial" w:eastAsia="Arial" w:hAnsi="Arial"/>
                <w:sz w:val="12"/>
                <w:szCs w:val="12"/>
                <w:color w:val="auto"/>
              </w:rPr>
              <w:t>progress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34,908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See Note 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4" w:hanging="144"/>
        <w:spacing w:after="0"/>
        <w:tabs>
          <w:tab w:leader="none" w:pos="144" w:val="left"/>
        </w:tabs>
        <w:numPr>
          <w:ilvl w:val="0"/>
          <w:numId w:val="30"/>
        </w:numPr>
        <w:rPr>
          <w:rFonts w:ascii="Arial" w:cs="Arial" w:eastAsia="Arial" w:hAnsi="Arial"/>
          <w:sz w:val="10"/>
          <w:szCs w:val="10"/>
          <w:color w:val="auto"/>
        </w:rPr>
      </w:pPr>
      <w:r>
        <w:rPr>
          <w:rFonts w:ascii="Arial" w:cs="Arial" w:eastAsia="Arial" w:hAnsi="Arial"/>
          <w:sz w:val="12"/>
          <w:szCs w:val="12"/>
          <w:color w:val="auto"/>
        </w:rPr>
        <w:t>Given the voluminous nature and variety of our real estate investment assets, this schedule omits columns C and D from the schedule III presentation.</w:t>
      </w:r>
    </w:p>
    <w:p>
      <w:pPr>
        <w:spacing w:after="0" w:line="14" w:lineRule="exact"/>
        <w:rPr>
          <w:rFonts w:ascii="Arial" w:cs="Arial" w:eastAsia="Arial" w:hAnsi="Arial"/>
          <w:sz w:val="10"/>
          <w:szCs w:val="10"/>
          <w:color w:val="auto"/>
        </w:rPr>
      </w:pPr>
    </w:p>
    <w:p>
      <w:pPr>
        <w:ind w:left="144" w:hanging="144"/>
        <w:spacing w:after="0"/>
        <w:tabs>
          <w:tab w:leader="none" w:pos="144" w:val="left"/>
        </w:tabs>
        <w:numPr>
          <w:ilvl w:val="0"/>
          <w:numId w:val="30"/>
        </w:numPr>
        <w:rPr>
          <w:rFonts w:ascii="Arial" w:cs="Arial" w:eastAsia="Arial" w:hAnsi="Arial"/>
          <w:sz w:val="10"/>
          <w:szCs w:val="10"/>
          <w:color w:val="auto"/>
        </w:rPr>
      </w:pPr>
      <w:r>
        <w:rPr>
          <w:rFonts w:ascii="Arial" w:cs="Arial" w:eastAsia="Arial" w:hAnsi="Arial"/>
          <w:sz w:val="12"/>
          <w:szCs w:val="12"/>
          <w:color w:val="auto"/>
        </w:rPr>
        <w:t>Because additions and improvements to our real estate investment assets are ongoing, construction and acquisition dates are not applicable.</w:t>
      </w:r>
    </w:p>
    <w:p>
      <w:pPr>
        <w:spacing w:after="0" w:line="6" w:lineRule="exact"/>
        <w:rPr>
          <w:rFonts w:ascii="Arial" w:cs="Arial" w:eastAsia="Arial" w:hAnsi="Arial"/>
          <w:sz w:val="10"/>
          <w:szCs w:val="10"/>
          <w:color w:val="auto"/>
        </w:rPr>
      </w:pPr>
    </w:p>
    <w:p>
      <w:pPr>
        <w:ind w:left="144" w:hanging="144"/>
        <w:spacing w:after="0"/>
        <w:tabs>
          <w:tab w:leader="none" w:pos="144" w:val="left"/>
        </w:tabs>
        <w:numPr>
          <w:ilvl w:val="0"/>
          <w:numId w:val="30"/>
        </w:numPr>
        <w:rPr>
          <w:rFonts w:ascii="Arial" w:cs="Arial" w:eastAsia="Arial" w:hAnsi="Arial"/>
          <w:sz w:val="10"/>
          <w:szCs w:val="10"/>
          <w:color w:val="auto"/>
        </w:rPr>
      </w:pPr>
      <w:r>
        <w:rPr>
          <w:rFonts w:ascii="Arial" w:cs="Arial" w:eastAsia="Arial" w:hAnsi="Arial"/>
          <w:sz w:val="12"/>
          <w:szCs w:val="12"/>
          <w:color w:val="auto"/>
        </w:rPr>
        <w:t>For the year ended December 31, 2019, the amount of capitalized costs related to the Distribution Systems is as follows (millions):</w:t>
      </w:r>
    </w:p>
    <w:p>
      <w:pPr>
        <w:spacing w:after="0" w:line="141" w:lineRule="exact"/>
        <w:rPr>
          <w:sz w:val="20"/>
          <w:szCs w:val="20"/>
          <w:color w:val="auto"/>
        </w:rPr>
      </w:pPr>
    </w:p>
    <w:p>
      <w:pPr>
        <w:ind w:left="784"/>
        <w:spacing w:after="0"/>
        <w:tabs>
          <w:tab w:leader="none" w:pos="4163" w:val="left"/>
          <w:tab w:leader="none" w:pos="4803" w:val="left"/>
        </w:tabs>
        <w:rPr>
          <w:sz w:val="20"/>
          <w:szCs w:val="20"/>
          <w:color w:val="auto"/>
        </w:rPr>
      </w:pPr>
      <w:r>
        <w:rPr>
          <w:rFonts w:ascii="Arial" w:cs="Arial" w:eastAsia="Arial" w:hAnsi="Arial"/>
          <w:sz w:val="12"/>
          <w:szCs w:val="12"/>
          <w:color w:val="auto"/>
        </w:rPr>
        <w:t>Tenant capital improvements</w:t>
      </w:r>
      <w:r>
        <w:rPr>
          <w:rFonts w:ascii="Arial" w:cs="Arial" w:eastAsia="Arial" w:hAnsi="Arial"/>
          <w:sz w:val="10"/>
          <w:szCs w:val="10"/>
          <w:color w:val="auto"/>
        </w:rPr>
        <w:t>(4)</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164.7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9525</wp:posOffset>
            </wp:positionV>
            <wp:extent cx="57721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20955</wp:posOffset>
            </wp:positionV>
            <wp:extent cx="57721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577215" cy="5715"/>
                    </a:xfrm>
                    <a:prstGeom prst="rect">
                      <a:avLst/>
                    </a:prstGeom>
                    <a:noFill/>
                  </pic:spPr>
                </pic:pic>
              </a:graphicData>
            </a:graphic>
          </wp:anchor>
        </w:drawing>
      </w:r>
    </w:p>
    <w:p>
      <w:pPr>
        <w:spacing w:after="0" w:line="85" w:lineRule="exact"/>
        <w:rPr>
          <w:sz w:val="20"/>
          <w:szCs w:val="20"/>
          <w:color w:val="auto"/>
        </w:rPr>
      </w:pPr>
    </w:p>
    <w:p>
      <w:pPr>
        <w:ind w:left="224" w:right="40" w:hanging="224"/>
        <w:spacing w:after="0" w:line="276" w:lineRule="auto"/>
        <w:tabs>
          <w:tab w:leader="none" w:pos="151" w:val="left"/>
        </w:tabs>
        <w:numPr>
          <w:ilvl w:val="0"/>
          <w:numId w:val="31"/>
        </w:numPr>
        <w:rPr>
          <w:rFonts w:ascii="Arial" w:cs="Arial" w:eastAsia="Arial" w:hAnsi="Arial"/>
          <w:sz w:val="10"/>
          <w:szCs w:val="10"/>
          <w:color w:val="auto"/>
        </w:rPr>
      </w:pPr>
      <w:r>
        <w:rPr>
          <w:rFonts w:ascii="Arial" w:cs="Arial" w:eastAsia="Arial" w:hAnsi="Arial"/>
          <w:sz w:val="12"/>
          <w:szCs w:val="12"/>
          <w:color w:val="auto"/>
        </w:rPr>
        <w:t>Tenant capital improvements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4"/>
          </w:cols>
          <w:pgMar w:left="296" w:top="131" w:right="299" w:bottom="1440" w:gutter="0" w:footer="0" w:header="0"/>
        </w:sectPr>
      </w:pPr>
    </w:p>
    <w:bookmarkStart w:id="149" w:name="page150"/>
    <w:bookmarkEnd w:id="149"/>
    <w:p>
      <w:pPr>
        <w:ind w:left="4"/>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ind w:left="144" w:hanging="144"/>
        <w:spacing w:after="0"/>
        <w:tabs>
          <w:tab w:leader="none" w:pos="144" w:val="left"/>
        </w:tabs>
        <w:numPr>
          <w:ilvl w:val="0"/>
          <w:numId w:val="32"/>
        </w:numPr>
        <w:rPr>
          <w:rFonts w:ascii="Arial" w:cs="Arial" w:eastAsia="Arial" w:hAnsi="Arial"/>
          <w:sz w:val="10"/>
          <w:szCs w:val="10"/>
          <w:color w:val="auto"/>
        </w:rPr>
      </w:pPr>
      <w:r>
        <w:rPr>
          <w:rFonts w:ascii="Arial" w:cs="Arial" w:eastAsia="Arial" w:hAnsi="Arial"/>
          <w:sz w:val="12"/>
          <w:szCs w:val="12"/>
          <w:color w:val="auto"/>
        </w:rPr>
        <w:t>Aggregate cost for Federal income tax purposes related to our real estate investment assets is $6.6 billion.</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Uniti Group Inc.</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Schedule III – Real Estate Investments and Accumulated Depreciation</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As of December 31, 2019</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(dollars in thousands)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440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2019</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2018</w:t>
            </w:r>
          </w:p>
        </w:tc>
        <w:tc>
          <w:tcPr>
            <w:tcW w:w="120" w:type="dxa"/>
            <w:vAlign w:val="bottom"/>
            <w:tcBorders>
              <w:bottom w:val="single" w:sz="8" w:color="CFF0FC"/>
            </w:tcBorders>
          </w:tcPr>
          <w:p>
            <w:pPr>
              <w:spacing w:after="0"/>
              <w:rPr>
                <w:sz w:val="13"/>
                <w:szCs w:val="13"/>
                <w:color w:val="auto"/>
              </w:rPr>
            </w:pPr>
          </w:p>
        </w:tc>
      </w:tr>
      <w:tr>
        <w:trPr>
          <w:trHeight w:val="142"/>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Gross amount at beginning</w:t>
            </w:r>
          </w:p>
        </w:tc>
        <w:tc>
          <w:tcPr>
            <w:tcW w:w="43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7,000,099</w:t>
            </w: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6,603,480</w:t>
            </w:r>
          </w:p>
        </w:tc>
        <w:tc>
          <w:tcPr>
            <w:tcW w:w="120" w:type="dxa"/>
            <w:vAlign w:val="bottom"/>
            <w:shd w:val="clear" w:color="auto" w:fill="CFF0FC"/>
          </w:tcPr>
          <w:p>
            <w:pPr>
              <w:spacing w:after="0"/>
              <w:rPr>
                <w:sz w:val="12"/>
                <w:szCs w:val="12"/>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Tenant capital improvements</w:t>
            </w:r>
          </w:p>
        </w:tc>
        <w:tc>
          <w:tcPr>
            <w:tcW w:w="40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164,742</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153,615</w:t>
            </w: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Acquisitions</w:t>
            </w: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293,562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231,142</w:t>
            </w: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02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26,736</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18,439</w:t>
            </w:r>
          </w:p>
        </w:tc>
        <w:tc>
          <w:tcPr>
            <w:tcW w:w="120" w:type="dxa"/>
            <w:vAlign w:val="bottom"/>
            <w:shd w:val="clear" w:color="auto" w:fill="CFF0FC"/>
          </w:tcPr>
          <w:p>
            <w:pPr>
              <w:spacing w:after="0"/>
              <w:rPr>
                <w:sz w:val="13"/>
                <w:szCs w:val="13"/>
                <w:color w:val="auto"/>
              </w:rPr>
            </w:pPr>
          </w:p>
        </w:tc>
      </w:tr>
      <w:tr>
        <w:trPr>
          <w:trHeight w:val="142"/>
        </w:trPr>
        <w:tc>
          <w:tcPr>
            <w:tcW w:w="4400" w:type="dxa"/>
            <w:vAlign w:val="bottom"/>
          </w:tcPr>
          <w:p>
            <w:pPr>
              <w:spacing w:after="0"/>
              <w:rPr>
                <w:sz w:val="20"/>
                <w:szCs w:val="20"/>
                <w:color w:val="auto"/>
              </w:rPr>
            </w:pPr>
            <w:r>
              <w:rPr>
                <w:rFonts w:ascii="Arial" w:cs="Arial" w:eastAsia="Arial" w:hAnsi="Arial"/>
                <w:sz w:val="12"/>
                <w:szCs w:val="12"/>
                <w:color w:val="auto"/>
              </w:rPr>
              <w:t>Total additions</w:t>
            </w: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485,040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403,196</w:t>
            </w:r>
          </w:p>
        </w:tc>
        <w:tc>
          <w:tcPr>
            <w:tcW w:w="120" w:type="dxa"/>
            <w:vAlign w:val="bottom"/>
          </w:tcPr>
          <w:p>
            <w:pPr>
              <w:spacing w:after="0"/>
              <w:rPr>
                <w:sz w:val="12"/>
                <w:szCs w:val="12"/>
                <w:color w:val="auto"/>
              </w:rPr>
            </w:pPr>
          </w:p>
        </w:tc>
      </w:tr>
      <w:tr>
        <w:trPr>
          <w:trHeight w:val="153"/>
        </w:trPr>
        <w:tc>
          <w:tcPr>
            <w:tcW w:w="4400" w:type="dxa"/>
            <w:vAlign w:val="bottom"/>
            <w:shd w:val="clear" w:color="auto" w:fill="CFF0FC"/>
          </w:tcPr>
          <w:p>
            <w:pPr>
              <w:spacing w:after="0"/>
              <w:rPr>
                <w:sz w:val="13"/>
                <w:szCs w:val="13"/>
                <w:color w:val="auto"/>
              </w:rPr>
            </w:pPr>
          </w:p>
        </w:tc>
        <w:tc>
          <w:tcPr>
            <w:tcW w:w="40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color w:val="auto"/>
              </w:rPr>
              <w:t>Deductions during period:</w:t>
            </w: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Cost of real estate sold or disposed</w:t>
            </w:r>
          </w:p>
        </w:tc>
        <w:tc>
          <w:tcPr>
            <w:tcW w:w="40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90,188</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6,577</w:t>
            </w: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w:t>
            </w:r>
          </w:p>
        </w:tc>
        <w:tc>
          <w:tcPr>
            <w:tcW w:w="40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2"/>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Total deductions</w:t>
            </w:r>
          </w:p>
        </w:tc>
        <w:tc>
          <w:tcPr>
            <w:tcW w:w="40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90,188</w:t>
            </w: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6,577</w:t>
            </w:r>
          </w:p>
        </w:tc>
        <w:tc>
          <w:tcPr>
            <w:tcW w:w="120" w:type="dxa"/>
            <w:vAlign w:val="bottom"/>
            <w:shd w:val="clear" w:color="auto" w:fill="CFF0FC"/>
          </w:tcPr>
          <w:p>
            <w:pPr>
              <w:spacing w:after="0"/>
              <w:rPr>
                <w:sz w:val="12"/>
                <w:szCs w:val="12"/>
                <w:color w:val="auto"/>
              </w:rPr>
            </w:pPr>
          </w:p>
        </w:tc>
      </w:tr>
      <w:tr>
        <w:trPr>
          <w:trHeight w:val="153"/>
        </w:trPr>
        <w:tc>
          <w:tcPr>
            <w:tcW w:w="4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Balance at end</w:t>
            </w:r>
          </w:p>
        </w:tc>
        <w:tc>
          <w:tcPr>
            <w:tcW w:w="43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7,394,951</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7,000,099</w:t>
            </w:r>
          </w:p>
        </w:tc>
        <w:tc>
          <w:tcPr>
            <w:tcW w:w="120" w:type="dxa"/>
            <w:vAlign w:val="bottom"/>
            <w:shd w:val="clear" w:color="auto" w:fill="CFF0FC"/>
          </w:tcPr>
          <w:p>
            <w:pPr>
              <w:spacing w:after="0"/>
              <w:rPr>
                <w:sz w:val="13"/>
                <w:szCs w:val="13"/>
                <w:color w:val="auto"/>
              </w:rPr>
            </w:pPr>
          </w:p>
        </w:tc>
      </w:tr>
      <w:tr>
        <w:trPr>
          <w:trHeight w:val="297"/>
        </w:trPr>
        <w:tc>
          <w:tcPr>
            <w:tcW w:w="4400" w:type="dxa"/>
            <w:vAlign w:val="bottom"/>
            <w:tcBorders>
              <w:bottom w:val="single" w:sz="8" w:color="CFF0FC"/>
            </w:tcBorders>
          </w:tcPr>
          <w:p>
            <w:pPr>
              <w:spacing w:after="0"/>
              <w:rPr>
                <w:sz w:val="24"/>
                <w:szCs w:val="24"/>
                <w:color w:val="auto"/>
              </w:rPr>
            </w:pPr>
          </w:p>
        </w:tc>
        <w:tc>
          <w:tcPr>
            <w:tcW w:w="40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2019</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2018</w:t>
            </w:r>
          </w:p>
        </w:tc>
        <w:tc>
          <w:tcPr>
            <w:tcW w:w="120" w:type="dxa"/>
            <w:vAlign w:val="bottom"/>
            <w:tcBorders>
              <w:bottom w:val="single" w:sz="8" w:color="CFF0FC"/>
            </w:tcBorders>
          </w:tcPr>
          <w:p>
            <w:pPr>
              <w:spacing w:after="0"/>
              <w:rPr>
                <w:sz w:val="24"/>
                <w:szCs w:val="24"/>
                <w:color w:val="auto"/>
              </w:rPr>
            </w:pPr>
          </w:p>
        </w:tc>
      </w:tr>
      <w:tr>
        <w:trPr>
          <w:trHeight w:val="142"/>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Gross amount of accumulated depreciation at beginning</w:t>
            </w:r>
          </w:p>
        </w:tc>
        <w:tc>
          <w:tcPr>
            <w:tcW w:w="430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4,739,126</w:t>
            </w:r>
          </w:p>
        </w:tc>
        <w:tc>
          <w:tcPr>
            <w:tcW w:w="2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4,399,789</w:t>
            </w:r>
          </w:p>
        </w:tc>
        <w:tc>
          <w:tcPr>
            <w:tcW w:w="120" w:type="dxa"/>
            <w:vAlign w:val="bottom"/>
            <w:shd w:val="clear" w:color="auto" w:fill="CFF0FC"/>
          </w:tcPr>
          <w:p>
            <w:pPr>
              <w:spacing w:after="0"/>
              <w:rPr>
                <w:sz w:val="12"/>
                <w:szCs w:val="12"/>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color w:val="auto"/>
              </w:rPr>
              <w:t>Additions during period:</w:t>
            </w: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w:t>
            </w:r>
          </w:p>
        </w:tc>
        <w:tc>
          <w:tcPr>
            <w:tcW w:w="40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291,398</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343,282</w:t>
            </w: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Other</w:t>
            </w: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1,767</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(423)</w:t>
            </w:r>
          </w:p>
        </w:tc>
      </w:tr>
      <w:tr>
        <w:trPr>
          <w:trHeight w:val="142"/>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additions</w:t>
            </w:r>
          </w:p>
        </w:tc>
        <w:tc>
          <w:tcPr>
            <w:tcW w:w="40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293,165</w:t>
            </w:r>
          </w:p>
        </w:tc>
        <w:tc>
          <w:tcPr>
            <w:tcW w:w="2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342,859</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Deductions during period:</w:t>
            </w:r>
          </w:p>
        </w:tc>
        <w:tc>
          <w:tcPr>
            <w:tcW w:w="40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Pr>
          <w:p>
            <w:pPr>
              <w:ind w:left="160"/>
              <w:spacing w:after="0"/>
              <w:rPr>
                <w:sz w:val="20"/>
                <w:szCs w:val="20"/>
                <w:color w:val="auto"/>
              </w:rPr>
            </w:pPr>
            <w:r>
              <w:rPr>
                <w:rFonts w:ascii="Arial" w:cs="Arial" w:eastAsia="Arial" w:hAnsi="Arial"/>
                <w:sz w:val="12"/>
                <w:szCs w:val="12"/>
                <w:color w:val="auto"/>
              </w:rPr>
              <w:t>Amount of accumulated depreciation for assets sold or disposed</w:t>
            </w: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9,362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3,522</w:t>
            </w:r>
          </w:p>
        </w:tc>
        <w:tc>
          <w:tcPr>
            <w:tcW w:w="120" w:type="dxa"/>
            <w:vAlign w:val="bottom"/>
          </w:tcPr>
          <w:p>
            <w:pPr>
              <w:spacing w:after="0"/>
              <w:rPr>
                <w:sz w:val="13"/>
                <w:szCs w:val="13"/>
                <w:color w:val="auto"/>
              </w:rPr>
            </w:pPr>
          </w:p>
        </w:tc>
      </w:tr>
      <w:tr>
        <w:trPr>
          <w:trHeight w:val="153"/>
        </w:trPr>
        <w:tc>
          <w:tcPr>
            <w:tcW w:w="44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40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4400" w:type="dxa"/>
            <w:vAlign w:val="bottom"/>
          </w:tcPr>
          <w:p>
            <w:pPr>
              <w:spacing w:after="0"/>
              <w:rPr>
                <w:sz w:val="20"/>
                <w:szCs w:val="20"/>
                <w:color w:val="auto"/>
              </w:rPr>
            </w:pPr>
            <w:r>
              <w:rPr>
                <w:rFonts w:ascii="Arial" w:cs="Arial" w:eastAsia="Arial" w:hAnsi="Arial"/>
                <w:sz w:val="12"/>
                <w:szCs w:val="12"/>
                <w:color w:val="auto"/>
              </w:rPr>
              <w:t>Total deductions</w:t>
            </w: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9,362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3,522</w:t>
            </w:r>
          </w:p>
        </w:tc>
        <w:tc>
          <w:tcPr>
            <w:tcW w:w="120" w:type="dxa"/>
            <w:vAlign w:val="bottom"/>
          </w:tcPr>
          <w:p>
            <w:pPr>
              <w:spacing w:after="0"/>
              <w:rPr>
                <w:sz w:val="12"/>
                <w:szCs w:val="12"/>
                <w:color w:val="auto"/>
              </w:rPr>
            </w:pPr>
          </w:p>
        </w:tc>
      </w:tr>
      <w:tr>
        <w:trPr>
          <w:trHeight w:val="153"/>
        </w:trPr>
        <w:tc>
          <w:tcPr>
            <w:tcW w:w="4400" w:type="dxa"/>
            <w:vAlign w:val="bottom"/>
            <w:shd w:val="clear" w:color="auto" w:fill="CFF0FC"/>
          </w:tcPr>
          <w:p>
            <w:pPr>
              <w:spacing w:after="0"/>
              <w:rPr>
                <w:sz w:val="13"/>
                <w:szCs w:val="13"/>
                <w:color w:val="auto"/>
              </w:rPr>
            </w:pPr>
          </w:p>
        </w:tc>
        <w:tc>
          <w:tcPr>
            <w:tcW w:w="404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color w:val="auto"/>
              </w:rPr>
              <w:t>Balance at end</w:t>
            </w:r>
          </w:p>
        </w:tc>
        <w:tc>
          <w:tcPr>
            <w:tcW w:w="43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5,022,929</w:t>
            </w:r>
          </w:p>
        </w:tc>
        <w:tc>
          <w:tcPr>
            <w:tcW w:w="260" w:type="dxa"/>
            <w:vAlign w:val="bottom"/>
          </w:tcPr>
          <w:p>
            <w:pPr>
              <w:spacing w:after="0"/>
              <w:rPr>
                <w:sz w:val="13"/>
                <w:szCs w:val="13"/>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4,739,126</w:t>
            </w:r>
          </w:p>
        </w:tc>
        <w:tc>
          <w:tcPr>
            <w:tcW w:w="120" w:type="dxa"/>
            <w:vAlign w:val="bottom"/>
          </w:tcPr>
          <w:p>
            <w:pPr>
              <w:spacing w:after="0"/>
              <w:rPr>
                <w:sz w:val="13"/>
                <w:szCs w:val="13"/>
                <w:color w:val="auto"/>
              </w:rPr>
            </w:pPr>
          </w:p>
        </w:tc>
      </w:tr>
      <w:tr>
        <w:trPr>
          <w:trHeight w:val="576"/>
        </w:trPr>
        <w:tc>
          <w:tcPr>
            <w:tcW w:w="4400" w:type="dxa"/>
            <w:vAlign w:val="bottom"/>
          </w:tcPr>
          <w:p>
            <w:pPr>
              <w:spacing w:after="0"/>
              <w:rPr>
                <w:sz w:val="24"/>
                <w:szCs w:val="24"/>
                <w:color w:val="auto"/>
              </w:rPr>
            </w:pPr>
          </w:p>
        </w:tc>
        <w:tc>
          <w:tcPr>
            <w:tcW w:w="4300" w:type="dxa"/>
            <w:vAlign w:val="bottom"/>
            <w:gridSpan w:val="3"/>
          </w:tcPr>
          <w:p>
            <w:pPr>
              <w:jc w:val="right"/>
              <w:ind w:right="2980"/>
              <w:spacing w:after="0"/>
              <w:rPr>
                <w:sz w:val="20"/>
                <w:szCs w:val="20"/>
                <w:color w:val="auto"/>
              </w:rPr>
            </w:pPr>
            <w:r>
              <w:rPr>
                <w:rFonts w:ascii="Arial" w:cs="Arial" w:eastAsia="Arial" w:hAnsi="Arial"/>
                <w:sz w:val="12"/>
                <w:szCs w:val="12"/>
                <w:color w:val="auto"/>
              </w:rPr>
              <w:t>S-7</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4"/>
          </w:cols>
          <w:pgMar w:left="296" w:top="131" w:right="299" w:bottom="1440" w:gutter="0" w:footer="0" w:header="0"/>
        </w:sectPr>
      </w:pPr>
    </w:p>
    <w:bookmarkStart w:id="150" w:name="page151"/>
    <w:bookmarkEnd w:id="150"/>
    <w:p>
      <w:pPr>
        <w:ind w:left="10640"/>
        <w:spacing w:after="0"/>
        <w:rPr>
          <w:sz w:val="20"/>
          <w:szCs w:val="20"/>
          <w:color w:val="auto"/>
        </w:rPr>
      </w:pPr>
      <w:r>
        <w:rPr>
          <w:rFonts w:ascii="Arial" w:cs="Arial" w:eastAsia="Arial" w:hAnsi="Arial"/>
          <w:sz w:val="11"/>
          <w:szCs w:val="11"/>
          <w:b w:val="1"/>
          <w:bCs w:val="1"/>
          <w:color w:val="auto"/>
        </w:rPr>
        <w:t>Exhibit 4.22</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DESCRIPTION OF THE REGISTRANT’S SECURITIES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REGISTERED PURSUANT TO SECTION 12 OF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SECURITIES EXCHANGE ACT OF 1934</w:t>
      </w:r>
    </w:p>
    <w:p>
      <w:pPr>
        <w:spacing w:after="0" w:line="285" w:lineRule="exact"/>
        <w:rPr>
          <w:sz w:val="20"/>
          <w:szCs w:val="20"/>
          <w:color w:val="auto"/>
        </w:rPr>
      </w:pPr>
    </w:p>
    <w:p>
      <w:pPr>
        <w:ind w:right="60" w:firstLine="869"/>
        <w:spacing w:after="0" w:line="263" w:lineRule="auto"/>
        <w:rPr>
          <w:sz w:val="20"/>
          <w:szCs w:val="20"/>
          <w:color w:val="auto"/>
        </w:rPr>
      </w:pPr>
      <w:r>
        <w:rPr>
          <w:rFonts w:ascii="Arial" w:cs="Arial" w:eastAsia="Arial" w:hAnsi="Arial"/>
          <w:sz w:val="12"/>
          <w:szCs w:val="12"/>
          <w:color w:val="auto"/>
        </w:rPr>
        <w:t>The following is a brief description of the common stock of Uniti Group Inc., a Maryland corporation (the “Company”), the only class of the Company’s securities registered pursuant to Section 12 of the Securities Exchange Act of 1934, as amended (the “Exchange Act”). This description of the terms of our common stock does not purport to be complete and is subject to and qualified in its entirety by reference to the applicable provisions of the Maryland General Corporation Law (the “MGCL”) and our charter and bylaws. See “Certain Provisions of Maryland Law and of Our Charter and Bylaws,”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DESCRIPTION OF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27" w:lineRule="exact"/>
        <w:rPr>
          <w:sz w:val="20"/>
          <w:szCs w:val="20"/>
          <w:color w:val="auto"/>
        </w:rPr>
      </w:pPr>
    </w:p>
    <w:p>
      <w:pPr>
        <w:ind w:right="320" w:firstLine="435"/>
        <w:spacing w:after="0" w:line="323" w:lineRule="auto"/>
        <w:rPr>
          <w:sz w:val="20"/>
          <w:szCs w:val="20"/>
          <w:color w:val="auto"/>
        </w:rPr>
      </w:pPr>
      <w:r>
        <w:rPr>
          <w:rFonts w:ascii="Arial" w:cs="Arial" w:eastAsia="Arial" w:hAnsi="Arial"/>
          <w:sz w:val="11"/>
          <w:szCs w:val="11"/>
          <w:color w:val="auto"/>
        </w:rPr>
        <w:t>Our charter authorizes us to issue up to 500,000,000 shares of common stock, $0.0001 par value per share. Our charter authorizes our board of directors, with the approval of a majority of the entire board of directors and without stockholder approval, to amend our charter to increase or decrease the aggregate number of shares of stock or the number of shares of any class or series of stock that we are authorized to issue.</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Under Maryland law, a stockholder generally is not liable for a corporation’s debts or obligations solely as a result of the stockholder’s status as a stockholder.</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Terms</w:t>
      </w:r>
    </w:p>
    <w:p>
      <w:pPr>
        <w:spacing w:after="0" w:line="127" w:lineRule="exact"/>
        <w:rPr>
          <w:sz w:val="20"/>
          <w:szCs w:val="20"/>
          <w:color w:val="auto"/>
        </w:rPr>
      </w:pPr>
    </w:p>
    <w:p>
      <w:pPr>
        <w:ind w:right="100" w:firstLine="435"/>
        <w:spacing w:after="0" w:line="259" w:lineRule="auto"/>
        <w:rPr>
          <w:sz w:val="20"/>
          <w:szCs w:val="20"/>
          <w:color w:val="auto"/>
        </w:rPr>
      </w:pPr>
      <w:r>
        <w:rPr>
          <w:rFonts w:ascii="Arial" w:cs="Arial" w:eastAsia="Arial" w:hAnsi="Arial"/>
          <w:sz w:val="12"/>
          <w:szCs w:val="12"/>
          <w:color w:val="auto"/>
        </w:rPr>
        <w:t>Subject to the preferential rights of any other class or series of our stock and the provisions of our charter that restrict transfer and ownership of our stock discussed in the “Restrictions on Ownership and Transfer” section below, the holders of shares of our common stock are generally entitled to receive dividends on such stock out of assets legally available for distribution to the stockholders when, as and if authorized by our board of directors and declared by us. The holders of shares of our common stock will also be entitled to share ratably in our net assets legally available for distribution to stockholders in the event of our liquidation, dissolution or winding up, after payment of or adequate provision for all known debts and liabilities.</w:t>
      </w:r>
    </w:p>
    <w:p>
      <w:pPr>
        <w:spacing w:after="0" w:line="106" w:lineRule="exact"/>
        <w:rPr>
          <w:sz w:val="20"/>
          <w:szCs w:val="20"/>
          <w:color w:val="auto"/>
        </w:rPr>
      </w:pPr>
    </w:p>
    <w:p>
      <w:pPr>
        <w:ind w:firstLine="435"/>
        <w:spacing w:after="0" w:line="259" w:lineRule="auto"/>
        <w:rPr>
          <w:sz w:val="20"/>
          <w:szCs w:val="20"/>
          <w:color w:val="auto"/>
        </w:rPr>
      </w:pPr>
      <w:r>
        <w:rPr>
          <w:rFonts w:ascii="Arial" w:cs="Arial" w:eastAsia="Arial" w:hAnsi="Arial"/>
          <w:sz w:val="12"/>
          <w:szCs w:val="12"/>
          <w:color w:val="auto"/>
        </w:rPr>
        <w:t>Subject to the rights of any other class or series of our stock and the provisions of our charter that restrict transfer and ownership of our stock discussed in the “Restrictions on Ownership and Transfer” section below, each outstanding share of our common stock entitles the holder to one vote on all matters submitted to a vote of the stockholders, including the election of directors. Under our charter, there is no cumulative voting in the election of directors. Our bylaws require that each director be elected by a plurality of votes cast with respect to such director, except in the case of an uncontested election, in which case our bylaws require that each director be elected by a majority of votes cast with respect to such director.</w:t>
      </w:r>
    </w:p>
    <w:p>
      <w:pPr>
        <w:spacing w:after="0" w:line="97" w:lineRule="exact"/>
        <w:rPr>
          <w:sz w:val="20"/>
          <w:szCs w:val="20"/>
          <w:color w:val="auto"/>
        </w:rPr>
      </w:pPr>
    </w:p>
    <w:p>
      <w:pPr>
        <w:jc w:val="both"/>
        <w:ind w:right="220" w:firstLine="435"/>
        <w:spacing w:after="0" w:line="263" w:lineRule="auto"/>
        <w:rPr>
          <w:sz w:val="20"/>
          <w:szCs w:val="20"/>
          <w:color w:val="auto"/>
        </w:rPr>
      </w:pPr>
      <w:r>
        <w:rPr>
          <w:rFonts w:ascii="Arial" w:cs="Arial" w:eastAsia="Arial" w:hAnsi="Arial"/>
          <w:sz w:val="12"/>
          <w:szCs w:val="12"/>
          <w:color w:val="auto"/>
        </w:rPr>
        <w:t>Holders of shares of our common stock generally have no preference, conversion, exchange, sinking fund, redemption or appraisal rights and have no preemptive rights to subscribe for any of our securities. All outstanding shares of our common stock are fully paid and non-assessable. Subject to the provisions of our charter that restrict transfer and ownership of our stock, all shares of our common stock will have equal dividend, liquidation and other rights.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24" w:right="319" w:bottom="1440" w:gutter="0" w:footer="0" w:header="0"/>
        </w:sectPr>
      </w:pPr>
    </w:p>
    <w:bookmarkStart w:id="151" w:name="page152"/>
    <w:bookmarkEnd w:id="151"/>
    <w:p>
      <w:pPr>
        <w:spacing w:after="0"/>
        <w:rPr>
          <w:sz w:val="20"/>
          <w:szCs w:val="20"/>
          <w:color w:val="auto"/>
        </w:rPr>
      </w:pPr>
      <w:r>
        <w:rPr>
          <w:rFonts w:ascii="Arial" w:cs="Arial" w:eastAsia="Arial" w:hAnsi="Arial"/>
          <w:sz w:val="12"/>
          <w:szCs w:val="12"/>
          <w:b w:val="1"/>
          <w:bCs w:val="1"/>
          <w:color w:val="auto"/>
        </w:rPr>
        <w:t>Power to Increase or Decrease Authorized Shares of Common Stock and Issue Additional Shares of Common Stock</w:t>
      </w:r>
    </w:p>
    <w:p>
      <w:pPr>
        <w:spacing w:after="0" w:line="127" w:lineRule="exact"/>
        <w:rPr>
          <w:sz w:val="20"/>
          <w:szCs w:val="20"/>
          <w:color w:val="auto"/>
        </w:rPr>
      </w:pPr>
    </w:p>
    <w:p>
      <w:pPr>
        <w:ind w:right="320" w:firstLine="435"/>
        <w:spacing w:after="0" w:line="276" w:lineRule="auto"/>
        <w:rPr>
          <w:sz w:val="20"/>
          <w:szCs w:val="20"/>
          <w:color w:val="auto"/>
        </w:rPr>
      </w:pPr>
      <w:r>
        <w:rPr>
          <w:rFonts w:ascii="Arial" w:cs="Arial" w:eastAsia="Arial" w:hAnsi="Arial"/>
          <w:sz w:val="12"/>
          <w:szCs w:val="12"/>
          <w:color w:val="auto"/>
        </w:rPr>
        <w:t>Our charter authorizes our board of directors, with the approval of a majority of the entire board of directors and without stockholder approval, to amend our charter from time to time to increase or decrease the aggregate number of shares of common stock or the number of shares of any class or series of stock that we have the authority to issue.</w:t>
      </w:r>
    </w:p>
    <w:p>
      <w:pPr>
        <w:spacing w:after="0" w:line="97" w:lineRule="exact"/>
        <w:rPr>
          <w:sz w:val="20"/>
          <w:szCs w:val="20"/>
          <w:color w:val="auto"/>
        </w:rPr>
      </w:pPr>
    </w:p>
    <w:p>
      <w:pPr>
        <w:ind w:firstLine="435"/>
        <w:spacing w:after="0" w:line="255" w:lineRule="auto"/>
        <w:rPr>
          <w:sz w:val="20"/>
          <w:szCs w:val="20"/>
          <w:color w:val="auto"/>
        </w:rPr>
      </w:pPr>
      <w:r>
        <w:rPr>
          <w:rFonts w:ascii="Arial" w:cs="Arial" w:eastAsia="Arial" w:hAnsi="Arial"/>
          <w:sz w:val="12"/>
          <w:szCs w:val="12"/>
          <w:color w:val="auto"/>
        </w:rPr>
        <w:t>We believe that the power of our board of directors to amend our charter to increase or decrease the aggregate number of authorized shares of common stock and to authorize us to issue additional authorized but unissued shares of our common stock provides us with increased flexibility in structuring possible future financings and acquisitions and in meeting other needs that might arise. The additional classes or series, as well as the additional authorized shares of our common stock, will be available for issuance without further action by our stockholders, unless such action is required by applicable law, the terms of any class or series of preferred stock that we may issue in the future or the rules of any stock exchange or automated quotation system on which our securities may be listed or traded. Our board of directors could authorize us to issue a class or series of stock that could, depending upon the terms of the particular class or series, delay, defer or prevent a transaction or a change of control of the Company that might involve a premium price for holders of our common stock or that our common stockholders otherwise believe to be in their best interests.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registrar and transfer agent for our common stock is EQ Shareowner Services.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127" w:lineRule="exact"/>
        <w:rPr>
          <w:sz w:val="20"/>
          <w:szCs w:val="20"/>
          <w:color w:val="auto"/>
        </w:rPr>
      </w:pPr>
    </w:p>
    <w:p>
      <w:pPr>
        <w:ind w:right="5620" w:firstLine="435"/>
        <w:spacing w:after="0" w:line="461" w:lineRule="auto"/>
        <w:rPr>
          <w:sz w:val="20"/>
          <w:szCs w:val="20"/>
          <w:color w:val="auto"/>
        </w:rPr>
      </w:pPr>
      <w:r>
        <w:rPr>
          <w:rFonts w:ascii="Arial" w:cs="Arial" w:eastAsia="Arial" w:hAnsi="Arial"/>
          <w:sz w:val="12"/>
          <w:szCs w:val="12"/>
          <w:color w:val="auto"/>
        </w:rPr>
        <w:t xml:space="preserve">Our common stock is listed on the NASDAQ Global Select Market (“NASDAQ”) under the symbol “UNIT.” </w:t>
      </w:r>
      <w:r>
        <w:rPr>
          <w:rFonts w:ascii="Arial" w:cs="Arial" w:eastAsia="Arial" w:hAnsi="Arial"/>
          <w:sz w:val="12"/>
          <w:szCs w:val="12"/>
          <w:b w:val="1"/>
          <w:bCs w:val="1"/>
          <w:color w:val="auto"/>
        </w:rPr>
        <w:t>Restrictions on Ownership and Transfer</w:t>
      </w:r>
    </w:p>
    <w:p>
      <w:pPr>
        <w:spacing w:after="0" w:line="1" w:lineRule="exact"/>
        <w:rPr>
          <w:sz w:val="20"/>
          <w:szCs w:val="20"/>
          <w:color w:val="auto"/>
        </w:rPr>
      </w:pPr>
    </w:p>
    <w:p>
      <w:pPr>
        <w:ind w:firstLine="435"/>
        <w:spacing w:after="0" w:line="256" w:lineRule="auto"/>
        <w:rPr>
          <w:sz w:val="20"/>
          <w:szCs w:val="20"/>
          <w:color w:val="auto"/>
        </w:rPr>
      </w:pPr>
      <w:r>
        <w:rPr>
          <w:rFonts w:ascii="Arial" w:cs="Arial" w:eastAsia="Arial" w:hAnsi="Arial"/>
          <w:sz w:val="12"/>
          <w:szCs w:val="12"/>
          <w:color w:val="auto"/>
        </w:rPr>
        <w:t>In order for us to qualify as a REIT under the Internal Revenue Code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our stock may be owned, beneficially or constructively, by five or fewer individuals (as defined in the Code to include certain entities such as qualified pension plans) during the last half of a taxable year (other than the first year for which an election to be a REIT has been made). In addition, rent from related-party tenants (generally, a tenant of a REIT owned, beneficially or constructively, 10% or more by the REIT, or a 10% owner of the REIT) is not qualifying income for purposes of the gross income tests under the Code. To qualify as a REIT, we must satisfy other requirements as well.</w:t>
      </w:r>
    </w:p>
    <w:p>
      <w:pPr>
        <w:spacing w:after="0" w:line="101" w:lineRule="exact"/>
        <w:rPr>
          <w:sz w:val="20"/>
          <w:szCs w:val="20"/>
          <w:color w:val="auto"/>
        </w:rPr>
      </w:pPr>
    </w:p>
    <w:p>
      <w:pPr>
        <w:ind w:right="20" w:firstLine="435"/>
        <w:spacing w:after="0" w:line="255" w:lineRule="auto"/>
        <w:rPr>
          <w:sz w:val="20"/>
          <w:szCs w:val="20"/>
          <w:color w:val="auto"/>
        </w:rPr>
      </w:pPr>
      <w:r>
        <w:rPr>
          <w:rFonts w:ascii="Arial" w:cs="Arial" w:eastAsia="Arial" w:hAnsi="Arial"/>
          <w:sz w:val="12"/>
          <w:szCs w:val="12"/>
          <w:color w:val="auto"/>
        </w:rPr>
        <w:t>Our charter contains restrictions on the transfer and ownership of our stock. The relevant sections of our charter provide that, subject to the exceptions described below, no person or entity may beneficially own, or be deemed to own by virtue of the applicable constructive ownership provisions of the Code, more than 9.8% in value or in number, whichever is more restrictive, of the outstanding shares of our common stock or more than 9.8% in value of the aggregate of the outstanding shares of all classes and series of our stock. These limits are collectively referred to herein as the “ownership limits.” The constructive ownership rules under the Code are complex and may cause stock owned beneficially or constructively by a group of related individuals or entities to be owned constructively by one individual or entity. As a result, the acquisition of less than 9.8% of our outstanding common stock or less than 9.8% of our outstanding capital stock, or the acquisition of an interest in an entity that beneficially or constructively owns our stock, could, nevertheless, cause the acquiror, or another individual or entity, to own constructively shares of our outstanding stock in excess of the ownership limits.</w:t>
      </w:r>
    </w:p>
    <w:p>
      <w:pPr>
        <w:spacing w:after="0" w:line="101" w:lineRule="exact"/>
        <w:rPr>
          <w:sz w:val="20"/>
          <w:szCs w:val="20"/>
          <w:color w:val="auto"/>
        </w:rPr>
      </w:pPr>
    </w:p>
    <w:p>
      <w:pPr>
        <w:ind w:right="140" w:firstLine="435"/>
        <w:spacing w:after="0" w:line="340" w:lineRule="auto"/>
        <w:rPr>
          <w:sz w:val="20"/>
          <w:szCs w:val="20"/>
          <w:color w:val="auto"/>
        </w:rPr>
      </w:pPr>
      <w:r>
        <w:rPr>
          <w:rFonts w:ascii="Arial" w:cs="Arial" w:eastAsia="Arial" w:hAnsi="Arial"/>
          <w:sz w:val="10"/>
          <w:szCs w:val="10"/>
          <w:color w:val="auto"/>
        </w:rPr>
        <w:t>Upon receipt of certain representations and agreements and in its sole and absolute discretion, our board of directors is able to, prospectively or retroactively, exempt a person from the ownership limits or establish a different limit on ownership, or an excepted holder limit, for a particular stockholder if the stockholder’s ownership in excess of the ownership limits would not result in us being “closely held” under Section 856(h) of the Code or otherwise failing to qualify as a REIT. As a condition of granting a waiver of the ownership limits or creating an excepted holder limit, our board of directors will be able to, but is not required to, require an IRS ruling or opinion of counsel</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0" w:right="299" w:bottom="1440" w:gutter="0" w:footer="0" w:header="0"/>
        </w:sectPr>
      </w:pPr>
    </w:p>
    <w:bookmarkStart w:id="152" w:name="page153"/>
    <w:bookmarkEnd w:id="152"/>
    <w:p>
      <w:pPr>
        <w:spacing w:after="0"/>
        <w:rPr>
          <w:sz w:val="20"/>
          <w:szCs w:val="20"/>
          <w:color w:val="auto"/>
        </w:rPr>
      </w:pPr>
      <w:r>
        <w:rPr>
          <w:rFonts w:ascii="Arial" w:cs="Arial" w:eastAsia="Arial" w:hAnsi="Arial"/>
          <w:sz w:val="12"/>
          <w:szCs w:val="12"/>
          <w:color w:val="auto"/>
        </w:rPr>
        <w:t>satisfactory to our board of directors (in its sole discretion) as it may deem necessary or advisable to determine or ensure our status as a REIT.</w:t>
      </w:r>
    </w:p>
    <w:p>
      <w:pPr>
        <w:spacing w:after="0" w:line="123" w:lineRule="exact"/>
        <w:rPr>
          <w:sz w:val="20"/>
          <w:szCs w:val="20"/>
          <w:color w:val="auto"/>
        </w:rPr>
      </w:pPr>
    </w:p>
    <w:p>
      <w:pPr>
        <w:ind w:right="100" w:firstLine="435"/>
        <w:spacing w:after="0" w:line="259" w:lineRule="auto"/>
        <w:rPr>
          <w:sz w:val="20"/>
          <w:szCs w:val="20"/>
          <w:color w:val="auto"/>
        </w:rPr>
      </w:pPr>
      <w:r>
        <w:rPr>
          <w:rFonts w:ascii="Arial" w:cs="Arial" w:eastAsia="Arial" w:hAnsi="Arial"/>
          <w:sz w:val="12"/>
          <w:szCs w:val="12"/>
          <w:color w:val="auto"/>
        </w:rPr>
        <w:t>Our board of directors is also able to, from time to time, increase or decrease the ownership limits unless, after giving effect to the increased or decreased ownership limits, five or fewer persons could beneficially own or constructively own, in the aggregate, more than 49.9% in value of our outstanding stock or we would otherwise fail to qualify as a REIT. Decreased ownership limits will not apply to any person or entity whose ownership of our stock is in excess of the decreased ownership limits until the person or entity’s ownership of our stock equals or falls below the decreased ownership limits, but any further acquisition of our stock will be in violation of the decreased ownership limits.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charter also prohibits:</w:t>
      </w:r>
    </w:p>
    <w:p>
      <w:pPr>
        <w:spacing w:after="0" w:line="123" w:lineRule="exact"/>
        <w:rPr>
          <w:sz w:val="20"/>
          <w:szCs w:val="20"/>
          <w:color w:val="auto"/>
        </w:rPr>
      </w:pPr>
    </w:p>
    <w:p>
      <w:pPr>
        <w:ind w:left="860" w:right="100" w:hanging="436"/>
        <w:spacing w:after="0" w:line="276" w:lineRule="auto"/>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person from beneficially or constructively owning shares of our stock to the extent such beneficial or constructive ownership would result in us being “closely held” under Section 856(h) of the Code or otherwise cause us to fail to qualify as a REIT;</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person from transferring shares of our stock if the transfer would result in shares of our stock being beneficially owned by fewer than 100 persons;</w:t>
      </w:r>
    </w:p>
    <w:p>
      <w:pPr>
        <w:spacing w:after="0" w:line="123" w:lineRule="exact"/>
        <w:rPr>
          <w:rFonts w:ascii="Arial" w:cs="Arial" w:eastAsia="Arial" w:hAnsi="Arial"/>
          <w:sz w:val="12"/>
          <w:szCs w:val="12"/>
          <w:color w:val="auto"/>
        </w:rPr>
      </w:pPr>
    </w:p>
    <w:p>
      <w:pPr>
        <w:ind w:left="860" w:right="260" w:hanging="436"/>
        <w:spacing w:after="0" w:line="276" w:lineRule="auto"/>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person from beneficially owning shares of our stock to the extent such ownership would result in our failing to qualify as a “domestically controlled qualified investment entity,” within the meaning of Section 897(h) of the Code;</w:t>
      </w:r>
    </w:p>
    <w:p>
      <w:pPr>
        <w:spacing w:after="0" w:line="87" w:lineRule="exact"/>
        <w:rPr>
          <w:rFonts w:ascii="Arial" w:cs="Arial" w:eastAsia="Arial" w:hAnsi="Arial"/>
          <w:sz w:val="12"/>
          <w:szCs w:val="12"/>
          <w:color w:val="auto"/>
        </w:rPr>
      </w:pPr>
    </w:p>
    <w:p>
      <w:pPr>
        <w:ind w:left="860" w:right="40" w:hanging="436"/>
        <w:spacing w:after="0" w:line="276" w:lineRule="auto"/>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person from beneficially or constructively owning shares of our stock to the extent such beneficial or constructive ownership would cause us to own, beneficially or constructively, more than a 9.9% interest (as set forth in Section 856(d)(2)(B) of the Code) in a tenant of our real property; and</w:t>
      </w:r>
    </w:p>
    <w:p>
      <w:pPr>
        <w:spacing w:after="0" w:line="87" w:lineRule="exact"/>
        <w:rPr>
          <w:rFonts w:ascii="Arial" w:cs="Arial" w:eastAsia="Arial" w:hAnsi="Arial"/>
          <w:sz w:val="12"/>
          <w:szCs w:val="12"/>
          <w:color w:val="auto"/>
        </w:rPr>
      </w:pPr>
    </w:p>
    <w:p>
      <w:pPr>
        <w:ind w:left="860" w:right="180" w:hanging="436"/>
        <w:spacing w:after="0" w:line="323" w:lineRule="auto"/>
        <w:tabs>
          <w:tab w:leader="none" w:pos="8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any person from constructively owning shares of our stock to the extent such constructive ownership would cause any “eligible independent contractor” that operates a “qualified health care property” on behalf of a “taxable REIT subsidiary” (a “TRS”) of ours (as such terms are defined in Sections 856(d)(9)(A), 856(e)(6)(D)(i) and 856(l) of the Code, respectively) to fail to qualify as such.</w:t>
      </w:r>
    </w:p>
    <w:p>
      <w:pPr>
        <w:spacing w:after="0" w:line="65" w:lineRule="exact"/>
        <w:rPr>
          <w:sz w:val="20"/>
          <w:szCs w:val="20"/>
          <w:color w:val="auto"/>
        </w:rPr>
      </w:pPr>
    </w:p>
    <w:p>
      <w:pPr>
        <w:ind w:firstLine="435"/>
        <w:spacing w:after="0" w:line="289" w:lineRule="auto"/>
        <w:rPr>
          <w:sz w:val="20"/>
          <w:szCs w:val="20"/>
          <w:color w:val="auto"/>
        </w:rPr>
      </w:pPr>
      <w:r>
        <w:rPr>
          <w:rFonts w:ascii="Arial" w:cs="Arial" w:eastAsia="Arial" w:hAnsi="Arial"/>
          <w:sz w:val="11"/>
          <w:szCs w:val="11"/>
          <w:color w:val="auto"/>
        </w:rPr>
        <w:t>Any person who acquires or attempts or intends to acquire beneficial or constructive ownership of shares of our stock that will or may violate the ownership limits, or any of the other restrictions on transfer and ownership of our stock, and any person who is the intended transferee of shares of our stock that are transferred to the charitable trust described below, will be required to give immediate written notice and, in the case of a proposed transaction, at least 15 days prior written notice, to us and provide us with such other information as we may request in order to determine the effect of the transfer on our status as a REIT. The provisions of our charter regarding restrictions on transfer and ownership of our stock will not apply if our board of directors determines that it is no longer in our best interests to attempt to qualify, or to continue to qualify, as a REIT.</w:t>
      </w:r>
    </w:p>
    <w:p>
      <w:pPr>
        <w:spacing w:after="0" w:line="84" w:lineRule="exact"/>
        <w:rPr>
          <w:sz w:val="20"/>
          <w:szCs w:val="20"/>
          <w:color w:val="auto"/>
        </w:rPr>
      </w:pPr>
    </w:p>
    <w:p>
      <w:pPr>
        <w:ind w:right="20" w:firstLine="435"/>
        <w:spacing w:after="0" w:line="255" w:lineRule="auto"/>
        <w:rPr>
          <w:sz w:val="20"/>
          <w:szCs w:val="20"/>
          <w:color w:val="auto"/>
        </w:rPr>
      </w:pPr>
      <w:r>
        <w:rPr>
          <w:rFonts w:ascii="Arial" w:cs="Arial" w:eastAsia="Arial" w:hAnsi="Arial"/>
          <w:sz w:val="12"/>
          <w:szCs w:val="12"/>
          <w:color w:val="auto"/>
        </w:rPr>
        <w:t>Any attempted transfer of our stock which, if effective, would result in our stock being beneficially owned by fewer than 100 persons will be null and void and the proposed transferee will acquire no rights in such shares of our stock. Any attempted transfer of our stock which, if effective, would violate any of the other restrictions described above will cause the number of shares causing the violation (rounded up to the nearest whole share) to be automatically transferred to a trust for the exclusive benefit of one or more charitable beneficiaries, and the proposed transferee will not acquire any rights in the shares. The trustee of the trust will be appointed by us and will be unaffiliated with us and any proposed transferee of the shares. The automatic transfer will be effective as of the close of business on the business day prior to the date of the violative transfer or other event that results in a transfer to the trust. If the transfer to the trust as described above is not automatically effective, for any reason, to prevent violation of the applicable restrictions on transfer and ownership of our stock, then the transfer of the shares will be null and void and the proposed transferee will acquire no rights in such shares.</w:t>
      </w:r>
    </w:p>
    <w:p>
      <w:pPr>
        <w:spacing w:after="0" w:line="110" w:lineRule="exact"/>
        <w:rPr>
          <w:sz w:val="20"/>
          <w:szCs w:val="20"/>
          <w:color w:val="auto"/>
        </w:rPr>
      </w:pPr>
    </w:p>
    <w:p>
      <w:pPr>
        <w:ind w:right="100" w:firstLine="435"/>
        <w:spacing w:after="0" w:line="276" w:lineRule="auto"/>
        <w:rPr>
          <w:sz w:val="20"/>
          <w:szCs w:val="20"/>
          <w:color w:val="auto"/>
        </w:rPr>
      </w:pPr>
      <w:r>
        <w:rPr>
          <w:rFonts w:ascii="Arial" w:cs="Arial" w:eastAsia="Arial" w:hAnsi="Arial"/>
          <w:sz w:val="12"/>
          <w:szCs w:val="12"/>
          <w:color w:val="auto"/>
        </w:rPr>
        <w:t>Shares of our stock held in trust will be issued and outstanding shares. The proposed transferee will not benefit economically from ownership of any shares of our stock held in the trust, will have no rights to dividends and no rights to vote or other rights attributable to the shares of stock held in the trust. The trustee of the trust will exercise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153" w:name="page154"/>
    <w:bookmarkEnd w:id="153"/>
    <w:p>
      <w:pPr>
        <w:ind w:right="20"/>
        <w:spacing w:after="0" w:line="289" w:lineRule="auto"/>
        <w:rPr>
          <w:sz w:val="20"/>
          <w:szCs w:val="20"/>
          <w:color w:val="auto"/>
        </w:rPr>
      </w:pPr>
      <w:r>
        <w:rPr>
          <w:rFonts w:ascii="Arial" w:cs="Arial" w:eastAsia="Arial" w:hAnsi="Arial"/>
          <w:sz w:val="11"/>
          <w:szCs w:val="11"/>
          <w:color w:val="auto"/>
        </w:rPr>
        <w:t>all voting rights and receive all dividends and other distributions with respect to shares held in the trust for the exclusive benefit of the charitable beneficiary of the trust. Any dividend or other distribution paid prior to our discovery that shares have been transferred to a trust as described above must be repaid by the recipient to the trustee upon demand. Subject to Maryland law, effective as of the date that the shares have been transferred to the trust, the trustee will have the authority, at the trustee’s sole discretion, to rescind as void any vote cast by a proposed transferee prior to our discovery that the shares have been transferred to the trust and to recast the vote in accordance with the desires of the trustee acting for the benefit of the charitable beneficiary of the trust. However, if we have already taken irreversible corporate action, then the trustee may not rescind and recast the vote.</w:t>
      </w:r>
    </w:p>
    <w:p>
      <w:pPr>
        <w:spacing w:after="0" w:line="84" w:lineRule="exact"/>
        <w:rPr>
          <w:sz w:val="20"/>
          <w:szCs w:val="20"/>
          <w:color w:val="auto"/>
        </w:rPr>
      </w:pPr>
    </w:p>
    <w:p>
      <w:pPr>
        <w:ind w:right="240" w:firstLine="435"/>
        <w:spacing w:after="0" w:line="289" w:lineRule="auto"/>
        <w:rPr>
          <w:sz w:val="20"/>
          <w:szCs w:val="20"/>
          <w:color w:val="auto"/>
        </w:rPr>
      </w:pPr>
      <w:r>
        <w:rPr>
          <w:rFonts w:ascii="Arial" w:cs="Arial" w:eastAsia="Arial" w:hAnsi="Arial"/>
          <w:sz w:val="11"/>
          <w:szCs w:val="11"/>
          <w:color w:val="auto"/>
        </w:rPr>
        <w:t>If our board of directors or a committee thereof determines in good faith that a proposed transfer or other event has taken place that violates the restrictions on transfer and ownership of our stock set forth in our charter, our board of directors or such committee may take such action as it deems advisable to refuse to give effect to or to prevent such transfer, including, but not limited to, causing us to redeem shares of stock, refusing to give effect to the transfer on our books or instituting proceedings to enjoin the transfer; provided that any transfer or other event in violation of the above restrictions shall automatically result in the transfer to the trust described above, and, where applicable, such transfer or other event shall be null and void as provided above irrespective of any action or non-action by our board of directors or any committee or designee thereof.</w:t>
      </w:r>
    </w:p>
    <w:p>
      <w:pPr>
        <w:spacing w:after="0" w:line="93" w:lineRule="exact"/>
        <w:rPr>
          <w:sz w:val="20"/>
          <w:szCs w:val="20"/>
          <w:color w:val="auto"/>
        </w:rPr>
      </w:pPr>
    </w:p>
    <w:p>
      <w:pPr>
        <w:ind w:right="80" w:firstLine="435"/>
        <w:spacing w:after="0" w:line="283" w:lineRule="auto"/>
        <w:rPr>
          <w:sz w:val="20"/>
          <w:szCs w:val="20"/>
          <w:color w:val="auto"/>
        </w:rPr>
      </w:pPr>
      <w:r>
        <w:rPr>
          <w:rFonts w:ascii="Arial" w:cs="Arial" w:eastAsia="Arial" w:hAnsi="Arial"/>
          <w:sz w:val="11"/>
          <w:szCs w:val="11"/>
          <w:color w:val="auto"/>
        </w:rPr>
        <w:t>Shares of stock transferred to the trustee will be deemed offered for sale to us, or our designee, at a price per share equal to the lesser of (1) the price paid per share in the transaction that resulted in such transfer to the charitable trust (or, in the case of a devise or gift, the market price of such stock at the time of such devise or gift) and (2) the market price of such stock on the date we, or our designee, accept such offer. We may reduce the amount so payable to the trustee by the amount of any dividend or other distribution that we made to the proposed transferee before we discovered that the shares had been automatically transferred to the trust and that are then owed by the proposed transferee to the trustee as described above, and we may pay the amount of any such reduction to the trustee for distribution to the charitable beneficiary. We will have the right to accept such offer until the trustee has sold the shares held in the charitable trust, as discussed below. Upon a sale to us, the interest of the charitable beneficiary in the shares sold will terminate and the trustee will be required to distribute the net proceeds of the sale to the proposed transferee, and any distributions held by the trustee with respect to such shares to the charitable beneficiary.</w:t>
      </w:r>
    </w:p>
    <w:p>
      <w:pPr>
        <w:spacing w:after="0" w:line="86" w:lineRule="exact"/>
        <w:rPr>
          <w:sz w:val="20"/>
          <w:szCs w:val="20"/>
          <w:color w:val="auto"/>
        </w:rPr>
      </w:pPr>
    </w:p>
    <w:p>
      <w:pPr>
        <w:ind w:right="20" w:firstLine="435"/>
        <w:spacing w:after="0" w:line="310" w:lineRule="auto"/>
        <w:rPr>
          <w:sz w:val="20"/>
          <w:szCs w:val="20"/>
          <w:color w:val="auto"/>
        </w:rPr>
      </w:pPr>
      <w:r>
        <w:rPr>
          <w:rFonts w:ascii="Arial" w:cs="Arial" w:eastAsia="Arial" w:hAnsi="Arial"/>
          <w:sz w:val="10"/>
          <w:szCs w:val="10"/>
          <w:color w:val="auto"/>
        </w:rPr>
        <w:t>If we do not buy the shares, the trustee will be required, within 20 days of receiving notice from us of a transfer of shares to the trust, to sell the shares to a person or entity designated by the trustee who could own the shares without violating the ownership limits, or the other restrictions on transfer and ownership of our stock. After selling the shares, the interest of the charitable beneficiary in the shares transferred to the trust will terminate and the trustee will be required to distribute to the proposed transferee an amount equal to the lesser of (1) the price paid by the proposed transferee for the shares or, if the proposed transferee did not give value for the shares in connection with the event causing the shares to be held by the trust (e.g., in the case of a gift, devise or other such transaction), the market price of such stock on the day of the event causing the shares to be held by the trust and (2) the sales proceeds (net of any commissions and other expenses of sale) received by the trustee from the sale or other disposition of the shares. The trustee may reduce the amount payable to the proposed transferee by the amount of any dividends or other distributions that we paid to the proposed transferee before we discovered that the shares had been automatically transferred to the trust and that are then owed by the proposed transferee to the trustee as described above. Any net sales proceeds in excess of the amount payable to the proposed transferee will be paid immediately to the charitable beneficiary, together with any distributions thereon. If the proposed transferee sells such shares prior to the discovery that such shares have been transferred to the trustee, then (a) such shares shall be deemed to have been sold on behalf of the trust and (b) to the extent that the proposed transferee received an amount for such shares that exceeds the amount that such proposed transferee would have received if such shares had been sold by the trustee, such excess shall be paid to the trustee upon demand. The proposed transferee will have no rights in the shares held by the trustee.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Any certificates representing shares of our stock will bear a legend referring to the restrictions on transfer and ownership described above.</w:t>
      </w:r>
    </w:p>
    <w:p>
      <w:pPr>
        <w:spacing w:after="0" w:line="132" w:lineRule="exact"/>
        <w:rPr>
          <w:sz w:val="20"/>
          <w:szCs w:val="20"/>
          <w:color w:val="auto"/>
        </w:rPr>
      </w:pPr>
    </w:p>
    <w:p>
      <w:pPr>
        <w:ind w:firstLine="435"/>
        <w:spacing w:after="0" w:line="276" w:lineRule="auto"/>
        <w:rPr>
          <w:sz w:val="20"/>
          <w:szCs w:val="20"/>
          <w:color w:val="auto"/>
        </w:rPr>
      </w:pPr>
      <w:r>
        <w:rPr>
          <w:rFonts w:ascii="Arial" w:cs="Arial" w:eastAsia="Arial" w:hAnsi="Arial"/>
          <w:sz w:val="12"/>
          <w:szCs w:val="12"/>
          <w:color w:val="auto"/>
        </w:rPr>
        <w:t>Every owner of 5% or more (or such lower percentage as required by the Code or the regulations promulgated thereunder) of our stock, within 30 days after the end of each taxable year, will be required to give us written notice stating the person’s name and address, the number of shares of each class and series of our stock that the person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154" w:name="page155"/>
    <w:bookmarkEnd w:id="154"/>
    <w:p>
      <w:pPr>
        <w:ind w:right="20"/>
        <w:spacing w:after="0" w:line="259" w:lineRule="auto"/>
        <w:rPr>
          <w:sz w:val="20"/>
          <w:szCs w:val="20"/>
          <w:color w:val="auto"/>
        </w:rPr>
      </w:pPr>
      <w:r>
        <w:rPr>
          <w:rFonts w:ascii="Arial" w:cs="Arial" w:eastAsia="Arial" w:hAnsi="Arial"/>
          <w:sz w:val="12"/>
          <w:szCs w:val="12"/>
          <w:color w:val="auto"/>
        </w:rPr>
        <w:t>beneficially owns, a description of the manner in which the shares are held and any additional information that we request in order to determine the effect, if any, of the person’s beneficial ownership on our status as a REIT and to ensure compliance with the ownership limits. In addition, any beneficial owner or constructive owner of shares of our stock and any person or entity (including the stockholder of record) who holds shares of our stock for a beneficial owner or constructive owner will be required to, on request, disclose to us in writing such information as we may request in order to determine the effect, if any, of the stockholder’s beneficial and constructive ownership of our stock on our status as a REIT and to comply, or determine our compliance with, the requirements of any governmental or taxing authority.</w:t>
      </w:r>
    </w:p>
    <w:p>
      <w:pPr>
        <w:spacing w:after="0" w:line="97" w:lineRule="exact"/>
        <w:rPr>
          <w:sz w:val="20"/>
          <w:szCs w:val="20"/>
          <w:color w:val="auto"/>
        </w:rPr>
      </w:pPr>
    </w:p>
    <w:p>
      <w:pPr>
        <w:ind w:firstLine="435"/>
        <w:spacing w:after="0" w:line="276" w:lineRule="auto"/>
        <w:rPr>
          <w:sz w:val="20"/>
          <w:szCs w:val="20"/>
          <w:color w:val="auto"/>
        </w:rPr>
      </w:pPr>
      <w:r>
        <w:rPr>
          <w:rFonts w:ascii="Arial" w:cs="Arial" w:eastAsia="Arial" w:hAnsi="Arial"/>
          <w:sz w:val="12"/>
          <w:szCs w:val="12"/>
          <w:color w:val="auto"/>
        </w:rPr>
        <w:t>The restrictions on transfer and ownership described above could have the effect of delaying, deferring or preventing a change of control in which holders of shares of our stock might receive a premium for their shares over the then prevailing price.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CERTAIN PROVISIONS OF MARYLAND LAW AND OF OUR CHARTER AND BYLAWS</w:t>
      </w:r>
    </w:p>
    <w:p>
      <w:pPr>
        <w:spacing w:after="0" w:line="127" w:lineRule="exact"/>
        <w:rPr>
          <w:sz w:val="20"/>
          <w:szCs w:val="20"/>
          <w:color w:val="auto"/>
        </w:rPr>
      </w:pPr>
    </w:p>
    <w:p>
      <w:pPr>
        <w:ind w:right="20" w:firstLine="435"/>
        <w:spacing w:after="0" w:line="276" w:lineRule="auto"/>
        <w:rPr>
          <w:sz w:val="20"/>
          <w:szCs w:val="20"/>
          <w:color w:val="auto"/>
        </w:rPr>
      </w:pPr>
      <w:r>
        <w:rPr>
          <w:rFonts w:ascii="Arial" w:cs="Arial" w:eastAsia="Arial" w:hAnsi="Arial"/>
          <w:sz w:val="12"/>
          <w:szCs w:val="12"/>
          <w:color w:val="auto"/>
        </w:rPr>
        <w:t>The following summary of certain provisions of Maryland law and of our charter and bylaws does not purport to be complete and is subject to and qualified in its entirety by reference to our charter and bylaws, copies of which are filed with, or incorporated by reference, as exhibits to the Annual Report on Form 10-K to which this description is attached, and to the MGCL.</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Amendments to Our Charter and Bylaws and Approval of Extraordinary Actions</w:t>
      </w:r>
    </w:p>
    <w:p>
      <w:pPr>
        <w:spacing w:after="0" w:line="136" w:lineRule="exact"/>
        <w:rPr>
          <w:sz w:val="20"/>
          <w:szCs w:val="20"/>
          <w:color w:val="auto"/>
        </w:rPr>
      </w:pPr>
    </w:p>
    <w:p>
      <w:pPr>
        <w:ind w:right="60" w:firstLine="435"/>
        <w:spacing w:after="0" w:line="285" w:lineRule="auto"/>
        <w:rPr>
          <w:sz w:val="20"/>
          <w:szCs w:val="20"/>
          <w:color w:val="auto"/>
        </w:rPr>
      </w:pPr>
      <w:r>
        <w:rPr>
          <w:rFonts w:ascii="Arial" w:cs="Arial" w:eastAsia="Arial" w:hAnsi="Arial"/>
          <w:sz w:val="11"/>
          <w:szCs w:val="11"/>
          <w:color w:val="auto"/>
        </w:rPr>
        <w:t>Under Maryland law, a Maryland corporation generally cannot amend its charter, merge, consolidate, sell all or substantially all of its assets, engage in a statutory share exchange or dissolve unless the action is advised by the board of directors and approved by the affirmative vote of stockholders entitled to cast at least two-thirds of the votes entitled to be cast on the matter. However, a Maryland corporation may provide in its charter for approval of these actions by a lesser percentage, but not less than a majority of all of the votes entitled to be cast on the matter. Our charter provides that the affirmative vote of the holders of at least a majority in voting power of our outstanding stock is required to approve all charter amendments or extraordinary actions. However, Maryland law permits a Maryland corporation to transfer all or substantially all of its assets without the approval of the stockholders of the corporation to one or more persons if all of the equity interests of the person or persons are owned, directly or indirectly, by the corporation.</w:t>
      </w:r>
    </w:p>
    <w:p>
      <w:pPr>
        <w:spacing w:after="0" w:line="86" w:lineRule="exact"/>
        <w:rPr>
          <w:sz w:val="20"/>
          <w:szCs w:val="20"/>
          <w:color w:val="auto"/>
        </w:rPr>
      </w:pPr>
    </w:p>
    <w:p>
      <w:pPr>
        <w:jc w:val="both"/>
        <w:ind w:right="300" w:firstLine="435"/>
        <w:spacing w:after="0" w:line="263" w:lineRule="auto"/>
        <w:rPr>
          <w:sz w:val="20"/>
          <w:szCs w:val="20"/>
          <w:color w:val="auto"/>
        </w:rPr>
      </w:pPr>
      <w:r>
        <w:rPr>
          <w:rFonts w:ascii="Arial" w:cs="Arial" w:eastAsia="Arial" w:hAnsi="Arial"/>
          <w:sz w:val="12"/>
          <w:szCs w:val="12"/>
          <w:color w:val="auto"/>
        </w:rPr>
        <w:t>Our charter also requires the affirmative vote of the holders of at least a majority in voting power of our outstanding stock to amend the provisions of the charter relating to the restrictions on transfer and ownership of our stock, amendment of our bylaws, limitation of liability and indemnification of directors and officers, stockholder action and the inability of stockholders to act by written consent, and the amendment of the provision of our charter regarding amendments.</w:t>
      </w:r>
    </w:p>
    <w:p>
      <w:pPr>
        <w:spacing w:after="0" w:line="95" w:lineRule="exact"/>
        <w:rPr>
          <w:sz w:val="20"/>
          <w:szCs w:val="20"/>
          <w:color w:val="auto"/>
        </w:rPr>
      </w:pPr>
    </w:p>
    <w:p>
      <w:pPr>
        <w:ind w:right="180" w:firstLine="435"/>
        <w:spacing w:after="0" w:line="276" w:lineRule="auto"/>
        <w:rPr>
          <w:sz w:val="20"/>
          <w:szCs w:val="20"/>
          <w:color w:val="auto"/>
        </w:rPr>
      </w:pPr>
      <w:r>
        <w:rPr>
          <w:rFonts w:ascii="Arial" w:cs="Arial" w:eastAsia="Arial" w:hAnsi="Arial"/>
          <w:sz w:val="12"/>
          <w:szCs w:val="12"/>
          <w:color w:val="auto"/>
        </w:rPr>
        <w:t>Our board of directors has the authority, without any action by our stockholders, to amend the Company’s charter from time to time to increase or decrease the aggregate number of shares of stock or the number of shares of stock of any class or series that the Company has authority to issue.</w:t>
      </w:r>
    </w:p>
    <w:p>
      <w:pPr>
        <w:spacing w:after="0" w:line="97" w:lineRule="exact"/>
        <w:rPr>
          <w:sz w:val="20"/>
          <w:szCs w:val="20"/>
          <w:color w:val="auto"/>
        </w:rPr>
      </w:pPr>
    </w:p>
    <w:p>
      <w:pPr>
        <w:ind w:right="80" w:firstLine="435"/>
        <w:spacing w:after="0" w:line="263" w:lineRule="auto"/>
        <w:rPr>
          <w:sz w:val="20"/>
          <w:szCs w:val="20"/>
          <w:color w:val="auto"/>
        </w:rPr>
      </w:pPr>
      <w:r>
        <w:rPr>
          <w:rFonts w:ascii="Arial" w:cs="Arial" w:eastAsia="Arial" w:hAnsi="Arial"/>
          <w:sz w:val="12"/>
          <w:szCs w:val="12"/>
          <w:color w:val="auto"/>
        </w:rPr>
        <w:t>Any and all provisions of the bylaws may be repealed, altered, amended, or rescinded and new bylaws may be adopted (a) by the stockholders at any annual meeting of the stockholders or at any special meeting called for that purpose (provided that notice of such proposal is included in the notice of such meeting) and (b) by the board of directors at any regular or special meeting of the board of directors; provided, however, the board of directors does not have the power to alter or repeal any bylaw made by the stockholders.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spacing w:after="0" w:line="127" w:lineRule="exact"/>
        <w:rPr>
          <w:sz w:val="20"/>
          <w:szCs w:val="20"/>
          <w:color w:val="auto"/>
        </w:rPr>
      </w:pPr>
    </w:p>
    <w:p>
      <w:pPr>
        <w:ind w:right="60" w:firstLine="435"/>
        <w:spacing w:after="0" w:line="263" w:lineRule="auto"/>
        <w:rPr>
          <w:sz w:val="20"/>
          <w:szCs w:val="20"/>
          <w:color w:val="auto"/>
        </w:rPr>
      </w:pPr>
      <w:r>
        <w:rPr>
          <w:rFonts w:ascii="Arial" w:cs="Arial" w:eastAsia="Arial" w:hAnsi="Arial"/>
          <w:sz w:val="12"/>
          <w:szCs w:val="12"/>
          <w:color w:val="auto"/>
        </w:rPr>
        <w:t>The Company has elected not to be governed by the Maryland Business Combination Act. If it were not for this election (which is stated in our charter and can be amended only with the approval of the holders of at least a majority in voting power of our outstanding stock), under the MGCL, certain “business combinations” between us and any interested stockholder or affiliate of an interested stockholder would be prohibited for five years after the most recent date on which the interested stockholder becomes an interested stockholder. These business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84" w:right="319" w:bottom="1440" w:gutter="0" w:footer="0" w:header="0"/>
        </w:sectPr>
      </w:pPr>
    </w:p>
    <w:bookmarkStart w:id="155" w:name="page156"/>
    <w:bookmarkEnd w:id="155"/>
    <w:p>
      <w:pPr>
        <w:spacing w:after="0"/>
        <w:rPr>
          <w:sz w:val="20"/>
          <w:szCs w:val="20"/>
          <w:color w:val="auto"/>
        </w:rPr>
      </w:pPr>
      <w:r>
        <w:rPr>
          <w:rFonts w:ascii="Arial" w:cs="Arial" w:eastAsia="Arial" w:hAnsi="Arial"/>
          <w:sz w:val="11"/>
          <w:szCs w:val="11"/>
          <w:color w:val="auto"/>
        </w:rPr>
        <w:t>combinations include a merger, consolidation, share exchange or, in circumstances specified in the statute, an asset transfer or issuance or reclassification of equity securities. An interested stockholder is defined as:</w:t>
      </w:r>
    </w:p>
    <w:p>
      <w:pPr>
        <w:spacing w:after="0" w:line="135" w:lineRule="exact"/>
        <w:rPr>
          <w:sz w:val="20"/>
          <w:szCs w:val="20"/>
          <w:color w:val="auto"/>
        </w:rPr>
      </w:pPr>
    </w:p>
    <w:p>
      <w:pPr>
        <w:ind w:left="860" w:hanging="436"/>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any person who beneficially owns, directly or indirectly, 10% or more of the voting power of the corporation’s outstanding voting stock; or</w:t>
      </w:r>
    </w:p>
    <w:p>
      <w:pPr>
        <w:spacing w:after="0" w:line="123" w:lineRule="exact"/>
        <w:rPr>
          <w:rFonts w:ascii="Arial" w:cs="Arial" w:eastAsia="Arial" w:hAnsi="Arial"/>
          <w:sz w:val="12"/>
          <w:szCs w:val="12"/>
          <w:color w:val="auto"/>
        </w:rPr>
      </w:pPr>
    </w:p>
    <w:p>
      <w:pPr>
        <w:ind w:left="860" w:right="60" w:hanging="436"/>
        <w:spacing w:after="0" w:line="276" w:lineRule="auto"/>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88" w:lineRule="exact"/>
        <w:rPr>
          <w:sz w:val="20"/>
          <w:szCs w:val="20"/>
          <w:color w:val="auto"/>
        </w:rPr>
      </w:pPr>
    </w:p>
    <w:p>
      <w:pPr>
        <w:ind w:right="140" w:firstLine="435"/>
        <w:spacing w:after="0" w:line="323" w:lineRule="auto"/>
        <w:rPr>
          <w:sz w:val="20"/>
          <w:szCs w:val="20"/>
          <w:color w:val="auto"/>
        </w:rPr>
      </w:pPr>
      <w:r>
        <w:rPr>
          <w:rFonts w:ascii="Arial" w:cs="Arial" w:eastAsia="Arial" w:hAnsi="Arial"/>
          <w:sz w:val="11"/>
          <w:szCs w:val="11"/>
          <w:color w:val="auto"/>
        </w:rPr>
        <w:t>A person is not an interested stockholder under the statute if the board of directors approved in advance the transaction by which such person otherwise would have become an interested stockholder. However, in approving a transaction, a board of directors may provide that its approval is subject to compliance, at or after the time of approval, with any terms and conditions determined by the board of directors.</w:t>
      </w:r>
    </w:p>
    <w:p>
      <w:pPr>
        <w:spacing w:after="0" w:line="74" w:lineRule="exact"/>
        <w:rPr>
          <w:sz w:val="20"/>
          <w:szCs w:val="20"/>
          <w:color w:val="auto"/>
        </w:rPr>
      </w:pPr>
    </w:p>
    <w:p>
      <w:pPr>
        <w:ind w:right="300" w:firstLine="435"/>
        <w:spacing w:after="0" w:line="276" w:lineRule="auto"/>
        <w:rPr>
          <w:sz w:val="20"/>
          <w:szCs w:val="20"/>
          <w:color w:val="auto"/>
        </w:rPr>
      </w:pPr>
      <w:r>
        <w:rPr>
          <w:rFonts w:ascii="Arial" w:cs="Arial" w:eastAsia="Arial" w:hAnsi="Arial"/>
          <w:sz w:val="12"/>
          <w:szCs w:val="12"/>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88" w:lineRule="exact"/>
        <w:rPr>
          <w:sz w:val="20"/>
          <w:szCs w:val="20"/>
          <w:color w:val="auto"/>
        </w:rPr>
      </w:pPr>
    </w:p>
    <w:p>
      <w:pPr>
        <w:ind w:left="860" w:hanging="436"/>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80% of the votes entitled to be cast by holders of outstanding shares of voting stock of the corporation; and</w:t>
      </w:r>
    </w:p>
    <w:p>
      <w:pPr>
        <w:spacing w:after="0" w:line="123" w:lineRule="exact"/>
        <w:rPr>
          <w:rFonts w:ascii="Arial" w:cs="Arial" w:eastAsia="Arial" w:hAnsi="Arial"/>
          <w:sz w:val="12"/>
          <w:szCs w:val="12"/>
          <w:color w:val="auto"/>
        </w:rPr>
      </w:pPr>
    </w:p>
    <w:p>
      <w:pPr>
        <w:ind w:left="860" w:right="100" w:hanging="436"/>
        <w:spacing w:after="0" w:line="276" w:lineRule="auto"/>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voting together as a single class.</w:t>
      </w:r>
    </w:p>
    <w:p>
      <w:pPr>
        <w:spacing w:after="0" w:line="88" w:lineRule="exact"/>
        <w:rPr>
          <w:sz w:val="20"/>
          <w:szCs w:val="20"/>
          <w:color w:val="auto"/>
        </w:rPr>
      </w:pPr>
    </w:p>
    <w:p>
      <w:pPr>
        <w:ind w:right="80" w:firstLine="435"/>
        <w:spacing w:after="0" w:line="259" w:lineRule="auto"/>
        <w:rPr>
          <w:sz w:val="20"/>
          <w:szCs w:val="20"/>
          <w:color w:val="auto"/>
        </w:rPr>
      </w:pPr>
      <w:r>
        <w:rPr>
          <w:rFonts w:ascii="Arial" w:cs="Arial" w:eastAsia="Arial" w:hAnsi="Arial"/>
          <w:sz w:val="12"/>
          <w:szCs w:val="12"/>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In light of the election in our charter, however, the five-year prohibition and the supermajority vote requirements will not apply to business combinations between us and any interested stockholder of ours.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Control Share Acquisitions</w:t>
      </w:r>
    </w:p>
    <w:p>
      <w:pPr>
        <w:spacing w:after="0" w:line="136" w:lineRule="exact"/>
        <w:rPr>
          <w:sz w:val="20"/>
          <w:szCs w:val="20"/>
          <w:color w:val="auto"/>
        </w:rPr>
      </w:pPr>
    </w:p>
    <w:p>
      <w:pPr>
        <w:ind w:firstLine="435"/>
        <w:spacing w:after="0" w:line="256" w:lineRule="auto"/>
        <w:rPr>
          <w:sz w:val="20"/>
          <w:szCs w:val="20"/>
          <w:color w:val="auto"/>
        </w:rPr>
      </w:pPr>
      <w:r>
        <w:rPr>
          <w:rFonts w:ascii="Arial" w:cs="Arial" w:eastAsia="Arial" w:hAnsi="Arial"/>
          <w:sz w:val="12"/>
          <w:szCs w:val="12"/>
          <w:color w:val="auto"/>
        </w:rPr>
        <w:t>The Company has exempted all of its shares from the application of the Maryland Control Share Acquisition Act. If it were not for this exemption, Maryland law would provide that issued and outstanding shares of our stock acquired in a control share acquisition have no voting rights except to the extent approved by a vote of two-thirds of the votes entitled to be cast on the matter. Shares owned by the acquiror, by officers or by employees who are directors of the corporation are excluded from shares entitled to vote on the matter. Control shares are voting shares of stock that, if aggregated with all other shares of stock owned by the acquiror or in respect of which the acquiror is able to exercise or direct the exercise of voting power (except solely by virtue of a revocable proxy), would entitle the acquiror to, directly or indirectly, exercise voting power in electing directors within one of the following ranges of voting power:</w:t>
      </w:r>
    </w:p>
    <w:p>
      <w:pPr>
        <w:spacing w:after="0" w:line="101" w:lineRule="exact"/>
        <w:rPr>
          <w:sz w:val="20"/>
          <w:szCs w:val="20"/>
          <w:color w:val="auto"/>
        </w:rPr>
      </w:pPr>
    </w:p>
    <w:p>
      <w:pPr>
        <w:ind w:left="860" w:hanging="436"/>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one-tenth or more but less than one-third;</w:t>
      </w:r>
    </w:p>
    <w:p>
      <w:pPr>
        <w:spacing w:after="0" w:line="123" w:lineRule="exact"/>
        <w:rPr>
          <w:rFonts w:ascii="Arial" w:cs="Arial" w:eastAsia="Arial" w:hAnsi="Arial"/>
          <w:sz w:val="12"/>
          <w:szCs w:val="12"/>
          <w:color w:val="auto"/>
        </w:rPr>
      </w:pPr>
    </w:p>
    <w:p>
      <w:pPr>
        <w:ind w:left="860" w:hanging="436"/>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one-third or more but less than a majority; or</w:t>
      </w:r>
    </w:p>
    <w:p>
      <w:pPr>
        <w:spacing w:after="0" w:line="123" w:lineRule="exact"/>
        <w:rPr>
          <w:rFonts w:ascii="Arial" w:cs="Arial" w:eastAsia="Arial" w:hAnsi="Arial"/>
          <w:sz w:val="12"/>
          <w:szCs w:val="12"/>
          <w:color w:val="auto"/>
        </w:rPr>
      </w:pPr>
    </w:p>
    <w:p>
      <w:pPr>
        <w:ind w:left="860" w:hanging="436"/>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more than 50%.</w:t>
      </w:r>
    </w:p>
    <w:p>
      <w:pPr>
        <w:spacing w:after="0" w:line="123" w:lineRule="exact"/>
        <w:rPr>
          <w:sz w:val="20"/>
          <w:szCs w:val="20"/>
          <w:color w:val="auto"/>
        </w:rPr>
      </w:pPr>
    </w:p>
    <w:p>
      <w:pPr>
        <w:ind w:right="280" w:firstLine="435"/>
        <w:spacing w:after="0" w:line="276" w:lineRule="auto"/>
        <w:rPr>
          <w:sz w:val="20"/>
          <w:szCs w:val="20"/>
          <w:color w:val="auto"/>
        </w:rPr>
      </w:pPr>
      <w:r>
        <w:rPr>
          <w:rFonts w:ascii="Arial" w:cs="Arial" w:eastAsia="Arial" w:hAnsi="Arial"/>
          <w:sz w:val="12"/>
          <w:szCs w:val="12"/>
          <w:color w:val="auto"/>
        </w:rPr>
        <w:t>Control shares do not include shares the acquiror is then entitled to vote as a result of having previously obtained stockholder approval. A control share acquisition means the acquisition of control shares, subject to certain exceptions.</w:t>
      </w:r>
    </w:p>
    <w:p>
      <w:pPr>
        <w:spacing w:after="0" w:line="88" w:lineRule="exact"/>
        <w:rPr>
          <w:sz w:val="20"/>
          <w:szCs w:val="20"/>
          <w:color w:val="auto"/>
        </w:rPr>
      </w:pPr>
    </w:p>
    <w:p>
      <w:pPr>
        <w:jc w:val="center"/>
        <w:ind w:left="380"/>
        <w:spacing w:after="0"/>
        <w:rPr>
          <w:sz w:val="20"/>
          <w:szCs w:val="20"/>
          <w:color w:val="auto"/>
        </w:rPr>
      </w:pPr>
      <w:r>
        <w:rPr>
          <w:rFonts w:ascii="Arial" w:cs="Arial" w:eastAsia="Arial" w:hAnsi="Arial"/>
          <w:sz w:val="10"/>
          <w:szCs w:val="10"/>
          <w:color w:val="auto"/>
        </w:rPr>
        <w:t>A person who has made or proposes to make a control share acquisition may compel the board of directors of the corporation to call a special meeting of stockholders to be held within 50 days of demand to consider the voting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156" w:name="page157"/>
    <w:bookmarkEnd w:id="156"/>
    <w:p>
      <w:pPr>
        <w:ind w:right="320"/>
        <w:spacing w:after="0" w:line="276" w:lineRule="auto"/>
        <w:rPr>
          <w:sz w:val="20"/>
          <w:szCs w:val="20"/>
          <w:color w:val="auto"/>
        </w:rPr>
      </w:pPr>
      <w:r>
        <w:rPr>
          <w:rFonts w:ascii="Arial" w:cs="Arial" w:eastAsia="Arial" w:hAnsi="Arial"/>
          <w:sz w:val="12"/>
          <w:szCs w:val="12"/>
          <w:color w:val="auto"/>
        </w:rPr>
        <w:t>rights of the shares. The right to compel the calling of a special meeting is subject to the satisfaction or waiver of certain conditions, including an undertaking to pay the expenses of the special meeting. If no request for a special meeting is made, the corporation may itself present the question at any stockholder meeting.</w:t>
      </w:r>
    </w:p>
    <w:p>
      <w:pPr>
        <w:spacing w:after="0" w:line="88" w:lineRule="exact"/>
        <w:rPr>
          <w:sz w:val="20"/>
          <w:szCs w:val="20"/>
          <w:color w:val="auto"/>
        </w:rPr>
      </w:pPr>
    </w:p>
    <w:p>
      <w:pPr>
        <w:ind w:firstLine="435"/>
        <w:spacing w:after="0" w:line="256" w:lineRule="auto"/>
        <w:rPr>
          <w:sz w:val="20"/>
          <w:szCs w:val="20"/>
          <w:color w:val="auto"/>
        </w:rPr>
      </w:pPr>
      <w:r>
        <w:rPr>
          <w:rFonts w:ascii="Arial" w:cs="Arial" w:eastAsia="Arial" w:hAnsi="Arial"/>
          <w:sz w:val="12"/>
          <w:szCs w:val="12"/>
          <w:color w:val="auto"/>
        </w:rPr>
        <w:t>If voting rights are not approved at the special meeting or if the acquiror does not deliver an acquiring person statement as required by the statute, then the corporation may, subject to certain conditions and limitations,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10" w:lineRule="exact"/>
        <w:rPr>
          <w:sz w:val="20"/>
          <w:szCs w:val="20"/>
          <w:color w:val="auto"/>
        </w:rPr>
      </w:pPr>
    </w:p>
    <w:p>
      <w:pPr>
        <w:ind w:right="40" w:firstLine="435"/>
        <w:spacing w:after="0" w:line="276" w:lineRule="auto"/>
        <w:rPr>
          <w:sz w:val="20"/>
          <w:szCs w:val="20"/>
          <w:color w:val="auto"/>
        </w:rPr>
      </w:pPr>
      <w:r>
        <w:rPr>
          <w:rFonts w:ascii="Arial" w:cs="Arial" w:eastAsia="Arial" w:hAnsi="Arial"/>
          <w:sz w:val="12"/>
          <w:szCs w:val="12"/>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88" w:lineRule="exact"/>
        <w:rPr>
          <w:sz w:val="20"/>
          <w:szCs w:val="20"/>
          <w:color w:val="auto"/>
        </w:rPr>
      </w:pPr>
    </w:p>
    <w:p>
      <w:pPr>
        <w:ind w:right="120" w:firstLine="435"/>
        <w:spacing w:after="0" w:line="276" w:lineRule="auto"/>
        <w:rPr>
          <w:sz w:val="20"/>
          <w:szCs w:val="20"/>
          <w:color w:val="auto"/>
        </w:rPr>
      </w:pPr>
      <w:r>
        <w:rPr>
          <w:rFonts w:ascii="Arial" w:cs="Arial" w:eastAsia="Arial" w:hAnsi="Arial"/>
          <w:sz w:val="12"/>
          <w:szCs w:val="12"/>
          <w:color w:val="auto"/>
        </w:rPr>
        <w:t>Our charter contains a provision that exempts from the control share acquisition statute any and all acquisitions by any person of any shares of our stock. This charter provision can be amended only with the approval of the holders of at least a majority in voting power of our outstanding stock.</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Subtitle 8</w:t>
      </w:r>
    </w:p>
    <w:p>
      <w:pPr>
        <w:spacing w:after="0" w:line="136" w:lineRule="exact"/>
        <w:rPr>
          <w:sz w:val="20"/>
          <w:szCs w:val="20"/>
          <w:color w:val="auto"/>
        </w:rPr>
      </w:pPr>
    </w:p>
    <w:p>
      <w:pPr>
        <w:ind w:right="20" w:firstLine="435"/>
        <w:spacing w:after="0" w:line="263" w:lineRule="auto"/>
        <w:rPr>
          <w:sz w:val="20"/>
          <w:szCs w:val="20"/>
          <w:color w:val="auto"/>
        </w:rPr>
      </w:pPr>
      <w:r>
        <w:rPr>
          <w:rFonts w:ascii="Arial" w:cs="Arial" w:eastAsia="Arial" w:hAnsi="Arial"/>
          <w:sz w:val="12"/>
          <w:szCs w:val="12"/>
          <w:color w:val="auto"/>
        </w:rPr>
        <w:t>The Company is prohibited by its charter from electing to be subject to the “unsolicited takeover” provisions of Subtitle 8 of Title 3 of the MGCL, which permit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the charter or bylaws, to any or all of five provisions:</w:t>
      </w:r>
    </w:p>
    <w:p>
      <w:pPr>
        <w:spacing w:after="0" w:line="95" w:lineRule="exact"/>
        <w:rPr>
          <w:sz w:val="20"/>
          <w:szCs w:val="20"/>
          <w:color w:val="auto"/>
        </w:rPr>
      </w:pPr>
    </w:p>
    <w:p>
      <w:pPr>
        <w:ind w:left="860" w:hanging="436"/>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classified board;</w:t>
      </w:r>
    </w:p>
    <w:p>
      <w:pPr>
        <w:spacing w:after="0" w:line="123" w:lineRule="exact"/>
        <w:rPr>
          <w:rFonts w:ascii="Arial" w:cs="Arial" w:eastAsia="Arial" w:hAnsi="Arial"/>
          <w:sz w:val="12"/>
          <w:szCs w:val="12"/>
          <w:color w:val="auto"/>
        </w:rPr>
      </w:pPr>
    </w:p>
    <w:p>
      <w:pPr>
        <w:ind w:left="860" w:hanging="436"/>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two-thirds vote requirement for removing a director;</w:t>
      </w:r>
    </w:p>
    <w:p>
      <w:pPr>
        <w:spacing w:after="0" w:line="123" w:lineRule="exact"/>
        <w:rPr>
          <w:rFonts w:ascii="Arial" w:cs="Arial" w:eastAsia="Arial" w:hAnsi="Arial"/>
          <w:sz w:val="12"/>
          <w:szCs w:val="12"/>
          <w:color w:val="auto"/>
        </w:rPr>
      </w:pPr>
    </w:p>
    <w:p>
      <w:pPr>
        <w:ind w:left="860" w:hanging="436"/>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requirement that the number of directors be fixed only by vote of the directors;</w:t>
      </w:r>
    </w:p>
    <w:p>
      <w:pPr>
        <w:spacing w:after="0" w:line="123" w:lineRule="exact"/>
        <w:rPr>
          <w:rFonts w:ascii="Arial" w:cs="Arial" w:eastAsia="Arial" w:hAnsi="Arial"/>
          <w:sz w:val="12"/>
          <w:szCs w:val="12"/>
          <w:color w:val="auto"/>
        </w:rPr>
      </w:pPr>
    </w:p>
    <w:p>
      <w:pPr>
        <w:ind w:left="860" w:right="220" w:hanging="436"/>
        <w:spacing w:after="0" w:line="276" w:lineRule="auto"/>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requirement that a vacancy on the board be filled only by the affirmative vote of a majority of the remaining directors in office and such director shall hold office for the remainder of the full term of the class of directors in which the vacancy occurred and until a successor is elected and qualified; and</w:t>
      </w:r>
    </w:p>
    <w:p>
      <w:pPr>
        <w:spacing w:after="0" w:line="87" w:lineRule="exact"/>
        <w:rPr>
          <w:rFonts w:ascii="Arial" w:cs="Arial" w:eastAsia="Arial" w:hAnsi="Arial"/>
          <w:sz w:val="12"/>
          <w:szCs w:val="12"/>
          <w:color w:val="auto"/>
        </w:rPr>
      </w:pPr>
    </w:p>
    <w:p>
      <w:pPr>
        <w:ind w:left="860" w:hanging="436"/>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majority requirement for the calling of a special meeting of stockholders.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prohibition may be rescinded or amended only with the approval of at least a majority in voting power of our outstanding stock.</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Meetings of the Stockholders; Stockholder Action by Written Consent</w:t>
      </w:r>
    </w:p>
    <w:p>
      <w:pPr>
        <w:spacing w:after="0" w:line="136" w:lineRule="exact"/>
        <w:rPr>
          <w:sz w:val="20"/>
          <w:szCs w:val="20"/>
          <w:color w:val="auto"/>
        </w:rPr>
      </w:pPr>
    </w:p>
    <w:p>
      <w:pPr>
        <w:ind w:right="60" w:firstLine="435"/>
        <w:spacing w:after="0" w:line="276" w:lineRule="auto"/>
        <w:rPr>
          <w:sz w:val="20"/>
          <w:szCs w:val="20"/>
          <w:color w:val="auto"/>
        </w:rPr>
      </w:pPr>
      <w:r>
        <w:rPr>
          <w:rFonts w:ascii="Arial" w:cs="Arial" w:eastAsia="Arial" w:hAnsi="Arial"/>
          <w:sz w:val="12"/>
          <w:szCs w:val="12"/>
          <w:color w:val="auto"/>
        </w:rPr>
        <w:t>Our charter provides that special meetings of the stockholders may be called at any time by our board of directors or upon the written request of the holders of not less than 20% in voting power of our outstanding stock. Our charter prohibits stockholders from taking any action by written consent in lieu of a meeting for so long as any security of the Company is registered under Section 12 of the Exchange Act.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Transactions Outside the Ordinary Course of Business</w:t>
      </w:r>
    </w:p>
    <w:p>
      <w:pPr>
        <w:spacing w:after="0" w:line="127" w:lineRule="exact"/>
        <w:rPr>
          <w:sz w:val="20"/>
          <w:szCs w:val="20"/>
          <w:color w:val="auto"/>
        </w:rPr>
      </w:pPr>
    </w:p>
    <w:p>
      <w:pPr>
        <w:ind w:right="240" w:firstLine="435"/>
        <w:spacing w:after="0" w:line="276" w:lineRule="auto"/>
        <w:rPr>
          <w:sz w:val="20"/>
          <w:szCs w:val="20"/>
          <w:color w:val="auto"/>
        </w:rPr>
      </w:pPr>
      <w:r>
        <w:rPr>
          <w:rFonts w:ascii="Arial" w:cs="Arial" w:eastAsia="Arial" w:hAnsi="Arial"/>
          <w:sz w:val="12"/>
          <w:szCs w:val="12"/>
          <w:color w:val="auto"/>
        </w:rPr>
        <w:t>Under the MGCL, a Maryland corporation generally may not dissolve, merge or consolidate with another entity, sell all or substantially all of its assets or engage in a statutory share exchange unless the action is declared advisable by the board of directors and approved by the affirmative vote of stockholders entitled to cast at least two-thirds of</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00"/>
          </w:cols>
          <w:pgMar w:left="300" w:top="284" w:right="399" w:bottom="1440" w:gutter="0" w:footer="0" w:header="0"/>
        </w:sectPr>
      </w:pPr>
    </w:p>
    <w:bookmarkStart w:id="157" w:name="page158"/>
    <w:bookmarkEnd w:id="157"/>
    <w:p>
      <w:pPr>
        <w:spacing w:after="0" w:line="276" w:lineRule="auto"/>
        <w:rPr>
          <w:sz w:val="20"/>
          <w:szCs w:val="20"/>
          <w:color w:val="auto"/>
        </w:rPr>
      </w:pPr>
      <w:r>
        <w:rPr>
          <w:rFonts w:ascii="Arial" w:cs="Arial" w:eastAsia="Arial" w:hAnsi="Arial"/>
          <w:sz w:val="12"/>
          <w:szCs w:val="12"/>
          <w:color w:val="auto"/>
        </w:rPr>
        <w:t>the votes entitled to be cast on the matter, unless a lesser percentage (but not less than a majority of all of the votes entitled to be cast on the matter) is specified in the corporation’s charter. Our charter provides that these actions must be approved by a majority in voting power of our outstanding stock.</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Advance Notice of Director Nomination and New Business</w:t>
      </w:r>
    </w:p>
    <w:p>
      <w:pPr>
        <w:spacing w:after="0" w:line="136" w:lineRule="exact"/>
        <w:rPr>
          <w:sz w:val="20"/>
          <w:szCs w:val="20"/>
          <w:color w:val="auto"/>
        </w:rPr>
      </w:pPr>
    </w:p>
    <w:p>
      <w:pPr>
        <w:ind w:firstLine="435"/>
        <w:spacing w:after="0" w:line="289" w:lineRule="auto"/>
        <w:rPr>
          <w:sz w:val="20"/>
          <w:szCs w:val="20"/>
          <w:color w:val="auto"/>
        </w:rPr>
      </w:pPr>
      <w:r>
        <w:rPr>
          <w:rFonts w:ascii="Arial" w:cs="Arial" w:eastAsia="Arial" w:hAnsi="Arial"/>
          <w:sz w:val="11"/>
          <w:szCs w:val="11"/>
          <w:color w:val="auto"/>
        </w:rPr>
        <w:t>Our bylaws provide that, at any annual meeting of stockholders, nominations of individuals for election to the board of directors and proposals of business to be considered by stockholders may be made only (1) pursuant to our notice of the meeting, (2) by or at the direction of the board of directors or (3) by a stockholder who was a stockholder of record at the time of provision of notice and at the time of the meeting, is entitled to vote at the meeting in the election of directors or on such other proposed business and who has complied with the advance notice procedures of our bylaws. The stockholder generally must provide notice to the secretary not less than 120 days nor more than 150 days prior to the first anniversary of the date of preceding year’s annual meeting. Only the business specified in our notice of meeting may be brought before any special meeting of stockholders.</w:t>
      </w:r>
    </w:p>
    <w:p>
      <w:pPr>
        <w:spacing w:after="0" w:line="84" w:lineRule="exact"/>
        <w:rPr>
          <w:sz w:val="20"/>
          <w:szCs w:val="20"/>
          <w:color w:val="auto"/>
        </w:rPr>
      </w:pPr>
    </w:p>
    <w:p>
      <w:pPr>
        <w:ind w:right="60" w:firstLine="435"/>
        <w:spacing w:after="0" w:line="281" w:lineRule="auto"/>
        <w:rPr>
          <w:sz w:val="20"/>
          <w:szCs w:val="20"/>
          <w:color w:val="auto"/>
        </w:rPr>
      </w:pPr>
      <w:r>
        <w:rPr>
          <w:rFonts w:ascii="Arial" w:cs="Arial" w:eastAsia="Arial" w:hAnsi="Arial"/>
          <w:sz w:val="11"/>
          <w:szCs w:val="11"/>
          <w:color w:val="auto"/>
        </w:rPr>
        <w:t>Our bylaws provide that nominations of individuals for election to our board of directors at a meeting of stockholders may be made only (1) by or at the direction of the board of directors or (2) by any stockholder of record at the time of provision of the notice and at the time of the meeting, who is entitled to vote at the meeting in the election of each individual so nominated and who has complied with the advance notice provisions set forth in our bylaws. Such stockholder will be entitled to nominate one or more individuals, as the case may be, for election as a director if the stockholder’s notice, containing the information required by our bylaws, is delivered to the secretary (i) in the case of an annual meeting, not less than 120 days nor more than 150 days prior to the anniversary of our preceding year’s annual meeting; provided that if the date of the annual meeting is changed by more than 30 days from such anniversary date, notice must be received not later than the close of business on the 10th day following the day on which public announcement of the date of such meeting is first made, or (ii) in the case of a special meeting, not earlier than 120 days prior to such special meeting and not later than the later of 90 days prior to such special meeting or the 10th day following the day on which public announcement is first made of the date of the special meeting and of the nominees proposed by the board of directors to be elected at such meeting.</w:t>
      </w:r>
    </w:p>
    <w:p>
      <w:pPr>
        <w:spacing w:after="0" w:line="88" w:lineRule="exact"/>
        <w:rPr>
          <w:sz w:val="20"/>
          <w:szCs w:val="20"/>
          <w:color w:val="auto"/>
        </w:rPr>
      </w:pPr>
    </w:p>
    <w:p>
      <w:pPr>
        <w:jc w:val="both"/>
        <w:ind w:right="80" w:firstLine="435"/>
        <w:spacing w:after="0" w:line="263" w:lineRule="auto"/>
        <w:rPr>
          <w:sz w:val="20"/>
          <w:szCs w:val="20"/>
          <w:color w:val="auto"/>
        </w:rPr>
      </w:pPr>
      <w:r>
        <w:rPr>
          <w:rFonts w:ascii="Arial" w:cs="Arial" w:eastAsia="Arial" w:hAnsi="Arial"/>
          <w:sz w:val="12"/>
          <w:szCs w:val="12"/>
          <w:color w:val="auto"/>
        </w:rPr>
        <w:t>The purpose of requiring stockholders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stockholders and make recommendations regarding the nominations or other proposals. The advance notice procedures will also permit a more orderly procedure for conducting stockholder meetings.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Effect of Certain Provisions of Maryland Law and of Our Charter and Bylaws</w:t>
      </w:r>
    </w:p>
    <w:p>
      <w:pPr>
        <w:spacing w:after="0" w:line="127" w:lineRule="exact"/>
        <w:rPr>
          <w:sz w:val="20"/>
          <w:szCs w:val="20"/>
          <w:color w:val="auto"/>
        </w:rPr>
      </w:pPr>
    </w:p>
    <w:p>
      <w:pPr>
        <w:jc w:val="both"/>
        <w:ind w:right="20" w:firstLine="435"/>
        <w:spacing w:after="0" w:line="263" w:lineRule="auto"/>
        <w:rPr>
          <w:sz w:val="20"/>
          <w:szCs w:val="20"/>
          <w:color w:val="auto"/>
        </w:rPr>
      </w:pPr>
      <w:r>
        <w:rPr>
          <w:rFonts w:ascii="Arial" w:cs="Arial" w:eastAsia="Arial" w:hAnsi="Arial"/>
          <w:sz w:val="12"/>
          <w:szCs w:val="12"/>
          <w:color w:val="auto"/>
        </w:rPr>
        <w:t>The restrictions on transfer and ownership of our stock will prohibit any person from acquiring more than 9.8% in value or in number, whichever is more restrictive, of the outstanding shares of our common stock or more than 9.8% in value of the aggregate of the outstanding shares of all classes and series of our stock, without the prior consent of our board of directors. Because our board of directors will be able to approve exceptions to the ownership limits, the ownership limits will not interfere with a merger or other business combination approved by our board of directors.</w:t>
      </w:r>
    </w:p>
    <w:p>
      <w:pPr>
        <w:spacing w:after="0" w:line="95" w:lineRule="exact"/>
        <w:rPr>
          <w:sz w:val="20"/>
          <w:szCs w:val="20"/>
          <w:color w:val="auto"/>
        </w:rPr>
      </w:pPr>
    </w:p>
    <w:p>
      <w:pPr>
        <w:ind w:right="120" w:firstLine="435"/>
        <w:spacing w:after="0" w:line="298" w:lineRule="auto"/>
        <w:rPr>
          <w:sz w:val="20"/>
          <w:szCs w:val="20"/>
          <w:color w:val="auto"/>
        </w:rPr>
      </w:pPr>
      <w:r>
        <w:rPr>
          <w:rFonts w:ascii="Arial" w:cs="Arial" w:eastAsia="Arial" w:hAnsi="Arial"/>
          <w:sz w:val="11"/>
          <w:szCs w:val="11"/>
          <w:color w:val="auto"/>
        </w:rPr>
        <w:t>The provisions described above, along with other provisions of the MGCL and our charter and bylaws discussed above, including provisions relating to the removal of directors and the filling of vacancies, the advance notice provisions and the procedures that stockholders will be required to follow to request a special meeting, alone or in combination, could have the effect of delaying, deferring or preventing a proxy contest, tender offer, merger or other change in control of us that might involve a premium price for shares of our common stockholders or otherwise be in the best interest of our stockholders, and could increase the difficulty of consummating any offer.</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Exclusive Forum</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bylaws designate the Circuit Court for Baltimore City, Maryland (and, in some circumstances, other federal and state courts in Maryland) as the exclusive forum for resolving:</w:t>
      </w:r>
    </w:p>
    <w:p>
      <w:pPr>
        <w:spacing w:after="0" w:line="123" w:lineRule="exact"/>
        <w:rPr>
          <w:sz w:val="20"/>
          <w:szCs w:val="20"/>
          <w:color w:val="auto"/>
        </w:rPr>
      </w:pPr>
    </w:p>
    <w:p>
      <w:pPr>
        <w:ind w:left="860" w:hanging="436"/>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any derivative action or proceeding brought on behalf of the Company;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84" w:right="319" w:bottom="1440" w:gutter="0" w:footer="0" w:header="0"/>
        </w:sectPr>
      </w:pPr>
    </w:p>
    <w:bookmarkStart w:id="158" w:name="page159"/>
    <w:bookmarkEnd w:id="158"/>
    <w:p>
      <w:pPr>
        <w:ind w:left="868" w:hanging="436"/>
        <w:spacing w:after="0"/>
        <w:tabs>
          <w:tab w:leader="none" w:pos="8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action asserting a claim for breach of fiduciary duty owed by any director, officer, stockholder, employee or agent of the Company to the Company or its stockholders;</w:t>
      </w:r>
    </w:p>
    <w:p>
      <w:pPr>
        <w:spacing w:after="0" w:line="123" w:lineRule="exact"/>
        <w:rPr>
          <w:rFonts w:ascii="Arial" w:cs="Arial" w:eastAsia="Arial" w:hAnsi="Arial"/>
          <w:sz w:val="12"/>
          <w:szCs w:val="12"/>
          <w:color w:val="auto"/>
        </w:rPr>
      </w:pPr>
    </w:p>
    <w:p>
      <w:pPr>
        <w:ind w:left="868" w:hanging="436"/>
        <w:spacing w:after="0"/>
        <w:tabs>
          <w:tab w:leader="none" w:pos="8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any action asserting a claim against the Company or any director, officer, stockholder, employee or agent of the Company arising out of or relating to any provision of the MGCL, our charter or our bylaws; or</w:t>
      </w:r>
    </w:p>
    <w:p>
      <w:pPr>
        <w:spacing w:after="0" w:line="134" w:lineRule="exact"/>
        <w:rPr>
          <w:rFonts w:ascii="Arial" w:cs="Arial" w:eastAsia="Arial" w:hAnsi="Arial"/>
          <w:sz w:val="11"/>
          <w:szCs w:val="11"/>
          <w:color w:val="auto"/>
        </w:rPr>
      </w:pPr>
    </w:p>
    <w:p>
      <w:pPr>
        <w:ind w:left="868" w:hanging="436"/>
        <w:spacing w:after="0"/>
        <w:tabs>
          <w:tab w:leader="none" w:pos="8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action asserting a claim against the Company or any director, officer, stockholder, employee or agent of the Company governed by the internal affairs doctrine of the State of Maryland.</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Limitation of Liability and Indemnification of Directors and Executive Officers</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Maryland law permits a Maryland corporation to include in its charter a provision that limits the liability of its directors and officers to the corporation and its stockholders for money damages, except for liability resulting from</w:t>
      </w:r>
    </w:p>
    <w:p>
      <w:pPr>
        <w:spacing w:after="0" w:line="26" w:lineRule="exact"/>
        <w:rPr>
          <w:sz w:val="20"/>
          <w:szCs w:val="20"/>
          <w:color w:val="auto"/>
        </w:rPr>
      </w:pPr>
    </w:p>
    <w:p>
      <w:pPr>
        <w:ind w:left="8" w:hanging="8"/>
        <w:spacing w:after="0" w:line="260" w:lineRule="auto"/>
        <w:tabs>
          <w:tab w:leader="none" w:pos="178" w:val="left"/>
        </w:tabs>
        <w:numPr>
          <w:ilvl w:val="0"/>
          <w:numId w:val="40"/>
        </w:numPr>
        <w:rPr>
          <w:rFonts w:ascii="Arial" w:cs="Arial" w:eastAsia="Arial" w:hAnsi="Arial"/>
          <w:sz w:val="12"/>
          <w:szCs w:val="12"/>
          <w:color w:val="auto"/>
        </w:rPr>
      </w:pPr>
      <w:r>
        <w:rPr>
          <w:rFonts w:ascii="Arial" w:cs="Arial" w:eastAsia="Arial" w:hAnsi="Arial"/>
          <w:sz w:val="12"/>
          <w:szCs w:val="12"/>
          <w:color w:val="auto"/>
        </w:rPr>
        <w:t>actual receipt of an improper benefit or profit in money, property or services or (2) active or deliberate dishonesty that is established by a final judgment and that is material to the cause of action. Our charter contains a provision that limits, to the maximum extent permitted by Maryland law, the liability of our directors and officers to us and our stockholders for money damages.</w:t>
      </w:r>
    </w:p>
    <w:p>
      <w:pPr>
        <w:spacing w:after="0" w:line="106" w:lineRule="exact"/>
        <w:rPr>
          <w:sz w:val="20"/>
          <w:szCs w:val="20"/>
          <w:color w:val="auto"/>
        </w:rPr>
      </w:pPr>
    </w:p>
    <w:p>
      <w:pPr>
        <w:ind w:left="8" w:right="20" w:firstLine="435"/>
        <w:spacing w:after="0" w:line="259" w:lineRule="auto"/>
        <w:rPr>
          <w:sz w:val="20"/>
          <w:szCs w:val="20"/>
          <w:color w:val="auto"/>
        </w:rPr>
      </w:pPr>
      <w:r>
        <w:rPr>
          <w:rFonts w:ascii="Arial" w:cs="Arial" w:eastAsia="Arial" w:hAnsi="Arial"/>
          <w:sz w:val="12"/>
          <w:szCs w:val="12"/>
          <w:color w:val="auto"/>
        </w:rPr>
        <w:t>Maryland law requires a Maryland corporation (unless otherwise provided in its charter, which our charter does not) to indemnify a director or officer who has been successful, on the merits or otherwise, in the defense of any proceeding to which he or she is made or threatened to be made a party by reason of his or her service in that capacity. Maryland law permits a Maryland corporation (which our charter provides for, to the maximum extent permitted by Maryland law)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that capacity unless it is established that:</w:t>
      </w:r>
    </w:p>
    <w:p>
      <w:pPr>
        <w:spacing w:after="0" w:line="97" w:lineRule="exact"/>
        <w:rPr>
          <w:sz w:val="20"/>
          <w:szCs w:val="20"/>
          <w:color w:val="auto"/>
        </w:rPr>
      </w:pPr>
    </w:p>
    <w:p>
      <w:pPr>
        <w:ind w:left="868" w:hanging="436"/>
        <w:spacing w:after="0"/>
        <w:tabs>
          <w:tab w:leader="none" w:pos="86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act or omission of the director or officer was material to the matter giving rise to the proceeding and (1) was committed in bad faith or (2) was the result of active and deliberate dishonesty;</w:t>
      </w:r>
    </w:p>
    <w:p>
      <w:pPr>
        <w:spacing w:after="0" w:line="123" w:lineRule="exact"/>
        <w:rPr>
          <w:rFonts w:ascii="Arial" w:cs="Arial" w:eastAsia="Arial" w:hAnsi="Arial"/>
          <w:sz w:val="12"/>
          <w:szCs w:val="12"/>
          <w:color w:val="auto"/>
        </w:rPr>
      </w:pPr>
    </w:p>
    <w:p>
      <w:pPr>
        <w:ind w:left="868" w:hanging="436"/>
        <w:spacing w:after="0"/>
        <w:tabs>
          <w:tab w:leader="none" w:pos="86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director or officer actually received an improper personal benefit in money, property or services; or</w:t>
      </w:r>
    </w:p>
    <w:p>
      <w:pPr>
        <w:spacing w:after="0" w:line="123" w:lineRule="exact"/>
        <w:rPr>
          <w:rFonts w:ascii="Arial" w:cs="Arial" w:eastAsia="Arial" w:hAnsi="Arial"/>
          <w:sz w:val="12"/>
          <w:szCs w:val="12"/>
          <w:color w:val="auto"/>
        </w:rPr>
      </w:pPr>
    </w:p>
    <w:p>
      <w:pPr>
        <w:ind w:left="868" w:hanging="436"/>
        <w:spacing w:after="0"/>
        <w:tabs>
          <w:tab w:leader="none" w:pos="868"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w:t>
      </w:r>
    </w:p>
    <w:p>
      <w:pPr>
        <w:spacing w:after="0" w:line="123" w:lineRule="exact"/>
        <w:rPr>
          <w:sz w:val="20"/>
          <w:szCs w:val="20"/>
          <w:color w:val="auto"/>
        </w:rPr>
      </w:pPr>
    </w:p>
    <w:p>
      <w:pPr>
        <w:ind w:left="8" w:right="120" w:firstLine="435"/>
        <w:spacing w:after="0" w:line="259" w:lineRule="auto"/>
        <w:rPr>
          <w:sz w:val="20"/>
          <w:szCs w:val="20"/>
          <w:color w:val="auto"/>
        </w:rPr>
      </w:pPr>
      <w:r>
        <w:rPr>
          <w:rFonts w:ascii="Arial" w:cs="Arial" w:eastAsia="Arial" w:hAnsi="Arial"/>
          <w:sz w:val="12"/>
          <w:szCs w:val="12"/>
          <w:color w:val="auto"/>
        </w:rPr>
        <w:t>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will be limited to expenses.</w:t>
      </w:r>
    </w:p>
    <w:p>
      <w:pPr>
        <w:spacing w:after="0" w:line="97" w:lineRule="exact"/>
        <w:rPr>
          <w:sz w:val="20"/>
          <w:szCs w:val="20"/>
          <w:color w:val="auto"/>
        </w:rPr>
      </w:pPr>
    </w:p>
    <w:p>
      <w:pPr>
        <w:ind w:left="8" w:right="200" w:firstLine="435"/>
        <w:spacing w:after="0" w:line="263" w:lineRule="auto"/>
        <w:rPr>
          <w:sz w:val="20"/>
          <w:szCs w:val="20"/>
          <w:color w:val="auto"/>
        </w:rPr>
      </w:pPr>
      <w:r>
        <w:rPr>
          <w:rFonts w:ascii="Arial" w:cs="Arial" w:eastAsia="Arial" w:hAnsi="Arial"/>
          <w:sz w:val="12"/>
          <w:szCs w:val="12"/>
          <w:color w:val="auto"/>
        </w:rPr>
        <w:t>In addition, Maryland law permits a Maryland corporation (which our charter provides for, to the maximum extent permitted by Maryland law) to advance reasonable expenses to a director or officer upon receipt of (1) a written affirmation by the director or officer of his or her good faith belief that he or she has met the standard of conduct necessary for indemnification and (2) a written undertaking by him or her, or on his or her behalf, to repay the amount paid or reimbursed if it is ultimately determined that the standard of conduct was not met.</w:t>
      </w:r>
    </w:p>
    <w:p>
      <w:pPr>
        <w:spacing w:after="0" w:line="104" w:lineRule="exact"/>
        <w:rPr>
          <w:sz w:val="20"/>
          <w:szCs w:val="20"/>
          <w:color w:val="auto"/>
        </w:rPr>
      </w:pPr>
    </w:p>
    <w:p>
      <w:pPr>
        <w:ind w:left="8" w:right="20" w:firstLine="435"/>
        <w:spacing w:after="0" w:line="259" w:lineRule="auto"/>
        <w:rPr>
          <w:sz w:val="20"/>
          <w:szCs w:val="20"/>
          <w:color w:val="auto"/>
        </w:rPr>
      </w:pPr>
      <w:r>
        <w:rPr>
          <w:rFonts w:ascii="Arial" w:cs="Arial" w:eastAsia="Arial" w:hAnsi="Arial"/>
          <w:sz w:val="12"/>
          <w:szCs w:val="12"/>
          <w:color w:val="auto"/>
        </w:rPr>
        <w:t>Our charter requires, to the maximum extent permitted by Maryland law, that we indemnify and pay or reimburse the reasonable expenses in advance of the final disposition of a proceeding of (1) any present or former director or officer who is a party to a proceeding (or threatened to be made a party) by reason of his or her service in that capacity, and (2) any individual who, while a director or officer and, at our request, serves or has served as a director, officer, partner, member, manager or trustee of another corporation, REIT, partnership, limited liability company, joint venture, trust, employee benefit plan or other enterprise from and against any claim or liability to which he or she may become subject or which he or she may incur by reason of his or her service in any of the foregoing capacities.</w:t>
      </w:r>
    </w:p>
    <w:p>
      <w:pPr>
        <w:spacing w:after="0" w:line="123"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487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8"/>
          </w:cols>
          <w:pgMar w:left="292" w:top="284" w:right="319" w:bottom="1440" w:gutter="0" w:footer="0" w:header="0"/>
        </w:sectPr>
      </w:pPr>
    </w:p>
    <w:bookmarkStart w:id="159" w:name="page160"/>
    <w:bookmarkEnd w:id="159"/>
    <w:p>
      <w:pPr>
        <w:ind w:right="520" w:firstLine="435"/>
        <w:spacing w:after="0" w:line="276" w:lineRule="auto"/>
        <w:rPr>
          <w:sz w:val="20"/>
          <w:szCs w:val="20"/>
          <w:color w:val="auto"/>
        </w:rPr>
      </w:pPr>
      <w:r>
        <w:rPr>
          <w:rFonts w:ascii="Arial" w:cs="Arial" w:eastAsia="Arial" w:hAnsi="Arial"/>
          <w:sz w:val="12"/>
          <w:szCs w:val="12"/>
          <w:color w:val="auto"/>
        </w:rPr>
        <w:t>In respect to our obligations to provide indemnification to directors and officers for liability arising under the Securities Act of 1933 (the “</w:t>
      </w:r>
      <w:r>
        <w:rPr>
          <w:rFonts w:ascii="Arial" w:cs="Arial" w:eastAsia="Arial" w:hAnsi="Arial"/>
          <w:sz w:val="12"/>
          <w:szCs w:val="12"/>
          <w:u w:val="single" w:color="auto"/>
          <w:color w:val="auto"/>
        </w:rPr>
        <w:t>Securities Act</w:t>
      </w:r>
      <w:r>
        <w:rPr>
          <w:rFonts w:ascii="Arial" w:cs="Arial" w:eastAsia="Arial" w:hAnsi="Arial"/>
          <w:sz w:val="12"/>
          <w:szCs w:val="12"/>
          <w:color w:val="auto"/>
        </w:rPr>
        <w:t>”), we have been informed that, in the opinion of the SEC, this indemnification is against public policy as expressed in the Securities Act and it is therefore unenforceable.</w:t>
      </w:r>
    </w:p>
    <w:p>
      <w:pPr>
        <w:spacing w:after="0" w:line="88" w:lineRule="exact"/>
        <w:rPr>
          <w:sz w:val="20"/>
          <w:szCs w:val="20"/>
          <w:color w:val="auto"/>
        </w:rPr>
      </w:pPr>
    </w:p>
    <w:p>
      <w:pPr>
        <w:ind w:firstLine="435"/>
        <w:spacing w:after="0" w:line="263" w:lineRule="auto"/>
        <w:rPr>
          <w:sz w:val="20"/>
          <w:szCs w:val="20"/>
          <w:color w:val="auto"/>
        </w:rPr>
      </w:pPr>
      <w:r>
        <w:rPr>
          <w:rFonts w:ascii="Arial" w:cs="Arial" w:eastAsia="Arial" w:hAnsi="Arial"/>
          <w:sz w:val="12"/>
          <w:szCs w:val="12"/>
          <w:color w:val="auto"/>
        </w:rPr>
        <w:t>We have entered into an indemnification agreement with each of our directors and executive officers that provide for indemnification of, and advancement of expenses to, each such person in connection with claims, suits or proceedings arising as a result of such person’s service as an officer or director of ours. We also maintain insurance on behalf of our directors and officers, insuring them against liabilities that they may incur in such capacities or arising from this status.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60"/>
          </w:cols>
          <w:pgMar w:left="300" w:top="284"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20" w:type="dxa"/>
            <w:vAlign w:val="bottom"/>
            <w:gridSpan w:val="2"/>
          </w:tcPr>
          <w:p>
            <w:pPr>
              <w:ind w:left="2980"/>
              <w:spacing w:after="0"/>
              <w:rPr>
                <w:sz w:val="20"/>
                <w:szCs w:val="20"/>
                <w:color w:val="auto"/>
              </w:rPr>
            </w:pPr>
            <w:r>
              <w:rPr>
                <w:rFonts w:ascii="Arial" w:cs="Arial" w:eastAsia="Arial" w:hAnsi="Arial"/>
                <w:sz w:val="12"/>
                <w:szCs w:val="12"/>
                <w:b w:val="1"/>
                <w:bCs w:val="1"/>
                <w:color w:val="auto"/>
                <w:w w:val="92"/>
              </w:rPr>
              <w:t>Exhibit 21.1</w:t>
            </w:r>
          </w:p>
        </w:tc>
      </w:tr>
      <w:tr>
        <w:trPr>
          <w:trHeight w:val="157"/>
        </w:trPr>
        <w:tc>
          <w:tcPr>
            <w:tcW w:w="3340" w:type="dxa"/>
            <w:vAlign w:val="bottom"/>
          </w:tcPr>
          <w:p>
            <w:pPr>
              <w:spacing w:after="0"/>
              <w:rPr>
                <w:sz w:val="13"/>
                <w:szCs w:val="13"/>
                <w:color w:val="auto"/>
              </w:rPr>
            </w:pPr>
          </w:p>
        </w:tc>
        <w:tc>
          <w:tcPr>
            <w:tcW w:w="7980" w:type="dxa"/>
            <w:vAlign w:val="bottom"/>
            <w:gridSpan w:val="4"/>
          </w:tcPr>
          <w:p>
            <w:pPr>
              <w:ind w:left="1520"/>
              <w:spacing w:after="0"/>
              <w:rPr>
                <w:sz w:val="20"/>
                <w:szCs w:val="20"/>
                <w:color w:val="auto"/>
              </w:rPr>
            </w:pPr>
            <w:r>
              <w:rPr>
                <w:rFonts w:ascii="Arial" w:cs="Arial" w:eastAsia="Arial" w:hAnsi="Arial"/>
                <w:sz w:val="12"/>
                <w:szCs w:val="12"/>
                <w:b w:val="1"/>
                <w:bCs w:val="1"/>
                <w:color w:val="auto"/>
              </w:rPr>
              <w:t>Subsidiaries of the Registrants</w:t>
            </w:r>
          </w:p>
        </w:tc>
      </w:tr>
      <w:tr>
        <w:trPr>
          <w:trHeight w:val="297"/>
        </w:trPr>
        <w:tc>
          <w:tcPr>
            <w:tcW w:w="3340" w:type="dxa"/>
            <w:vAlign w:val="bottom"/>
          </w:tcPr>
          <w:p>
            <w:pPr>
              <w:spacing w:after="0"/>
              <w:rPr>
                <w:sz w:val="20"/>
                <w:szCs w:val="20"/>
                <w:color w:val="auto"/>
              </w:rPr>
            </w:pPr>
            <w:r>
              <w:rPr>
                <w:rFonts w:ascii="Arial" w:cs="Arial" w:eastAsia="Arial" w:hAnsi="Arial"/>
                <w:sz w:val="10"/>
                <w:szCs w:val="10"/>
                <w:b w:val="1"/>
                <w:bCs w:val="1"/>
                <w:color w:val="auto"/>
              </w:rPr>
              <w:t>Subsidiary</w:t>
            </w: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State or other jurisdiction of incorporation or organization</w:t>
            </w:r>
          </w:p>
        </w:tc>
      </w:tr>
      <w:tr>
        <w:trPr>
          <w:trHeight w:val="142"/>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ANS Connect LLC</w:t>
            </w:r>
          </w:p>
        </w:tc>
        <w:tc>
          <w:tcPr>
            <w:tcW w:w="39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8"/>
              </w:rPr>
              <w:t>Georgia</w:t>
            </w:r>
          </w:p>
        </w:tc>
        <w:tc>
          <w:tcPr>
            <w:tcW w:w="20" w:type="dxa"/>
            <w:vAlign w:val="bottom"/>
          </w:tcPr>
          <w:p>
            <w:pPr>
              <w:spacing w:after="0"/>
              <w:rPr>
                <w:sz w:val="12"/>
                <w:szCs w:val="12"/>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Capital,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Contact Network,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Alabama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Alabama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Arkansas System,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Florida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Georgia Realty,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Georgia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Iowa System,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Kentucky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Mississippi System,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Missouri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National, LP</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National GP,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New Mexico System,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North Carolina Realty, LP</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North Carolina Realty GP,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North Carolina System, LP</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Ohio System,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Oklahoma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Realty,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Tennessee Realty,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CSL Tennessee Realty Partner,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CSL Texas System,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Hunt Brothers of Louisiana,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Hunt Telecommunications,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20"/>
              <w:spacing w:after="0"/>
              <w:rPr>
                <w:sz w:val="20"/>
                <w:szCs w:val="20"/>
                <w:color w:val="auto"/>
              </w:rPr>
            </w:pPr>
            <w:r>
              <w:rPr>
                <w:rFonts w:ascii="Arial" w:cs="Arial" w:eastAsia="Arial" w:hAnsi="Arial"/>
                <w:sz w:val="12"/>
                <w:szCs w:val="12"/>
                <w:color w:val="auto"/>
                <w:w w:val="93"/>
              </w:rPr>
              <w:t>Louisiana</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Information Transport Solutions, Inc.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Alabama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InLine Services,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Integrated Data Systems,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Nexus Systems, Inc.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20"/>
              <w:spacing w:after="0"/>
              <w:rPr>
                <w:sz w:val="20"/>
                <w:szCs w:val="20"/>
                <w:color w:val="auto"/>
              </w:rPr>
            </w:pPr>
            <w:r>
              <w:rPr>
                <w:rFonts w:ascii="Arial" w:cs="Arial" w:eastAsia="Arial" w:hAnsi="Arial"/>
                <w:sz w:val="12"/>
                <w:szCs w:val="12"/>
                <w:color w:val="auto"/>
                <w:w w:val="93"/>
              </w:rPr>
              <w:t>Louisiana</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Nexus Wireless,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Louisiana</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DC,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DE,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LA,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MA,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MD,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MS,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NJ,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NY Telephone Corp.</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New York</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PA,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Services,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PEG Bandwidth TX,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PEG Bandwidth VA,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Southern Light,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20"/>
              <w:spacing w:after="0"/>
              <w:rPr>
                <w:sz w:val="20"/>
                <w:szCs w:val="20"/>
                <w:color w:val="auto"/>
              </w:rPr>
            </w:pPr>
            <w:r>
              <w:rPr>
                <w:rFonts w:ascii="Arial" w:cs="Arial" w:eastAsia="Arial" w:hAnsi="Arial"/>
                <w:sz w:val="12"/>
                <w:szCs w:val="12"/>
                <w:color w:val="auto"/>
                <w:w w:val="92"/>
              </w:rPr>
              <w:t>Alabama</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Talk America Services,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Uniti Completed Towers LLC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153"/>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Uniti Dark Fiber LLC</w:t>
            </w:r>
          </w:p>
        </w:tc>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Delaware</w:t>
            </w:r>
          </w:p>
        </w:tc>
        <w:tc>
          <w:tcPr>
            <w:tcW w:w="20" w:type="dxa"/>
            <w:vAlign w:val="bottom"/>
          </w:tcPr>
          <w:p>
            <w:pPr>
              <w:spacing w:after="0"/>
              <w:rPr>
                <w:sz w:val="13"/>
                <w:szCs w:val="13"/>
                <w:color w:val="auto"/>
              </w:rPr>
            </w:pP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Uniti Fiber Holdings Inc.</w:t>
            </w:r>
          </w:p>
        </w:tc>
        <w:tc>
          <w:tcPr>
            <w:tcW w:w="3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Delaware</w:t>
            </w:r>
          </w:p>
        </w:tc>
      </w:tr>
      <w:tr>
        <w:trPr>
          <w:trHeight w:val="369"/>
        </w:trPr>
        <w:tc>
          <w:tcPr>
            <w:tcW w:w="33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80" w:right="27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Fiber LLC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Group Finance Inc.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Group Finance 2019 Inc.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Group LP*</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Group LP LLC*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Holdings GP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Holdings LP</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LATAM GP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LATAM LP</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Leasing MW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Leasing LLC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Leasing X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Leasing XI LLC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Leasing XII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QRS Holdings GP LLC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QRS Holdings LP</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Towers LLC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Uniti Towers NMS Holdings LLC</w:t>
            </w:r>
          </w:p>
        </w:tc>
        <w:tc>
          <w:tcPr>
            <w:tcW w:w="5840" w:type="dxa"/>
            <w:vAlign w:val="bottom"/>
          </w:tcPr>
          <w:p>
            <w:pPr>
              <w:ind w:left="3800"/>
              <w:spacing w:after="0"/>
              <w:rPr>
                <w:sz w:val="20"/>
                <w:szCs w:val="20"/>
                <w:color w:val="auto"/>
              </w:rPr>
            </w:pPr>
            <w:r>
              <w:rPr>
                <w:rFonts w:ascii="Arial" w:cs="Arial" w:eastAsia="Arial" w:hAnsi="Arial"/>
                <w:sz w:val="12"/>
                <w:szCs w:val="12"/>
                <w:color w:val="auto"/>
              </w:rPr>
              <w:t>Delaware</w:t>
            </w:r>
          </w:p>
        </w:tc>
      </w:tr>
      <w:tr>
        <w:trPr>
          <w:trHeight w:val="153"/>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Uniti Wireless Holdings LLC</w:t>
            </w:r>
          </w:p>
        </w:tc>
        <w:tc>
          <w:tcPr>
            <w:tcW w:w="5840" w:type="dxa"/>
            <w:vAlign w:val="bottom"/>
            <w:shd w:val="clear" w:color="auto" w:fill="CCEEFF"/>
          </w:tcPr>
          <w:p>
            <w:pPr>
              <w:ind w:left="3800"/>
              <w:spacing w:after="0"/>
              <w:rPr>
                <w:sz w:val="20"/>
                <w:szCs w:val="20"/>
                <w:color w:val="auto"/>
              </w:rPr>
            </w:pPr>
            <w:r>
              <w:rPr>
                <w:rFonts w:ascii="Arial" w:cs="Arial" w:eastAsia="Arial" w:hAnsi="Arial"/>
                <w:sz w:val="12"/>
                <w:szCs w:val="12"/>
                <w:color w:val="auto"/>
              </w:rPr>
              <w:t>Delaware</w:t>
            </w:r>
          </w:p>
        </w:tc>
      </w:tr>
      <w:tr>
        <w:trPr>
          <w:trHeight w:val="157"/>
        </w:trPr>
        <w:tc>
          <w:tcPr>
            <w:tcW w:w="5460" w:type="dxa"/>
            <w:vAlign w:val="bottom"/>
          </w:tcPr>
          <w:p>
            <w:pPr>
              <w:spacing w:after="0"/>
              <w:rPr>
                <w:sz w:val="20"/>
                <w:szCs w:val="20"/>
                <w:color w:val="auto"/>
              </w:rPr>
            </w:pPr>
            <w:r>
              <w:rPr>
                <w:rFonts w:ascii="Arial" w:cs="Arial" w:eastAsia="Arial" w:hAnsi="Arial"/>
                <w:sz w:val="12"/>
                <w:szCs w:val="12"/>
                <w:b w:val="1"/>
                <w:bCs w:val="1"/>
                <w:color w:val="auto"/>
              </w:rPr>
              <w:t>____________________________</w:t>
            </w:r>
          </w:p>
        </w:tc>
        <w:tc>
          <w:tcPr>
            <w:tcW w:w="5840" w:type="dxa"/>
            <w:vAlign w:val="bottom"/>
          </w:tcPr>
          <w:p>
            <w:pPr>
              <w:spacing w:after="0"/>
              <w:rPr>
                <w:sz w:val="13"/>
                <w:szCs w:val="13"/>
                <w:color w:val="auto"/>
              </w:rPr>
            </w:pPr>
          </w:p>
        </w:tc>
      </w:tr>
    </w:tbl>
    <w:p>
      <w:pPr>
        <w:spacing w:after="0" w:line="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sectPr>
          <w:pgSz w:w="11900" w:h="16838" w:orient="portrait"/>
          <w:cols w:equalWidth="0" w:num="1">
            <w:col w:w="11300"/>
          </w:cols>
          <w:pgMar w:left="300" w:top="293" w:right="2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2"/>
          <w:szCs w:val="12"/>
          <w:b w:val="1"/>
          <w:bCs w:val="1"/>
          <w:color w:val="auto"/>
        </w:rPr>
        <w:t>Exhibit 23.1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294" w:lineRule="exact"/>
        <w:rPr>
          <w:sz w:val="20"/>
          <w:szCs w:val="20"/>
          <w:color w:val="auto"/>
        </w:rPr>
      </w:pPr>
    </w:p>
    <w:p>
      <w:pPr>
        <w:ind w:right="380"/>
        <w:spacing w:after="0" w:line="149" w:lineRule="exact"/>
        <w:rPr>
          <w:sz w:val="20"/>
          <w:szCs w:val="20"/>
          <w:color w:val="auto"/>
        </w:rPr>
      </w:pPr>
      <w:r>
        <w:rPr>
          <w:rFonts w:ascii="Arial" w:cs="Arial" w:eastAsia="Arial" w:hAnsi="Arial"/>
          <w:sz w:val="12"/>
          <w:szCs w:val="12"/>
          <w:color w:val="auto"/>
        </w:rPr>
        <w:t>We hereby consent to the incorporation by reference in the Registration Statements on Form S</w:t>
      </w:r>
      <w:r>
        <w:rPr>
          <w:rFonts w:ascii="MS PGothic" w:cs="MS PGothic" w:eastAsia="MS PGothic" w:hAnsi="MS PGothic"/>
          <w:sz w:val="12"/>
          <w:szCs w:val="12"/>
          <w:color w:val="auto"/>
        </w:rPr>
        <w:t>‑</w:t>
      </w:r>
      <w:r>
        <w:rPr>
          <w:rFonts w:ascii="Arial" w:cs="Arial" w:eastAsia="Arial" w:hAnsi="Arial"/>
          <w:sz w:val="12"/>
          <w:szCs w:val="12"/>
          <w:color w:val="auto"/>
        </w:rPr>
        <w:t>8 (No. 333-203591 and No. 333-225501) of Uniti Group Inc. of our report dated March 12, 2020 relating to the financial statements, financial statement schedules and the effectiveness of internal control over financial reporting, which appears in this Form 10-K.</w:t>
      </w: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Little Rock, Arkansas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12, 2020</w:t>
      </w:r>
    </w:p>
    <w:p>
      <w:pPr>
        <w:sectPr>
          <w:pgSz w:w="11900" w:h="16838" w:orient="portrait"/>
          <w:cols w:equalWidth="0" w:num="1">
            <w:col w:w="11300"/>
          </w:cols>
          <w:pgMar w:left="300" w:top="280" w:right="2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Kenneth A. Gunderman, certify that:</w:t>
      </w:r>
    </w:p>
    <w:p>
      <w:pPr>
        <w:spacing w:after="0" w:line="78" w:lineRule="exact"/>
        <w:rPr>
          <w:sz w:val="20"/>
          <w:szCs w:val="20"/>
          <w:color w:val="auto"/>
        </w:rPr>
      </w:pPr>
    </w:p>
    <w:p>
      <w:pPr>
        <w:ind w:left="508" w:hanging="508"/>
        <w:spacing w:after="0"/>
        <w:tabs>
          <w:tab w:leader="none" w:pos="5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2"/>
          <w:szCs w:val="12"/>
          <w:color w:val="auto"/>
        </w:rPr>
      </w:pPr>
    </w:p>
    <w:p>
      <w:pPr>
        <w:ind w:left="1008" w:right="80" w:hanging="495"/>
        <w:spacing w:after="0" w:line="276" w:lineRule="auto"/>
        <w:tabs>
          <w:tab w:leader="none" w:pos="1008"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2"/>
          <w:szCs w:val="12"/>
          <w:color w:val="auto"/>
        </w:rPr>
      </w:pPr>
    </w:p>
    <w:p>
      <w:pPr>
        <w:ind w:left="1008" w:right="280" w:hanging="495"/>
        <w:spacing w:after="0" w:line="276" w:lineRule="auto"/>
        <w:tabs>
          <w:tab w:leader="none" w:pos="1008"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08" w:right="200" w:hanging="495"/>
        <w:spacing w:after="0" w:line="276" w:lineRule="auto"/>
        <w:tabs>
          <w:tab w:leader="none" w:pos="1008" w:val="left"/>
        </w:tabs>
        <w:numPr>
          <w:ilvl w:val="1"/>
          <w:numId w:val="4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2"/>
          <w:szCs w:val="12"/>
          <w:color w:val="auto"/>
        </w:rPr>
      </w:pPr>
    </w:p>
    <w:p>
      <w:pPr>
        <w:ind w:left="1008" w:right="260" w:hanging="495"/>
        <w:spacing w:after="0" w:line="276" w:lineRule="auto"/>
        <w:tabs>
          <w:tab w:leader="none" w:pos="1008" w:val="left"/>
        </w:tabs>
        <w:numPr>
          <w:ilvl w:val="1"/>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2"/>
          <w:szCs w:val="12"/>
          <w:color w:val="auto"/>
        </w:rPr>
      </w:pPr>
    </w:p>
    <w:p>
      <w:pPr>
        <w:ind w:left="1028" w:right="200" w:hanging="506"/>
        <w:spacing w:after="0" w:line="276" w:lineRule="auto"/>
        <w:tabs>
          <w:tab w:leader="none" w:pos="1028" w:val="left"/>
        </w:tabs>
        <w:numPr>
          <w:ilvl w:val="1"/>
          <w:numId w:val="4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2"/>
          <w:szCs w:val="12"/>
          <w:color w:val="auto"/>
        </w:rPr>
      </w:pPr>
    </w:p>
    <w:p>
      <w:pPr>
        <w:ind w:left="1028" w:hanging="506"/>
        <w:spacing w:after="0"/>
        <w:tabs>
          <w:tab w:leader="none" w:pos="1028" w:val="left"/>
        </w:tabs>
        <w:numPr>
          <w:ilvl w:val="1"/>
          <w:numId w:val="4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4848" w:val="left"/>
          <w:tab w:leader="none" w:pos="7528" w:val="left"/>
        </w:tabs>
        <w:rPr>
          <w:sz w:val="20"/>
          <w:szCs w:val="20"/>
          <w:color w:val="auto"/>
        </w:rPr>
      </w:pPr>
      <w:r>
        <w:rPr>
          <w:rFonts w:ascii="Arial" w:cs="Arial" w:eastAsia="Arial" w:hAnsi="Arial"/>
          <w:sz w:val="12"/>
          <w:szCs w:val="12"/>
          <w:color w:val="auto"/>
        </w:rPr>
        <w:t>Date: March 12,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9525</wp:posOffset>
            </wp:positionV>
            <wp:extent cx="394335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jc w:val="center"/>
        <w:ind w:left="5080"/>
        <w:spacing w:after="0"/>
        <w:rPr>
          <w:sz w:val="20"/>
          <w:szCs w:val="20"/>
          <w:color w:val="auto"/>
        </w:rPr>
      </w:pPr>
      <w:r>
        <w:rPr>
          <w:rFonts w:ascii="Arial" w:cs="Arial" w:eastAsia="Arial" w:hAnsi="Arial"/>
          <w:sz w:val="12"/>
          <w:szCs w:val="12"/>
          <w:b w:val="1"/>
          <w:bCs w:val="1"/>
          <w:color w:val="auto"/>
        </w:rPr>
        <w:t>Kenneth A. Gunderman</w:t>
      </w:r>
    </w:p>
    <w:p>
      <w:pPr>
        <w:spacing w:after="0" w:line="15"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8"/>
          </w:cols>
          <w:pgMar w:left="292" w:top="280" w:right="299" w:bottom="1440" w:gutter="0" w:footer="0" w:header="0"/>
        </w:sectPr>
      </w:pPr>
    </w:p>
    <w:bookmarkStart w:id="164" w:name="page165"/>
    <w:bookmarkEnd w:id="164"/>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Mark A. Wallace, certify that:</w:t>
      </w:r>
    </w:p>
    <w:p>
      <w:pPr>
        <w:spacing w:after="0" w:line="96" w:lineRule="exact"/>
        <w:rPr>
          <w:sz w:val="20"/>
          <w:szCs w:val="20"/>
          <w:color w:val="auto"/>
        </w:rPr>
      </w:pPr>
    </w:p>
    <w:p>
      <w:pPr>
        <w:ind w:left="508" w:hanging="508"/>
        <w:spacing w:after="0"/>
        <w:tabs>
          <w:tab w:leader="none" w:pos="5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Uniti Group Inc.;</w:t>
      </w:r>
    </w:p>
    <w:p>
      <w:pPr>
        <w:spacing w:after="0" w:line="231"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2"/>
          <w:szCs w:val="12"/>
          <w:color w:val="auto"/>
        </w:rPr>
      </w:pPr>
    </w:p>
    <w:p>
      <w:pPr>
        <w:ind w:left="1008" w:right="80" w:hanging="495"/>
        <w:spacing w:after="0" w:line="276" w:lineRule="auto"/>
        <w:tabs>
          <w:tab w:leader="none" w:pos="100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2"/>
          <w:szCs w:val="12"/>
          <w:color w:val="auto"/>
        </w:rPr>
      </w:pPr>
    </w:p>
    <w:p>
      <w:pPr>
        <w:ind w:left="1008" w:right="280" w:hanging="495"/>
        <w:spacing w:after="0" w:line="276" w:lineRule="auto"/>
        <w:tabs>
          <w:tab w:leader="none" w:pos="100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08" w:right="200" w:hanging="495"/>
        <w:spacing w:after="0" w:line="276" w:lineRule="auto"/>
        <w:tabs>
          <w:tab w:leader="none" w:pos="1008" w:val="left"/>
        </w:tabs>
        <w:numPr>
          <w:ilvl w:val="1"/>
          <w:numId w:val="4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2"/>
          <w:szCs w:val="12"/>
          <w:color w:val="auto"/>
        </w:rPr>
      </w:pPr>
    </w:p>
    <w:p>
      <w:pPr>
        <w:ind w:left="1008" w:right="260" w:hanging="495"/>
        <w:spacing w:after="0" w:line="276" w:lineRule="auto"/>
        <w:tabs>
          <w:tab w:leader="none" w:pos="100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28" w:right="200" w:hanging="506"/>
        <w:spacing w:after="0" w:line="276" w:lineRule="auto"/>
        <w:tabs>
          <w:tab w:leader="none" w:pos="102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06"/>
        <w:spacing w:after="0"/>
        <w:tabs>
          <w:tab w:leader="none" w:pos="102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8"/>
        <w:spacing w:after="0"/>
        <w:tabs>
          <w:tab w:leader="none" w:pos="4848" w:val="left"/>
          <w:tab w:leader="none" w:pos="7688" w:val="left"/>
        </w:tabs>
        <w:rPr>
          <w:sz w:val="20"/>
          <w:szCs w:val="20"/>
          <w:color w:val="auto"/>
        </w:rPr>
      </w:pPr>
      <w:r>
        <w:rPr>
          <w:rFonts w:ascii="Arial" w:cs="Arial" w:eastAsia="Arial" w:hAnsi="Arial"/>
          <w:sz w:val="12"/>
          <w:szCs w:val="12"/>
          <w:color w:val="auto"/>
        </w:rPr>
        <w:t>Date: March 12,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A. Wallace</w:t>
      </w:r>
    </w:p>
    <w:p>
      <w:pPr>
        <w:spacing w:after="0" w:line="15"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-86995</wp:posOffset>
            </wp:positionV>
            <wp:extent cx="394335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jc w:val="center"/>
        <w:ind w:left="5080"/>
        <w:spacing w:after="0"/>
        <w:rPr>
          <w:sz w:val="20"/>
          <w:szCs w:val="20"/>
          <w:color w:val="auto"/>
        </w:rPr>
      </w:pPr>
      <w:r>
        <w:rPr>
          <w:rFonts w:ascii="Arial" w:cs="Arial" w:eastAsia="Arial" w:hAnsi="Arial"/>
          <w:sz w:val="12"/>
          <w:szCs w:val="12"/>
          <w:b w:val="1"/>
          <w:bCs w:val="1"/>
          <w:color w:val="auto"/>
        </w:rPr>
        <w:t>Executive Vice President – Chief Financial Officer</w:t>
      </w:r>
    </w:p>
    <w:p>
      <w:pPr>
        <w:spacing w:after="0" w:line="6"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and Treasurer</w:t>
      </w:r>
    </w:p>
    <w:p>
      <w:pPr>
        <w:sectPr>
          <w:pgSz w:w="11900" w:h="16838" w:orient="portrait"/>
          <w:cols w:equalWidth="0" w:num="1">
            <w:col w:w="11308"/>
          </w:cols>
          <w:pgMar w:left="292" w:top="280" w:right="2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1"/>
          <w:szCs w:val="11"/>
          <w:color w:val="auto"/>
        </w:rPr>
        <w:t>In connection with the Annual Report on Form 10-K of Uniti Group Inc. (the “Company”) for the period ending December 31, 2019 as filed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certify, pursuant to 18 U.S.C. § 1350, as adopted pursuant to § 906 of the Sarbanes-Oxley Act of 2002, to my knowledge, that:</w:t>
      </w:r>
    </w:p>
    <w:p>
      <w:pPr>
        <w:spacing w:after="0" w:line="69" w:lineRule="exact"/>
        <w:rPr>
          <w:sz w:val="20"/>
          <w:szCs w:val="20"/>
          <w:color w:val="auto"/>
        </w:rPr>
      </w:pPr>
    </w:p>
    <w:p>
      <w:pPr>
        <w:ind w:left="1160" w:hanging="583"/>
        <w:spacing w:after="0"/>
        <w:tabs>
          <w:tab w:leader="none" w:pos="11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840" w:val="left"/>
          <w:tab w:leader="none" w:pos="7520" w:val="left"/>
        </w:tabs>
        <w:rPr>
          <w:sz w:val="20"/>
          <w:szCs w:val="20"/>
          <w:color w:val="auto"/>
        </w:rPr>
      </w:pPr>
      <w:r>
        <w:rPr>
          <w:rFonts w:ascii="Arial" w:cs="Arial" w:eastAsia="Arial" w:hAnsi="Arial"/>
          <w:sz w:val="12"/>
          <w:szCs w:val="12"/>
          <w:color w:val="auto"/>
        </w:rPr>
        <w:t>Date: March 12,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9525</wp:posOffset>
            </wp:positionV>
            <wp:extent cx="394335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jc w:val="center"/>
        <w:ind w:left="5080"/>
        <w:spacing w:after="0"/>
        <w:rPr>
          <w:sz w:val="20"/>
          <w:szCs w:val="20"/>
          <w:color w:val="auto"/>
        </w:rPr>
      </w:pPr>
      <w:r>
        <w:rPr>
          <w:rFonts w:ascii="Arial" w:cs="Arial" w:eastAsia="Arial" w:hAnsi="Arial"/>
          <w:sz w:val="12"/>
          <w:szCs w:val="12"/>
          <w:b w:val="1"/>
          <w:bCs w:val="1"/>
          <w:color w:val="auto"/>
        </w:rPr>
        <w:t>Kenneth A. Gunderman</w:t>
      </w:r>
    </w:p>
    <w:p>
      <w:pPr>
        <w:spacing w:after="0" w:line="15" w:lineRule="exact"/>
        <w:rPr>
          <w:sz w:val="20"/>
          <w:szCs w:val="20"/>
          <w:color w:val="auto"/>
        </w:rPr>
      </w:pPr>
    </w:p>
    <w:p>
      <w:pPr>
        <w:jc w:val="center"/>
        <w:ind w:left="508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0"/>
          </w:cols>
          <w:pgMar w:left="300" w:top="280" w:right="2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1"/>
          <w:szCs w:val="11"/>
          <w:color w:val="auto"/>
        </w:rPr>
        <w:t>In connection with the Annual Report on Form 10-K of Uniti Group Inc. (the “Company”) for the period ending December 31, 2019 as filed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certify, pursuant to 18 U.S.C. § 1350, as adopted pursuant to § 906 of the Sarbanes-Oxley Act of 2002, to my knowledge, that:</w:t>
      </w:r>
    </w:p>
    <w:p>
      <w:pPr>
        <w:spacing w:after="0" w:line="69" w:lineRule="exact"/>
        <w:rPr>
          <w:sz w:val="20"/>
          <w:szCs w:val="20"/>
          <w:color w:val="auto"/>
        </w:rPr>
      </w:pPr>
    </w:p>
    <w:p>
      <w:pPr>
        <w:ind w:left="1160" w:hanging="583"/>
        <w:spacing w:after="0"/>
        <w:tabs>
          <w:tab w:leader="none" w:pos="11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160" w:hanging="583"/>
        <w:spacing w:after="0"/>
        <w:tabs>
          <w:tab w:leader="none" w:pos="11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840" w:val="left"/>
          <w:tab w:leader="none" w:pos="7680" w:val="left"/>
        </w:tabs>
        <w:rPr>
          <w:sz w:val="20"/>
          <w:szCs w:val="20"/>
          <w:color w:val="auto"/>
        </w:rPr>
      </w:pPr>
      <w:r>
        <w:rPr>
          <w:rFonts w:ascii="Arial" w:cs="Arial" w:eastAsia="Arial" w:hAnsi="Arial"/>
          <w:sz w:val="12"/>
          <w:szCs w:val="12"/>
          <w:color w:val="auto"/>
        </w:rPr>
        <w:t>Date: March 12, 2020</w:t>
      </w:r>
      <w:r>
        <w:rPr>
          <w:sz w:val="20"/>
          <w:szCs w:val="20"/>
          <w:color w:val="auto"/>
        </w:rPr>
        <w:tab/>
      </w:r>
      <w:r>
        <w:rPr>
          <w:rFonts w:ascii="Arial" w:cs="Arial" w:eastAsia="Arial" w:hAnsi="Arial"/>
          <w:sz w:val="12"/>
          <w:szCs w:val="12"/>
          <w:color w:val="auto"/>
        </w:rPr>
        <w:t>By</w:t>
      </w:r>
      <w:r>
        <w:rPr>
          <w:rFonts w:ascii="Arial" w:cs="Arial" w:eastAsia="Arial" w:hAnsi="Arial"/>
          <w:sz w:val="12"/>
          <w:szCs w:val="12"/>
          <w:color w:val="222222"/>
        </w:rPr>
        <w:t>:</w:t>
      </w:r>
      <w:r>
        <w:rPr>
          <w:sz w:val="20"/>
          <w:szCs w:val="20"/>
          <w:color w:val="auto"/>
        </w:rPr>
        <w:tab/>
      </w:r>
      <w:r>
        <w:rPr>
          <w:rFonts w:ascii="Arial" w:cs="Arial" w:eastAsia="Arial" w:hAnsi="Arial"/>
          <w:sz w:val="11"/>
          <w:szCs w:val="11"/>
          <w:color w:val="auto"/>
        </w:rPr>
        <w:t>/s/ Mark A. Wallace</w:t>
      </w:r>
    </w:p>
    <w:p>
      <w:pPr>
        <w:spacing w:after="0" w:line="20" w:lineRule="exact"/>
        <w:rPr>
          <w:sz w:val="20"/>
          <w:szCs w:val="20"/>
          <w:color w:val="auto"/>
        </w:rPr>
      </w:pPr>
    </w:p>
    <w:p>
      <w:pPr>
        <w:ind w:left="7760"/>
        <w:spacing w:after="0"/>
        <w:rPr>
          <w:sz w:val="20"/>
          <w:szCs w:val="20"/>
          <w:color w:val="auto"/>
        </w:rPr>
      </w:pPr>
      <w:r>
        <w:rPr>
          <w:rFonts w:ascii="Arial" w:cs="Arial" w:eastAsia="Arial" w:hAnsi="Arial"/>
          <w:sz w:val="12"/>
          <w:szCs w:val="12"/>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-84455</wp:posOffset>
            </wp:positionV>
            <wp:extent cx="39433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2"/>
          <w:szCs w:val="12"/>
          <w:b w:val="1"/>
          <w:bCs w:val="1"/>
          <w:color w:val="auto"/>
        </w:rPr>
        <w:t>Executive Vice President – Chief Financial Officer</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2"/>
          <w:szCs w:val="12"/>
          <w:b w:val="1"/>
          <w:bCs w:val="1"/>
          <w:color w:val="auto"/>
        </w:rPr>
        <w:t>and Treasurer</w:t>
      </w:r>
    </w:p>
    <w:sectPr>
      <w:pgSz w:w="11900" w:h="16838" w:orient="portrait"/>
      <w:cols w:equalWidth="0" w:num="1">
        <w:col w:w="11300"/>
      </w:cols>
      <w:pgMar w:left="30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90"/>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Roman"/>
      <w:start w:val="2"/>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lowerRoman"/>
      <w:start w:val="1"/>
    </w:lvl>
  </w:abstractNum>
  <w:abstractNum w:abstractNumId="12">
    <w:nsid w:val="2901D82"/>
    <w:multiLevelType w:val="hybridMultilevel"/>
    <w:lvl w:ilvl="0">
      <w:lvlJc w:val="left"/>
      <w:lvlText w:val="%1."/>
      <w:numFmt w:val="lowerRoman"/>
      <w:start w:val="2"/>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4"/>
    </w:lvl>
  </w:abstractNum>
  <w:abstractNum w:abstractNumId="31">
    <w:nsid w:val="2463B9EA"/>
    <w:multiLevelType w:val="hybridMultilevel"/>
    <w:lvl w:ilvl="0">
      <w:lvlJc w:val="left"/>
      <w:lvlText w:val="(%1)"/>
      <w:numFmt w:val="decimal"/>
      <w:start w:val="5"/>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103" Type="http://schemas.openxmlformats.org/officeDocument/2006/relationships/hyperlink" Target="http://www.sec.gov/Archives/edgar/data/1620280/000156459019041870/unit-10q_20190930.htm#FN_10_NotesandOtherDebt" TargetMode="External"/><Relationship Id="rId122" Type="http://schemas.openxmlformats.org/officeDocument/2006/relationships/hyperlink" Target="http://www.sec.gov/Archives/edgar/data/1620280/000156459019041870/unit-10q_20190930.htm#FN_Segments" TargetMode="External"/><Relationship Id="rId179" Type="http://schemas.openxmlformats.org/officeDocument/2006/relationships/hyperlink" Target="http://www.sec.gov/Archives/edgar/data/0001620280/000119312515106562/d895819dex21.htm" TargetMode="External"/><Relationship Id="rId180" Type="http://schemas.openxmlformats.org/officeDocument/2006/relationships/hyperlink" Target="http://www.sec.gov/Archives/edgar/data/0001620280/000095010316010194/dp62520_ex0201.htm" TargetMode="External"/><Relationship Id="rId181" Type="http://schemas.openxmlformats.org/officeDocument/2006/relationships/hyperlink" Target="http://www.sec.gov/Archives/edgar/data/0001620280/000156459016024084/csal-ex21_814.htm" TargetMode="External"/><Relationship Id="rId182" Type="http://schemas.openxmlformats.org/officeDocument/2006/relationships/hyperlink" Target="http://www.sec.gov/Archives/edgar/data/0001620280/000156459016024084/csal-ex22_879.htm" TargetMode="External"/><Relationship Id="rId183" Type="http://schemas.openxmlformats.org/officeDocument/2006/relationships/hyperlink" Target="http://www.sec.gov/Archives/edgar/data/0001620280/000095010317003463/dp75010_ex0201.htm" TargetMode="External"/><Relationship Id="rId184" Type="http://schemas.openxmlformats.org/officeDocument/2006/relationships/hyperlink" Target="http://www.sec.gov/Archives/edgar/data/0001620280/000110465917043238/a17-15991_1ex2d1.htm" TargetMode="External"/><Relationship Id="rId187" Type="http://schemas.openxmlformats.org/officeDocument/2006/relationships/hyperlink" Target="http://www.sec.gov/Archives/edgar/data/0001620280/000119312515125997/d906732dex31.htm" TargetMode="External"/><Relationship Id="rId188" Type="http://schemas.openxmlformats.org/officeDocument/2006/relationships/hyperlink" Target="http://www.sec.gov/Archives/edgar/data/0001620280/000156459017002778/csal-ex31_7.htm" TargetMode="External"/><Relationship Id="rId189" Type="http://schemas.openxmlformats.org/officeDocument/2006/relationships/hyperlink" Target="http://www.sec.gov/Archives/edgar/data/1620280/000156459018013946/unit-ex31_80.htm" TargetMode="External"/><Relationship Id="rId190" Type="http://schemas.openxmlformats.org/officeDocument/2006/relationships/hyperlink" Target="http://www.sec.gov/Archives/edgar/data/0001620280/000110465917028526/a17-12174_1ex3d1.htm" TargetMode="External"/><Relationship Id="rId191" Type="http://schemas.openxmlformats.org/officeDocument/2006/relationships/hyperlink" Target="http://www.sec.gov/Archives/edgar/data/0001620280/000119312515147341/d910956dex42.htm" TargetMode="External"/><Relationship Id="rId192" Type="http://schemas.openxmlformats.org/officeDocument/2006/relationships/hyperlink" Target="http://www.sec.gov/Archives/edgar/data/0001620280/000156459017002252/csal-ex43_1051.htm" TargetMode="External"/><Relationship Id="rId193" Type="http://schemas.openxmlformats.org/officeDocument/2006/relationships/hyperlink" Target="http://www.sec.gov/Archives/edgar/data/0001620280/000110465917031184/a17-12744_1ex4d1.htm" TargetMode="External"/><Relationship Id="rId194" Type="http://schemas.openxmlformats.org/officeDocument/2006/relationships/hyperlink" Target="http://www.sec.gov/Archives/edgar/data/0001620280/000110465917031184/a17-12744_1ex4d2.htm" TargetMode="External"/><Relationship Id="rId195" Type="http://schemas.openxmlformats.org/officeDocument/2006/relationships/hyperlink" Target="http://www.sec.gov/Archives/edgar/data/0001620280/000119312515147341/d910956dex41.htm" TargetMode="External"/><Relationship Id="rId196" Type="http://schemas.openxmlformats.org/officeDocument/2006/relationships/hyperlink" Target="http://www.sec.gov/Archives/edgar/data/0001620280/000156459017002252/csal-ex46_1053.htm" TargetMode="External"/><Relationship Id="rId199" Type="http://schemas.openxmlformats.org/officeDocument/2006/relationships/hyperlink" Target="http://www.sec.gov/Archives/edgar/data/0001620280/000156459017002252/csal-ex47_1052.htm" TargetMode="External"/><Relationship Id="rId200" Type="http://schemas.openxmlformats.org/officeDocument/2006/relationships/hyperlink" Target="http://www.sec.gov/Archives/edgar/data/0001620280/000110465917031184/a17-12744_1ex4d3.htm" TargetMode="External"/><Relationship Id="rId201" Type="http://schemas.openxmlformats.org/officeDocument/2006/relationships/hyperlink" Target="http://www.sec.gov/Archives/edgar/data/0001620280/000110465917031184/a17-12744_1ex4d4.htm" TargetMode="External"/><Relationship Id="rId202" Type="http://schemas.openxmlformats.org/officeDocument/2006/relationships/hyperlink" Target="http://www.sec.gov/Archives/edgar/data/0001620280/000156459016017675/csal-ex41_145.htm" TargetMode="External"/><Relationship Id="rId203" Type="http://schemas.openxmlformats.org/officeDocument/2006/relationships/hyperlink" Target="http://www.sec.gov/Archives/edgar/data/0001620280/000110465917031184/a17-12744_1ex3d1.htm" TargetMode="External"/><Relationship Id="rId204" Type="http://schemas.openxmlformats.org/officeDocument/2006/relationships/hyperlink" Target="http://www.sec.gov/Archives/edgar/data/0001620280/000110465916162314/a16-20068_3ex4d1.htm" TargetMode="External"/><Relationship Id="rId205" Type="http://schemas.openxmlformats.org/officeDocument/2006/relationships/hyperlink" Target="http://www.sec.gov/Archives/edgar/data/0001620280/000156459017002252/csal-ex411_1436.htm" TargetMode="External"/><Relationship Id="rId206" Type="http://schemas.openxmlformats.org/officeDocument/2006/relationships/hyperlink" Target="http://www.sec.gov/Archives/edgar/data/0001620280/000110465917031184/a17-12744_1ex4d5.htm" TargetMode="External"/><Relationship Id="rId207" Type="http://schemas.openxmlformats.org/officeDocument/2006/relationships/hyperlink" Target="http://www.sec.gov/Archives/edgar/data/0001620280/000110465917031184/a17-12744_1ex4d6.htm" TargetMode="External"/><Relationship Id="rId208" Type="http://schemas.openxmlformats.org/officeDocument/2006/relationships/hyperlink" Target="http://www.sec.gov/Archives/edgar/data/0001620280/000156459017021297/unit-ex41_429.htm" TargetMode="External"/><Relationship Id="rId211" Type="http://schemas.openxmlformats.org/officeDocument/2006/relationships/hyperlink" Target="http://www.sec.gov/Archives/edgar/data/1620280/000095010319008752/dp109169_ex0401.htm" TargetMode="External"/><Relationship Id="rId212" Type="http://schemas.openxmlformats.org/officeDocument/2006/relationships/hyperlink" Target="http://www.sec.gov/Archives/edgar/data/1620280/000095010320002586/dp121198_ex0401.htm" TargetMode="External"/><Relationship Id="rId213" Type="http://schemas.openxmlformats.org/officeDocument/2006/relationships/hyperlink" Target="http://www.sec.gov/Archives/edgar/data/0001620280/000119312515147341/d910956dex101.htm" TargetMode="External"/><Relationship Id="rId214" Type="http://schemas.openxmlformats.org/officeDocument/2006/relationships/hyperlink" Target="http://www.sec.gov/Archives/edgar/data/0001620280/000119312515147341/d910956dex102.htm" TargetMode="External"/><Relationship Id="rId215" Type="http://schemas.openxmlformats.org/officeDocument/2006/relationships/hyperlink" Target="http://www.sec.gov/Archives/edgar/data/0001620280/000119312515147341/d910956dex103.htm" TargetMode="External"/><Relationship Id="rId216" Type="http://schemas.openxmlformats.org/officeDocument/2006/relationships/hyperlink" Target="http://www.sec.gov/Archives/edgar/data/0001620280/000119312515147341/d910956dex105.htm" TargetMode="External"/><Relationship Id="rId217" Type="http://schemas.openxmlformats.org/officeDocument/2006/relationships/hyperlink" Target="http://www.sec.gov/Archives/edgar/data/0001620280/000119312515147341/d910956dex106.htm" TargetMode="External"/><Relationship Id="rId218" Type="http://schemas.openxmlformats.org/officeDocument/2006/relationships/hyperlink" Target="http://www.sec.gov/Archives/edgar/data/0001620280/000119312515147341/d910956dex108.htm" TargetMode="External"/><Relationship Id="rId219" Type="http://schemas.openxmlformats.org/officeDocument/2006/relationships/hyperlink" Target="http://www.sec.gov/Archives/edgar/data/0001620280/000119312515147341/d910956dex1010.htm" TargetMode="External"/><Relationship Id="rId222" Type="http://schemas.openxmlformats.org/officeDocument/2006/relationships/hyperlink" Target="http://www.sec.gov/Archives/edgar/data/0001620280/000110465916151374/a16-20228_1ex10d1.htm" TargetMode="External"/><Relationship Id="rId223" Type="http://schemas.openxmlformats.org/officeDocument/2006/relationships/hyperlink" Target="http://www.sec.gov/Archives/edgar/data/0001620280/000110465917007816/a17-3824_1ex10d1.htm" TargetMode="External"/><Relationship Id="rId224" Type="http://schemas.openxmlformats.org/officeDocument/2006/relationships/hyperlink" Target="http://www.sec.gov/Archives/edgar/data/1620280/000110465917028526/a17-12174_1ex10d1.htm" TargetMode="External"/><Relationship Id="rId225" Type="http://schemas.openxmlformats.org/officeDocument/2006/relationships/hyperlink" Target="http://www.sec.gov/Archives/edgar/data/1620280/000156459019008290/unit-ex1011_1391.htm" TargetMode="External"/><Relationship Id="rId226" Type="http://schemas.openxmlformats.org/officeDocument/2006/relationships/hyperlink" Target="http://www.sec.gov/Archives/edgar/data/1620280/000095010319008295/dp108693_ex1001.htm" TargetMode="External"/><Relationship Id="rId227" Type="http://schemas.openxmlformats.org/officeDocument/2006/relationships/hyperlink" Target="http://www.sec.gov/Archives/edgar/data/1620280/000095010320002586/dp121198_ex1001.htm" TargetMode="External"/><Relationship Id="rId228" Type="http://schemas.openxmlformats.org/officeDocument/2006/relationships/hyperlink" Target="http://www.sec.gov/Archives/edgar/data/1620280/000156459019030905/unit-ex104_242.htm" TargetMode="External"/><Relationship Id="rId229" Type="http://schemas.openxmlformats.org/officeDocument/2006/relationships/hyperlink" Target="http://www.sec.gov/Archives/edgar/data/0001620280/000110465917031184/a17-12744_1ex10d1.htm" TargetMode="External"/><Relationship Id="rId230" Type="http://schemas.openxmlformats.org/officeDocument/2006/relationships/hyperlink" Target="http://www.sec.gov/Archives/edgar/data/0001620280/000119312515147341/d910956dex1011.htm" TargetMode="External"/><Relationship Id="rId233" Type="http://schemas.openxmlformats.org/officeDocument/2006/relationships/hyperlink" Target="http://www.sec.gov/Archives/edgar/data/1620280/000110465918073139/a18-41685_1ex10d1.htm" TargetMode="External"/><Relationship Id="rId234" Type="http://schemas.openxmlformats.org/officeDocument/2006/relationships/hyperlink" Target="http://www.sec.gov/Archives/edgar/data/1620280/000156459018023137/unit-ex101_7.htm" TargetMode="External"/><Relationship Id="rId235" Type="http://schemas.openxmlformats.org/officeDocument/2006/relationships/hyperlink" Target="http://www.sec.gov/Archives/edgar/data/1620280/000156459018023137/unit-ex102_6.htm" TargetMode="External"/><Relationship Id="rId236" Type="http://schemas.openxmlformats.org/officeDocument/2006/relationships/hyperlink" Target="http://www.sec.gov/Archives/edgar/data/1620280/000156459018007159/unit-ex101_6.htm" TargetMode="External"/><Relationship Id="rId237" Type="http://schemas.openxmlformats.org/officeDocument/2006/relationships/hyperlink" Target="http://www.sec.gov/Archives/edgar/data/1620280/000119312515211690/d935720dex103.htm" TargetMode="External"/><Relationship Id="rId238" Type="http://schemas.openxmlformats.org/officeDocument/2006/relationships/hyperlink" Target="http://www.sec.gov/Archives/edgar/data/1620280/000156459019008290/unit-ex1019_1245.htm" TargetMode="External"/><Relationship Id="rId239" Type="http://schemas.openxmlformats.org/officeDocument/2006/relationships/hyperlink" Target="http://www.sec.gov/Archives/edgar/data/0001620280/000119312515211690/d935720dex104.htm" TargetMode="External"/><Relationship Id="rId240" Type="http://schemas.openxmlformats.org/officeDocument/2006/relationships/hyperlink" Target="http://www.sec.gov/Archives/edgar/data/1620280/000156459019008290/unit-ex1021_1244.htm" TargetMode="External"/><Relationship Id="rId241" Type="http://schemas.openxmlformats.org/officeDocument/2006/relationships/hyperlink" Target="http://www.sec.gov/Archives/edgar/data/0001620280/000119312515211690/d935720dex105.htm" TargetMode="External"/><Relationship Id="rId242" Type="http://schemas.openxmlformats.org/officeDocument/2006/relationships/hyperlink" Target="http://www.sec.gov/Archives/edgar/data/1620280/000104746915005944/a2225264zex-10_20.htm" TargetMode="External"/><Relationship Id="rId243" Type="http://schemas.openxmlformats.org/officeDocument/2006/relationships/hyperlink" Target="http://www.sec.gov/Archives/edgar/data/1620280/000156459015007263/csal-ex1020_690.htm" TargetMode="External"/><Relationship Id="rId244" Type="http://schemas.openxmlformats.org/officeDocument/2006/relationships/hyperlink" Target="http://www.sec.gov/Archives/edgar/data/0001620280/000110465918038926/a18-14910_1ex99d1.htm" TargetMode="External"/><Relationship Id="rId245" Type="http://schemas.openxmlformats.org/officeDocument/2006/relationships/hyperlink" Target="http://www.sec.gov/Archives/edgar/data/0001620280/000156459016017675/csal-ex101_144.htm" TargetMode="External"/><Relationship Id="rId246" Type="http://schemas.openxmlformats.org/officeDocument/2006/relationships/hyperlink" Target="http://www.sec.gov/Archives/edgar/data/0001620280/000156459016019251/csal-ex103_289.htm" TargetMode="External"/><Relationship Id="rId249" Type="http://schemas.openxmlformats.org/officeDocument/2006/relationships/hyperlink" Target="http://www.sec.gov/Archives/edgar/data/0001620280/000156459016024084/csal-ex102_756.htm" TargetMode="External"/><Relationship Id="rId250" Type="http://schemas.openxmlformats.org/officeDocument/2006/relationships/hyperlink" Target="http://www.sec.gov/Archives/edgar/data/1620280/000156459019018123/unit-ex102_198.htm" TargetMode="External"/><Relationship Id="rId251" Type="http://schemas.openxmlformats.org/officeDocument/2006/relationships/hyperlink" Target="http://www.sec.gov/Archives/edgar/data/1620280/000095010320003921/dp122645_ex1001.htm" TargetMode="External"/><Relationship Id="rId252" Type="http://schemas.openxmlformats.org/officeDocument/2006/relationships/hyperlink" Target="http://www.sec.gov/Archives/edgar/data/1620280/000095010320003921/dp122645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2020-03-12T16:07:29Z</dcterms:created>
  <dcterms:modified xsi:type="dcterms:W3CDTF">2020-03-12T16:07:29Z</dcterms:modified>
</cp:coreProperties>
</file>