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Bullington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2101 RIVERFRONT DRIVE, SUITE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Uniti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965"/>
        <w:gridCol w:w="446"/>
        <w:gridCol w:w="662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553,164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satisfy the reporting person's tax obligations that arose when time-based restricted stock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BULLINGTON BY: DANIEL L. HEARD,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4803" TargetMode="External"/><Relationship Id="rId5" Type="http://schemas.openxmlformats.org/officeDocument/2006/relationships/hyperlink" Target="http://www.sec.gov/cgi-bin/browse-edgar?action=getcompany&amp;CIK=0002020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3245</Characters>
  <CharactersWithSpaces>3772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