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Communications Sales &amp; Leasing,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46-5230630</w:t>
            </w:r>
          </w:p>
        </w:tc>
      </w:tr>
      <w:tr>
        <w:trPr>
          <w:trHeight w:val="149"/>
        </w:trPr>
        <w:tc>
          <w:tcPr>
            <w:tcW w:w="6220" w:type="dxa"/>
            <w:vAlign w:val="bottom"/>
          </w:tcPr>
          <w:p>
            <w:pPr>
              <w:jc w:val="center"/>
              <w:ind w:right="3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6220" w:type="dxa"/>
            <w:vAlign w:val="bottom"/>
          </w:tcPr>
          <w:p>
            <w:pPr>
              <w:jc w:val="center"/>
              <w:ind w:right="3759"/>
              <w:spacing w:after="0"/>
              <w:rPr>
                <w:sz w:val="20"/>
                <w:szCs w:val="20"/>
                <w:color w:val="auto"/>
              </w:rPr>
            </w:pPr>
            <w:r>
              <w:rPr>
                <w:rFonts w:ascii="Times New Roman" w:cs="Times New Roman" w:eastAsia="Times New Roman" w:hAnsi="Times New Roman"/>
                <w:sz w:val="18"/>
                <w:szCs w:val="18"/>
                <w:b w:val="1"/>
                <w:bCs w:val="1"/>
                <w:color w:val="auto"/>
              </w:rPr>
              <w:t>10802 Executive Center Drive</w:t>
            </w:r>
          </w:p>
        </w:tc>
        <w:tc>
          <w:tcPr>
            <w:tcW w:w="1240" w:type="dxa"/>
            <w:vAlign w:val="bottom"/>
          </w:tcPr>
          <w:p>
            <w:pPr>
              <w:spacing w:after="0"/>
              <w:rPr>
                <w:sz w:val="22"/>
                <w:szCs w:val="22"/>
                <w:color w:val="auto"/>
              </w:rPr>
            </w:pPr>
          </w:p>
        </w:tc>
      </w:tr>
      <w:tr>
        <w:trPr>
          <w:trHeight w:val="216"/>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9"/>
              </w:rPr>
              <w:t>Benton Building Suite 300</w:t>
            </w:r>
          </w:p>
        </w:tc>
        <w:tc>
          <w:tcPr>
            <w:tcW w:w="1240" w:type="dxa"/>
            <w:vAlign w:val="bottom"/>
          </w:tcPr>
          <w:p>
            <w:pPr>
              <w:spacing w:after="0"/>
              <w:rPr>
                <w:sz w:val="18"/>
                <w:szCs w:val="18"/>
                <w:color w:val="auto"/>
              </w:rPr>
            </w:pPr>
          </w:p>
        </w:tc>
      </w:tr>
      <w:tr>
        <w:trPr>
          <w:trHeight w:val="214"/>
        </w:trPr>
        <w:tc>
          <w:tcPr>
            <w:tcW w:w="6220" w:type="dxa"/>
            <w:vAlign w:val="bottom"/>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w w:val="99"/>
              </w:rPr>
              <w:t>Little Rock, Arkansas</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72211</w:t>
            </w:r>
          </w:p>
        </w:tc>
      </w:tr>
      <w:tr>
        <w:trPr>
          <w:trHeight w:val="190"/>
        </w:trPr>
        <w:tc>
          <w:tcPr>
            <w:tcW w:w="6220" w:type="dxa"/>
            <w:vAlign w:val="bottom"/>
          </w:tcPr>
          <w:p>
            <w:pPr>
              <w:jc w:val="center"/>
              <w:ind w:right="3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62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tc>
        <w:tc>
          <w:tcPr>
            <w:tcW w:w="12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ind w:right="1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340"/>
          </w:cols>
          <w:pgMar w:left="240" w:top="229" w:right="319" w:bottom="1440" w:gutter="0" w:footer="0" w:header="0"/>
        </w:sectPr>
      </w:pP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360"/>
            <w:col w:w="6080" w:space="720"/>
            <w:col w:w="1680" w:space="720"/>
            <w:col w:w="160"/>
          </w:cols>
          <w:pgMar w:left="240" w:top="229" w:right="31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1540" w:space="440"/>
            <w:col w:w="160" w:space="100"/>
            <w:col w:w="5820" w:space="720"/>
            <w:col w:w="1980" w:space="420"/>
            <w:col w:w="160"/>
          </w:cols>
          <w:pgMar w:left="240" w:top="229" w:right="319" w:bottom="1440" w:gutter="0" w:footer="0" w:header="0"/>
          <w:type w:val="continuous"/>
        </w:sectPr>
      </w:pPr>
    </w:p>
    <w:p>
      <w:pPr>
        <w:spacing w:after="0" w:line="2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05" w:lineRule="exact"/>
        <w:rPr>
          <w:sz w:val="24"/>
          <w:szCs w:val="24"/>
          <w:color w:val="auto"/>
        </w:rPr>
      </w:pPr>
    </w:p>
    <w:p>
      <w:pPr>
        <w:sectPr>
          <w:pgSz w:w="11900" w:h="16838" w:orient="portrait"/>
          <w:cols w:equalWidth="0" w:num="3">
            <w:col w:w="8700" w:space="220"/>
            <w:col w:w="520" w:space="180"/>
            <w:col w:w="1720"/>
          </w:cols>
          <w:pgMar w:left="240" w:top="22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 of November 7, 2016, the registrant had 155,789,510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201930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Prior to April 24, 2015, Communications Sales &amp; Leasing, Inc. (the “Company,” “CS&amp;L,” “we,” “us” or “our”) was a wholly-owned subsidiary of Windstream Holdings, Inc. (“Windstream Holdings,” and together with its subsidiaries, “Windstream”). On April 24, 2015, Windstream contributed certain telecommunications network assets, including fiber and copper networks and other real estate (the “Distribution Systems”) and a small consumer competitive local exchange carrier (“CLEC”) business (the “Consumer CLEC Business”), to CS&amp;L. In exchange, CS&amp;L issued to Windstream (i) approximately 149.8 million shares of its common stock, (ii) $400.0 million aggregate principal amount of 6.00% Senior Secured Notes due April 15, 2023 (the “Senior Secured Notes”), (iii) $1.11 billion aggregate principal amount of 8.25% Senior Notes due October 15, 2023 (the “Senior Unsecured Notes” and together with the Senior Secured Notes, the “Notes”) and (iv) approximately $2.0 billion in cash obtained from borrowings under CS&amp;L’s senior credit facilities. The contribution of the Distribution Systems and the Consumer CLEC Business and the related issuance of cash, debt and equity securities are referred to herein as the “Spin-Off.” The Spin-Off was effective on April 24, 2015.</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the benefits and tax treatment of the Spin-Off; future financing plans, business strategies, growth prospects and operating and financial performance; the benefits and tax treatment of reorganizing into an “up-REIT” structure; expectations regarding the impact of the acquisitions of PEG Bandwidth, LLC (“PEG Bandwidth”) and Tower Cloud, Inc. (“Tower Cloud”), including expectations regarding operational synergies of the acquisitions; expectations regarding settling conversion of our 3% convertible preferred stock in cash upon conversion; expectations regarding the probability of our obligation to pay contingent consideration upon Tower Cloud’s achievement of certain defined operational and financial milestones; expectations regarding future deployment of fiber strand miles and recognition of revenue related thereto; expectations regarding levels of capital expenditures; the deductibility of goodwill for tax purposes; expectations regarding the amortization of intangible assets; expectations regarding the making of distributions and the payment of dividends; and compliance with and changes in governmental regulations.</w:t>
      </w:r>
    </w:p>
    <w:p>
      <w:pPr>
        <w:spacing w:after="0" w:line="146"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realized. Factors which could have a material adverse effect on our operations and future prospects or which could cause actual results to differ materially from our expectations include, but are not limited to:</w:t>
      </w:r>
    </w:p>
    <w:p>
      <w:pPr>
        <w:spacing w:after="0" w:line="80" w:lineRule="exact"/>
        <w:rPr>
          <w:sz w:val="20"/>
          <w:szCs w:val="20"/>
          <w:color w:val="auto"/>
        </w:rPr>
      </w:pPr>
    </w:p>
    <w:p>
      <w:pPr>
        <w:ind w:left="1040" w:right="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current and future customers to meet and/or perform their obligations under any contractual arrangements entered into with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current and future customers to comply with laws, rules and regulations in the operation of the assets we lease to them;</w:t>
      </w:r>
    </w:p>
    <w:p>
      <w:pPr>
        <w:spacing w:after="0" w:line="117" w:lineRule="exact"/>
        <w:rPr>
          <w:rFonts w:ascii="Times New Roman" w:cs="Times New Roman" w:eastAsia="Times New Roman" w:hAnsi="Times New Roman"/>
          <w:sz w:val="18"/>
          <w:szCs w:val="18"/>
          <w:color w:val="auto"/>
        </w:rPr>
      </w:pPr>
    </w:p>
    <w:p>
      <w:pPr>
        <w:jc w:val="both"/>
        <w:ind w:left="1040" w:right="120" w:hanging="519"/>
        <w:spacing w:after="0" w:line="313"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Windstream and other current and future customers to renew their agreements with us upon their expiration, and the ability to reposition our properties on the same or better terms in the event of nonrenewal or in the event we replace an existing customer;</w:t>
      </w:r>
    </w:p>
    <w:p>
      <w:pPr>
        <w:spacing w:after="0" w:line="30" w:lineRule="exact"/>
        <w:rPr>
          <w:rFonts w:ascii="Times New Roman" w:cs="Times New Roman" w:eastAsia="Times New Roman" w:hAnsi="Times New Roman"/>
          <w:sz w:val="17"/>
          <w:szCs w:val="17"/>
          <w:color w:val="auto"/>
        </w:rPr>
      </w:pPr>
    </w:p>
    <w:p>
      <w:pPr>
        <w:ind w:left="1040" w:right="16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 and/or fluctuating interest rates;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or maintain our status as a real estate investment trust (“REIT”);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1040" w:right="30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the PEG Bandwidth and Tower Cloud transactions or have difficulty integrating PEG Bandwidth or Tower Cloud;</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promptly obtain all necessary services, materials, labor, supplies and rights-of-way required for construction of our projects, and to complete construction without significant delays, disputes or cost overruns;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53"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of this Quarterly Report on Form 10-Q, in Part II, Item 1A “Risk Factors” of our Quarterly Report on Form 10-Q for the quarter ended March 31, 2016 and in Part I, Item 1A “Risk Factors” of our Annual Report on Form 10-K for the year ended December 31, 2015, as well as those described from time to time in our future reports filed with the U.S. Securities and Exchange Commission (the “SEC”).</w:t>
      </w:r>
    </w:p>
    <w:p>
      <w:pPr>
        <w:spacing w:after="0" w:line="14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8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4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0"/>
            <w:vMerge w:val="restart"/>
          </w:tcPr>
          <w:p>
            <w:pPr>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FINANCIAL INFORMATION</w:t>
              </w:r>
            </w:hyperlink>
          </w:p>
        </w:tc>
        <w:tc>
          <w:tcPr>
            <w:tcW w:w="7540" w:type="dxa"/>
            <w:vAlign w:val="bottom"/>
            <w:gridSpan w:val="12"/>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10"/>
            <w:vMerge w:val="continue"/>
          </w:tcPr>
          <w:p>
            <w:pPr>
              <w:spacing w:after="0"/>
              <w:rPr>
                <w:sz w:val="15"/>
                <w:szCs w:val="15"/>
                <w:color w:val="auto"/>
              </w:rPr>
            </w:pPr>
          </w:p>
        </w:tc>
        <w:tc>
          <w:tcPr>
            <w:tcW w:w="7540" w:type="dxa"/>
            <w:vAlign w:val="bottom"/>
            <w:gridSpan w:val="1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Communication Sales &amp; Leasing,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2"/>
          </w:tcPr>
          <w:p>
            <w:pPr>
              <w:spacing w:after="0" w:line="194"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w:t>
              </w:r>
            </w:hyperlink>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Income</w:t>
              </w:r>
            </w:hyperlink>
          </w:p>
        </w:tc>
        <w:tc>
          <w:tcPr>
            <w:tcW w:w="65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(Loss)</w:t>
              </w:r>
            </w:hyperlink>
          </w:p>
        </w:tc>
        <w:tc>
          <w:tcPr>
            <w:tcW w:w="48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Cash Flows</w:t>
              </w:r>
            </w:hyperlink>
          </w:p>
        </w:tc>
        <w:tc>
          <w:tcPr>
            <w:tcW w:w="5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auto"/>
              </w:rPr>
              <w:t>Consumer CLEC Business</w:t>
            </w:r>
          </w:p>
        </w:tc>
        <w:tc>
          <w:tcPr>
            <w:tcW w:w="5940" w:type="dxa"/>
            <w:vAlign w:val="bottom"/>
            <w:gridSpan w:val="6"/>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2"/>
          </w:tcPr>
          <w:p>
            <w:pPr>
              <w:spacing w:after="0" w:line="194"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Statements of Revenues and Direct Expenses</w:t>
              </w:r>
            </w:hyperlink>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Notes to Financial Statements</w:t>
              </w:r>
            </w:hyperlink>
          </w:p>
        </w:tc>
        <w:tc>
          <w:tcPr>
            <w:tcW w:w="66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Controls and Procedures</w:t>
              </w:r>
            </w:hyperlink>
          </w:p>
        </w:tc>
        <w:tc>
          <w:tcPr>
            <w:tcW w:w="816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40" w:type="dxa"/>
            <w:vAlign w:val="bottom"/>
            <w:gridSpan w:val="22"/>
          </w:tcPr>
          <w:p>
            <w:pPr>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Proceedings</w:t>
              </w:r>
            </w:hyperlink>
          </w:p>
        </w:tc>
        <w:tc>
          <w:tcPr>
            <w:tcW w:w="79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18"/>
                <w:szCs w:val="18"/>
                <w:color w:val="auto"/>
              </w:rPr>
            </w:pPr>
          </w:p>
        </w:tc>
        <w:tc>
          <w:tcPr>
            <w:tcW w:w="86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Unregistered Sales of Equity Securities and Use of Proceeds</w:t>
              </w:r>
            </w:hyperlink>
          </w:p>
        </w:tc>
        <w:tc>
          <w:tcPr>
            <w:tcW w:w="558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Defaults Upon Senior Securities</w:t>
              </w:r>
            </w:hyperlink>
          </w:p>
        </w:tc>
        <w:tc>
          <w:tcPr>
            <w:tcW w:w="760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Mine Safety Disclosures</w:t>
              </w:r>
            </w:hyperlink>
          </w:p>
        </w:tc>
        <w:tc>
          <w:tcPr>
            <w:tcW w:w="816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w:t>
              </w:r>
            </w:hyperlink>
          </w:p>
        </w:tc>
        <w:tc>
          <w:tcPr>
            <w:tcW w:w="8620" w:type="dxa"/>
            <w:vAlign w:val="bottom"/>
            <w:gridSpan w:val="18"/>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Signatures</w:t>
              </w:r>
            </w:hyperlink>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6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Exhibit Index</w:t>
              </w:r>
            </w:hyperlink>
          </w:p>
        </w:tc>
        <w:tc>
          <w:tcPr>
            <w:tcW w:w="986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2,694,141</w:t>
            </w:r>
          </w:p>
        </w:tc>
        <w:tc>
          <w:tcPr>
            <w:tcW w:w="28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3,217,534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Deficit:</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280" w:type="dxa"/>
            <w:vAlign w:val="bottom"/>
          </w:tcPr>
          <w:p>
            <w:pPr>
              <w:spacing w:after="0"/>
              <w:rPr>
                <w:sz w:val="19"/>
                <w:szCs w:val="19"/>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3,846,711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r>
              <w:rPr>
                <w:rFonts w:ascii="Times New Roman" w:cs="Times New Roman" w:eastAsia="Times New Roman" w:hAnsi="Times New Roman"/>
                <w:sz w:val="18"/>
                <w:szCs w:val="18"/>
                <w:color w:val="auto"/>
              </w:rPr>
              <w:t>, Series A, $0.0001 par value, 88 shares authorized, issued and outstanding,</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$87,500 liquidation value</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500,000 shares authorized, issued and outstanding: 155,123 shares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at September 30, 2016 and 149,862 at December 31, 2015</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(68,938)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(1,438,302)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(1,162,886)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(1,366,759)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Shareholders' Deficit</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3,217,534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184"/>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15"/>
                <w:szCs w:val="15"/>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53"/>
        </w:trPr>
        <w:tc>
          <w:tcPr>
            <w:tcW w:w="46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Leasing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169,525</w:t>
            </w:r>
          </w:p>
        </w:tc>
        <w:tc>
          <w:tcPr>
            <w:tcW w:w="24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507,216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Fiber Infrastructure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Consumer CLEC</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558,431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applicable to common shareholders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earnings per common share:</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153,878</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2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2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18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39"/>
        </w:trPr>
        <w:tc>
          <w:tcPr>
            <w:tcW w:w="45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(2,343)</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derivative contracts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(42,544)</w:t>
            </w: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foreign currency translation</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(1,971)</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 gain</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(4,314)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52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1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8"/>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Deficit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0"/>
                <w:szCs w:val="2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w:t>
            </w:r>
          </w:p>
        </w:tc>
        <w:tc>
          <w:tcPr>
            <w:tcW w:w="340" w:type="dxa"/>
            <w:vAlign w:val="bottom"/>
          </w:tcPr>
          <w:p>
            <w:pPr>
              <w:spacing w:after="0"/>
              <w:rPr>
                <w:sz w:val="18"/>
                <w:szCs w:val="18"/>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in Excess of</w:t>
            </w: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Paid-in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20" w:type="dxa"/>
            <w:vAlign w:val="bottom"/>
          </w:tcPr>
          <w:p>
            <w:pPr>
              <w:spacing w:after="0"/>
              <w:rPr>
                <w:sz w:val="20"/>
                <w:szCs w:val="20"/>
                <w:color w:val="auto"/>
              </w:rPr>
            </w:pPr>
          </w:p>
        </w:tc>
        <w:tc>
          <w:tcPr>
            <w:tcW w:w="15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Capital</w:t>
            </w:r>
          </w:p>
        </w:tc>
        <w:tc>
          <w:tcPr>
            <w:tcW w:w="340" w:type="dxa"/>
            <w:vAlign w:val="bottom"/>
          </w:tcPr>
          <w:p>
            <w:pPr>
              <w:spacing w:after="0"/>
              <w:rPr>
                <w:sz w:val="20"/>
                <w:szCs w:val="20"/>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Deficit</w:t>
            </w:r>
          </w:p>
        </w:tc>
        <w:tc>
          <w:tcPr>
            <w:tcW w:w="0" w:type="dxa"/>
            <w:vAlign w:val="bottom"/>
          </w:tcPr>
          <w:p>
            <w:pPr>
              <w:spacing w:after="0"/>
              <w:rPr>
                <w:sz w:val="1"/>
                <w:szCs w:val="1"/>
                <w:color w:val="auto"/>
              </w:rPr>
            </w:pPr>
          </w:p>
        </w:tc>
      </w:tr>
      <w:tr>
        <w:trPr>
          <w:trHeight w:val="183"/>
        </w:trPr>
        <w:tc>
          <w:tcPr>
            <w:tcW w:w="1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w w:val="95"/>
              </w:rPr>
              <w:t>Shares</w:t>
            </w: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top w:val="single" w:sz="8" w:color="auto"/>
            </w:tcBorders>
            <w:gridSpan w:val="3"/>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4"/>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April 24, 2015</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149,827,214</w:t>
            </w:r>
          </w:p>
        </w:tc>
        <w:tc>
          <w:tcPr>
            <w:tcW w:w="72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2,508,405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to Windstream related</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(3,447,879)</w:t>
            </w: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(3,447,879)</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 Spin-Off</w:t>
            </w:r>
          </w:p>
        </w:tc>
        <w:tc>
          <w:tcPr>
            <w:tcW w:w="72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dividends</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(156,926)</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(156,926)</w:t>
            </w: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issuance cost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5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6"/>
                <w:szCs w:val="16"/>
                <w:color w:val="auto"/>
              </w:rPr>
              <w:t>Balance at September 30, 2015</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149,835,627</w:t>
            </w:r>
          </w:p>
        </w:tc>
        <w:tc>
          <w:tcPr>
            <w:tcW w:w="24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(1,078,809</w:t>
            </w:r>
          </w:p>
        </w:tc>
        <w:tc>
          <w:tcPr>
            <w:tcW w:w="240" w:type="dxa"/>
            <w:vAlign w:val="bottom"/>
            <w:tcBorders>
              <w:bottom w:val="single" w:sz="8" w:color="CFF0FC"/>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(1,092,186</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December 31, 2015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149,862,459</w:t>
            </w: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(1,162,886)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5,077,629</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137,665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costs</w:t>
            </w:r>
          </w:p>
        </w:tc>
        <w:tc>
          <w:tcPr>
            <w:tcW w:w="7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discount on</w:t>
            </w:r>
          </w:p>
        </w:tc>
        <w:tc>
          <w:tcPr>
            <w:tcW w:w="7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(1,241)</w:t>
            </w:r>
          </w:p>
        </w:tc>
        <w:tc>
          <w:tcPr>
            <w:tcW w:w="34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72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280" w:type="dxa"/>
            <w:vAlign w:val="bottom"/>
            <w:gridSpan w:val="4"/>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(63,511)</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dividends</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(276,567)</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(276,567)</w:t>
            </w:r>
          </w:p>
        </w:tc>
        <w:tc>
          <w:tcPr>
            <w:tcW w:w="0" w:type="dxa"/>
            <w:vAlign w:val="bottom"/>
          </w:tcPr>
          <w:p>
            <w:pPr>
              <w:spacing w:after="0"/>
              <w:rPr>
                <w:sz w:val="1"/>
                <w:szCs w:val="1"/>
                <w:color w:val="auto"/>
              </w:rPr>
            </w:pPr>
          </w:p>
        </w:tc>
      </w:tr>
      <w:tr>
        <w:trPr>
          <w:trHeight w:val="202"/>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dividends</w:t>
            </w:r>
          </w:p>
        </w:tc>
        <w:tc>
          <w:tcPr>
            <w:tcW w:w="7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issuance cost</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share settlement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183,072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September 30, 2016</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155,123,160</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(1,438,302</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 from April 24-</w:t>
            </w:r>
          </w:p>
        </w:tc>
        <w:tc>
          <w:tcPr>
            <w:tcW w:w="0" w:type="dxa"/>
            <w:vAlign w:val="bottom"/>
          </w:tcPr>
          <w:p>
            <w:pPr>
              <w:spacing w:after="0"/>
              <w:rPr>
                <w:sz w:val="1"/>
                <w:szCs w:val="1"/>
                <w:color w:val="auto"/>
              </w:rPr>
            </w:pPr>
          </w:p>
        </w:tc>
      </w:tr>
      <w:tr>
        <w:trPr>
          <w:trHeight w:val="173"/>
        </w:trPr>
        <w:tc>
          <w:tcPr>
            <w:tcW w:w="7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5"/>
                <w:szCs w:val="15"/>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23"/>
        </w:trPr>
        <w:tc>
          <w:tcPr>
            <w:tcW w:w="7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Straight-line rental revenues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(13,174)</w:t>
            </w:r>
          </w:p>
        </w:tc>
        <w:tc>
          <w:tcPr>
            <w:tcW w:w="18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(4,435)</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(4,951)</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300,551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(489,538)</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 paid to Windstream Services, LLC</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(1,035,029)</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(19,204)</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(508,742)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(16,744)</w:t>
            </w:r>
          </w:p>
        </w:tc>
        <w:tc>
          <w:tcPr>
            <w:tcW w:w="18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(273,692)</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(66,522)</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(321,000)</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lease payments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(2,946)</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share settlement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(2,123)</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in-lieu of fractional shares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1,024,462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(101,736)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acquired but not yet paid</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3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businesses through non-cash consideration</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notes and other debt to Windstream Services, LLC, net of deferred financing costs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($34,681)</w:t>
            </w:r>
          </w:p>
        </w:tc>
        <w:tc>
          <w:tcPr>
            <w:tcW w:w="34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CS&amp;L was incorporated in the state of Maryland on September 4, 2014 as a subsidiary of Windstream. In connection with the Spin-Off, Windstream and CS&amp;L entered into a long-term, triple-net lease (the “Master Lease”) pursuant to which CS&amp;L leases the Distribution Systems to Windstream. The assets and liabilities of the Distribution Systems and Consumer CLEC Business were recorded in our Condensed Consolidated Financial Statements on a carryover basis as of the date of the Spin-Off.</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CS&amp;L is an independent, internally managed REIT engaged in the acquisition and construction of mission critical infrastructure in the communications industry. The Company is principally focused on acquiring and constructing fiber optic broadband networks, wireless communications towers, copper and coaxial broadband networks and data centers. Through our fiber infrastructure group, Uniti Fiber, the Company has also become a leading provider of infrastructure solutions, including cell site backhaul and dark fiber, to the telecommunications industry. 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Company operates as a REIT for U.S. federal income tax purposes. As a REIT, the Company is generally not subject to U.S. federal income taxes on income generated by its REIT operations, which includes income derived from the Master Lease. We have elected to treat certain indirect, wholly-owned subsidiaries of CS&amp;L through which we operate Uniti Fiber and the Consumer CLEC Business as taxable REIT subsidiaries (“TRSs”). TRSs enable us to engage in activities that do not result in income that would be qualifying income for a REIT. Our TRSs are subject to U.S. federal, state and local corporate income taxes.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2015 (“Annual Report”), filed with the SEC on March 7, 2016. Accordingly, significant accounting policies and other disclosures normally provided have been omitted from the accompanying Condensed Consolidated Financial Statements and related notes since such items are disclosed in our Annual Report. All material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—We currently have no liabilities for uncertain income tax positions. We have filed our initial U.S. federal and state income tax returns which are subject to examination.</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ASC 805 also requires acquirers, among other things, to estimate the acquisition date fair value of any contingent consideration and to recognize any subsequent changes in the fair value of contingent consideration in earnings.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85"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—Goodwill is recognized for the excess of purchase price over the fair value of net assets of businesses acquired. Goodwill is reviewed for impairment at least annually. In accordance with ASC 350-20,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w:t>
      </w:r>
    </w:p>
    <w:p>
      <w:pPr>
        <w:spacing w:after="0" w:line="117" w:lineRule="exact"/>
        <w:rPr>
          <w:sz w:val="20"/>
          <w:szCs w:val="20"/>
          <w:color w:val="auto"/>
        </w:rPr>
      </w:pPr>
    </w:p>
    <w:p>
      <w:pPr>
        <w:ind w:right="100"/>
        <w:spacing w:after="0" w:line="226" w:lineRule="exact"/>
        <w:rPr>
          <w:sz w:val="20"/>
          <w:szCs w:val="20"/>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also enters into leasing arrangements providing for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use of constructed fiber that is then integrated into the Company’s network infrastructure. For each lease that qualifies as a capital lease, the present value of the lease payments, which may include both periodic lease payments over the term of the lease as well as upfront payments to the lessor, is capitalized at the inception of the lease and included in property and equipment.</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property, plant and equipment are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capital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w:t>
      </w:r>
    </w:p>
    <w:p>
      <w:pPr>
        <w:spacing w:after="0" w:line="13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Costs of maintenance and repairs to property, plant and equipment subject to the Master Lease are the responsibility of our tenant. Costs of maintenance and repairs to property, plant and equipment not subject to triple-net leasing arrangements are expensed as incurred.</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real estate investments on our Condensed Consolidated Balance Sheet.</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—The financial statements of our international subsidiaries whose functional currency is the local currency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xml:space="preserve">—Certain amounts have been reclassified to conform with current year presentation. We determined that certain immaterial misclassifications existed in the supplemental guarantor information condensed consolidating statements of comprehensive income and statement of cash flows for the period April 24, 2015 to September 30, 2015. </w:t>
      </w:r>
      <w:r>
        <w:rPr>
          <w:rFonts w:ascii="Times New Roman" w:cs="Times New Roman" w:eastAsia="Times New Roman" w:hAnsi="Times New Roman"/>
          <w:sz w:val="18"/>
          <w:szCs w:val="18"/>
          <w:u w:val="single" w:color="auto"/>
          <w:color w:val="0000FF"/>
        </w:rPr>
        <w:t>See Note 15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Transaction Related Costs</w:t>
      </w:r>
      <w:r>
        <w:rPr>
          <w:rFonts w:ascii="Times New Roman" w:cs="Times New Roman" w:eastAsia="Times New Roman" w:hAnsi="Times New Roman"/>
          <w:sz w:val="18"/>
          <w:szCs w:val="18"/>
          <w:color w:val="auto"/>
        </w:rPr>
        <w:t>—The Company expenses transaction related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finder’s fees, travel expenses, and other direct expenses associated with an acquisition. Integration costs include direct costs necessary to integrate an acquired business, including professional services, systems and data conversion, severance and retention bonuses payable to employees of an acquired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w:t>
      </w:r>
      <w:r>
        <w:rPr>
          <w:rFonts w:ascii="Times New Roman" w:cs="Times New Roman" w:eastAsia="Times New Roman" w:hAnsi="Times New Roman"/>
          <w:sz w:val="18"/>
          <w:szCs w:val="18"/>
          <w:color w:val="2F2F2F"/>
        </w:rPr>
        <w:t>The Company is in the process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of evaluating this guidance to determine the impact it will have on our financial statements.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 xml:space="preserve">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Times New Roman" w:cs="Times New Roman" w:eastAsia="Times New Roman" w:hAnsi="Times New Roman"/>
          <w:sz w:val="18"/>
          <w:szCs w:val="18"/>
          <w:color w:val="000000"/>
        </w:rPr>
        <w:t>whether lease expense is recognized</w:t>
      </w:r>
      <w:r>
        <w:rPr>
          <w:rFonts w:ascii="Times New Roman" w:cs="Times New Roman" w:eastAsia="Times New Roman" w:hAnsi="Times New Roman"/>
          <w:sz w:val="18"/>
          <w:szCs w:val="18"/>
          <w:color w:val="2F2F2F"/>
        </w:rPr>
        <w:t xml:space="preserve"> based on an effective interest method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2F2F2F"/>
        </w:rPr>
        <w:t xml:space="preserve"> on a straight 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w:t>
      </w:r>
      <w:r>
        <w:rPr>
          <w:rFonts w:ascii="Times New Roman" w:cs="Times New Roman" w:eastAsia="Times New Roman" w:hAnsi="Times New Roman"/>
          <w:sz w:val="18"/>
          <w:szCs w:val="18"/>
          <w:color w:val="000000"/>
        </w:rPr>
        <w:t>ASC 842 is effective for fiscal years and interim</w:t>
      </w:r>
      <w:r>
        <w:rPr>
          <w:rFonts w:ascii="Times New Roman" w:cs="Times New Roman" w:eastAsia="Times New Roman" w:hAnsi="Times New Roman"/>
          <w:sz w:val="18"/>
          <w:szCs w:val="18"/>
          <w:color w:val="2F2F2F"/>
        </w:rPr>
        <w:t xml:space="preserve"> </w:t>
      </w:r>
      <w:r>
        <w:rPr>
          <w:rFonts w:ascii="Times New Roman" w:cs="Times New Roman" w:eastAsia="Times New Roman" w:hAnsi="Times New Roman"/>
          <w:sz w:val="18"/>
          <w:szCs w:val="18"/>
          <w:color w:val="000000"/>
        </w:rPr>
        <w:t xml:space="preserve">periods beginning after December 15, 2018, and early adoption is permitted. The Company is in the </w:t>
      </w:r>
      <w:r>
        <w:rPr>
          <w:rFonts w:ascii="Times New Roman" w:cs="Times New Roman" w:eastAsia="Times New Roman" w:hAnsi="Times New Roman"/>
          <w:sz w:val="18"/>
          <w:szCs w:val="18"/>
          <w:color w:val="2F2F2F"/>
        </w:rPr>
        <w:t>process of evaluating this guidance to determine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F2F2F"/>
        </w:rPr>
        <w:t>impact it will have on our financial statements.</w:t>
      </w:r>
    </w:p>
    <w:p>
      <w:pPr>
        <w:spacing w:after="0" w:line="18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simplifies 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We adopted ASU 2016-09 effective April 1, 2016, and will reverse compensation cost of forfeited awards as they occur. At the time of adoption, we had not experienced any forfeited awards and therefore no cumulative-effect adjustment was necessary.</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impacts the adoption of this accounting standard will have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Tower Cloud, Inc.</w:t>
      </w:r>
    </w:p>
    <w:p>
      <w:pPr>
        <w:spacing w:after="0" w:line="29" w:lineRule="exact"/>
        <w:rPr>
          <w:sz w:val="20"/>
          <w:szCs w:val="20"/>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31, 2016, we acquired 100% of the outstanding equity of Tower Cloud, Inc. (“Tower Cloud”) for $187.7 million in cash and 1.9 million shares of our common stock with an acquisition date fair value of $58.5 million. Additional contingent consideration of up to $130 million, with an acquisition date </w:t>
      </w:r>
      <w:hyperlink w:anchor="page15">
        <w:r>
          <w:rPr>
            <w:rFonts w:ascii="Times New Roman" w:cs="Times New Roman" w:eastAsia="Times New Roman" w:hAnsi="Times New Roman"/>
            <w:sz w:val="18"/>
            <w:szCs w:val="18"/>
            <w:color w:val="auto"/>
          </w:rPr>
          <w:t xml:space="preserve">fair value of $98.6 million, may be paid upon the achievement of certain defined operational and financial milestones. </w:t>
        </w:r>
        <w:r>
          <w:rPr>
            <w:rFonts w:ascii="Times New Roman" w:cs="Times New Roman" w:eastAsia="Times New Roman" w:hAnsi="Times New Roman"/>
            <w:sz w:val="18"/>
            <w:szCs w:val="18"/>
            <w:u w:val="single" w:color="auto"/>
            <w:color w:val="0000EE"/>
          </w:rPr>
          <w:t>See Note 4</w:t>
        </w:r>
        <w:r>
          <w:rPr>
            <w:rFonts w:ascii="Times New Roman" w:cs="Times New Roman" w:eastAsia="Times New Roman" w:hAnsi="Times New Roman"/>
            <w:sz w:val="18"/>
            <w:szCs w:val="18"/>
            <w:u w:val="single" w:color="auto"/>
            <w:color w:val="auto"/>
          </w:rPr>
          <w:t>. At the Company’s</w:t>
        </w:r>
      </w:hyperlink>
      <w:r>
        <w:rPr>
          <w:rFonts w:ascii="Times New Roman" w:cs="Times New Roman" w:eastAsia="Times New Roman" w:hAnsi="Times New Roman"/>
          <w:sz w:val="18"/>
          <w:szCs w:val="18"/>
          <w:color w:val="auto"/>
        </w:rPr>
        <w:t xml:space="preserve"> </w:t>
      </w:r>
      <w:hyperlink w:anchor="page15">
        <w:r>
          <w:rPr>
            <w:rFonts w:ascii="Times New Roman" w:cs="Times New Roman" w:eastAsia="Times New Roman" w:hAnsi="Times New Roman"/>
            <w:sz w:val="18"/>
            <w:szCs w:val="18"/>
            <w:u w:val="single" w:color="auto"/>
            <w:color w:val="auto"/>
          </w:rPr>
          <w:t>discretion, a combination of cash and CS&amp;L common shares may be used to satisfy the contingent consideration payments, provided that at least 50</w:t>
        </w:r>
      </w:hyperlink>
      <w:r>
        <w:rPr>
          <w:rFonts w:ascii="Times New Roman" w:cs="Times New Roman" w:eastAsia="Times New Roman" w:hAnsi="Times New Roman"/>
          <w:sz w:val="18"/>
          <w:szCs w:val="18"/>
          <w:color w:val="auto"/>
        </w:rPr>
        <w:t>%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Following the close of the transaction, the Tower Cloud business and the previously acquired PEG Bandwidth LLC (“PEG Bandwidth”) business were combined into a unified fiber infrastructure organization, Uniti Fiber. The operating results from this acquisition are included in the condensed consolidated financial statements from the acquisition date. The acquisition was recorded by allocating the costs of the assets acquired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their estimated fair values at the acquisition date. The excess of the cost of the acquisition over the fair value of the assets acquired is recorded as goodwill within our Fiber Infrastructure segment. </w:t>
      </w:r>
      <w:hyperlink w:anchor="page18">
        <w:r>
          <w:rPr>
            <w:rFonts w:ascii="Times New Roman" w:cs="Times New Roman" w:eastAsia="Times New Roman" w:hAnsi="Times New Roman"/>
            <w:sz w:val="18"/>
            <w:szCs w:val="18"/>
            <w:u w:val="single" w:color="auto"/>
            <w:color w:val="0000EE"/>
          </w:rPr>
          <w:t>See Note 7</w:t>
        </w:r>
      </w:hyperlink>
      <w:r>
        <w:rPr>
          <w:rFonts w:ascii="Times New Roman" w:cs="Times New Roman" w:eastAsia="Times New Roman" w:hAnsi="Times New Roman"/>
          <w:sz w:val="18"/>
          <w:szCs w:val="18"/>
          <w:color w:val="auto"/>
        </w:rPr>
        <w:t>. The following is a summary of the estimated fair values of the assets acquired and liabilities assumed: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50"/>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163,680</w:t>
            </w:r>
          </w:p>
        </w:tc>
        <w:tc>
          <w:tcPr>
            <w:tcW w:w="100" w:type="dxa"/>
            <w:vAlign w:val="bottom"/>
            <w:shd w:val="clear" w:color="auto" w:fill="CFF0FC"/>
          </w:tcPr>
          <w:p>
            <w:pPr>
              <w:spacing w:after="0"/>
              <w:rPr>
                <w:sz w:val="21"/>
                <w:szCs w:val="21"/>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00" w:type="dxa"/>
            <w:vAlign w:val="bottom"/>
          </w:tcPr>
          <w:p>
            <w:pPr>
              <w:spacing w:after="0"/>
              <w:rPr>
                <w:sz w:val="19"/>
                <w:szCs w:val="19"/>
                <w:color w:val="auto"/>
              </w:rPr>
            </w:pPr>
          </w:p>
        </w:tc>
      </w:tr>
      <w:tr>
        <w:trPr>
          <w:trHeight w:val="230"/>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shd w:val="clear" w:color="auto" w:fill="CFF0FC"/>
          </w:tcPr>
          <w:p>
            <w:pPr>
              <w:spacing w:after="0"/>
              <w:rPr>
                <w:sz w:val="19"/>
                <w:szCs w:val="19"/>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9"/>
                <w:szCs w:val="19"/>
                <w:color w:val="auto"/>
              </w:rPr>
            </w:pPr>
          </w:p>
        </w:tc>
      </w:tr>
      <w:tr>
        <w:trPr>
          <w:trHeight w:val="230"/>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116,218</w:t>
            </w:r>
          </w:p>
        </w:tc>
        <w:tc>
          <w:tcPr>
            <w:tcW w:w="100" w:type="dxa"/>
            <w:vAlign w:val="bottom"/>
            <w:shd w:val="clear" w:color="auto" w:fill="CFF0FC"/>
          </w:tcPr>
          <w:p>
            <w:pPr>
              <w:spacing w:after="0"/>
              <w:rPr>
                <w:sz w:val="19"/>
                <w:szCs w:val="19"/>
                <w:color w:val="auto"/>
              </w:rPr>
            </w:pP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(16,782)</w:t>
            </w:r>
          </w:p>
        </w:tc>
      </w:tr>
      <w:tr>
        <w:trPr>
          <w:trHeight w:val="230"/>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(23,900)</w:t>
            </w:r>
          </w:p>
        </w:tc>
      </w:tr>
      <w:tr>
        <w:trPr>
          <w:trHeight w:val="230"/>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(24,840)</w:t>
            </w:r>
          </w:p>
        </w:tc>
      </w:tr>
      <w:tr>
        <w:trPr>
          <w:trHeight w:val="230"/>
        </w:trPr>
        <w:tc>
          <w:tcPr>
            <w:tcW w:w="8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(6,750)</w:t>
            </w:r>
          </w:p>
        </w:tc>
      </w:tr>
      <w:tr>
        <w:trPr>
          <w:trHeight w:val="223"/>
        </w:trPr>
        <w:tc>
          <w:tcPr>
            <w:tcW w:w="89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227,610</w:t>
            </w:r>
          </w:p>
        </w:tc>
        <w:tc>
          <w:tcPr>
            <w:tcW w:w="100" w:type="dxa"/>
            <w:vAlign w:val="bottom"/>
            <w:tcBorders>
              <w:bottom w:val="single" w:sz="8" w:color="CFF0FC"/>
            </w:tcBorders>
          </w:tcPr>
          <w:p>
            <w:pPr>
              <w:spacing w:after="0"/>
              <w:rPr>
                <w:sz w:val="19"/>
                <w:szCs w:val="19"/>
                <w:color w:val="auto"/>
              </w:rPr>
            </w:pPr>
          </w:p>
        </w:tc>
      </w:tr>
      <w:tr>
        <w:trPr>
          <w:trHeight w:val="223"/>
        </w:trPr>
        <w:tc>
          <w:tcPr>
            <w:tcW w:w="8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117,254</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above purchase price allocation is considered preliminary and is subject to revision when the valuation of assets and liabilities are finalized upon receipt of the final valuation report from a third party valuation expert, and resolution of contractual adjustments, such as working capital adjustments, set forth in the merger agreement.</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goodwill is primarily attributable to strategic opportunities that arose from the acquisition of Tower Cloud. The acquisition was treated as a taxable acquisition of the outstanding stock of Tower Cloud, Inc. Thus, none of the goodwill is expected to be deductible for tax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acquired an intangible asset that was assigned to customer relationships of $116.2 million (30 year life).</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Tower Cloud had federal net operating loss (“NOL”) carryforwards of approximately $81.2 million at the date of the acquisition, which will expire between 2026 and 2036. As a result of the change in ownership, the utilization of NOL carryforwards is subject to limitations imposed by the Internal Revenue Code. The gross deferred tax assets associated with the NOL and other temporary differences as of August 31, 2016 were approximately $37.0 million, with respect to which we have determined that a valuation allowance is not required. A net deferred tax liability of $24.8 million was recorded in connection with the acquisition, which is primarily related to the excess of the recorded amounts for Property, Plant &amp; Equipment and Intangible Assets over their respective historical tax bases.</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acquired business contributed revenue of $3.5 million and an operating loss of $0.4 million, which excludes transaction and transition costs, to our consolidated results from the date of acquisition through September 30, 2016. We recorded transaction related costs related to the acquisition of Tower Cloud for the three and nine months ended September 30, 2016 of $5.4 million and $8.9 million, respectively, within transaction related costs on the Condensed Consolidated Statement of Income.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business combination had occurred on April 24, 2015.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April 24, 2015.</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184"/>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0" w:type="dxa"/>
            <w:vAlign w:val="bottom"/>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53"/>
        </w:trPr>
        <w:tc>
          <w:tcPr>
            <w:tcW w:w="338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184,728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591,185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income</w:t>
            </w:r>
          </w:p>
        </w:tc>
        <w:tc>
          <w:tcPr>
            <w:tcW w:w="1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(5,744)</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net (loss) income per share</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0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Windstream Towers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12, 2016, the Company completed the previously announced transaction with Windstream pursuant to which the Company acquired 32 wireless towers owned by Windstream and operating rights for 49 wireless towers previously conveyed to the Company in the Spin-Off for a purchase price of $3 million. The financial results of this tower acquisition are included in the Leasing segment from the date of acquisition and were not material, individually or in the aggregate, to our results of operations and therefore, pro forma financial information has not been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PEG Bandwidth, LLC</w:t>
      </w:r>
    </w:p>
    <w:p>
      <w:pPr>
        <w:spacing w:after="0" w:line="173" w:lineRule="exact"/>
        <w:rPr>
          <w:sz w:val="20"/>
          <w:szCs w:val="20"/>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 2016, we acquired 100% of the outstanding equity of PEG Bandwidth for $323 million in cash, the issuance of 87,500 shares of our 3.00%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operating results from this acquisition are included in the condensed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18">
        <w:r>
          <w:rPr>
            <w:rFonts w:ascii="Times New Roman" w:cs="Times New Roman" w:eastAsia="Times New Roman" w:hAnsi="Times New Roman"/>
            <w:sz w:val="18"/>
            <w:szCs w:val="18"/>
            <w:u w:val="single" w:color="auto"/>
            <w:color w:val="auto"/>
          </w:rPr>
          <w:t>See Note 7</w:t>
        </w:r>
      </w:hyperlink>
      <w:r>
        <w:rPr>
          <w:rFonts w:ascii="Times New Roman" w:cs="Times New Roman" w:eastAsia="Times New Roman" w:hAnsi="Times New Roman"/>
          <w:sz w:val="18"/>
          <w:szCs w:val="18"/>
          <w:color w:val="auto"/>
        </w:rPr>
        <w:t>. The following is a summary of the estimated fair values of the assets acquired and liabilities assumed: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5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293,415</w:t>
            </w:r>
          </w:p>
        </w:tc>
        <w:tc>
          <w:tcPr>
            <w:tcW w:w="100" w:type="dxa"/>
            <w:vAlign w:val="bottom"/>
            <w:shd w:val="clear" w:color="auto" w:fill="CFF0FC"/>
          </w:tcPr>
          <w:p>
            <w:pPr>
              <w:spacing w:after="0"/>
              <w:rPr>
                <w:sz w:val="21"/>
                <w:szCs w:val="2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19"/>
                <w:szCs w:val="19"/>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shd w:val="clear" w:color="auto" w:fill="CFF0FC"/>
          </w:tcPr>
          <w:p>
            <w:pPr>
              <w:spacing w:after="0"/>
              <w:rPr>
                <w:sz w:val="19"/>
                <w:szCs w:val="19"/>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(9,075)</w:t>
            </w: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(12,700)</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(49,195)</w:t>
            </w:r>
          </w:p>
        </w:tc>
      </w:tr>
      <w:tr>
        <w:trPr>
          <w:trHeight w:val="223"/>
        </w:trPr>
        <w:tc>
          <w:tcPr>
            <w:tcW w:w="92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9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9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above purchase price allocation is considered preliminary and is subject to revision upon resolution of contractual adjustments, such as working capital adjustments, set forth in the merger agreement.</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goodwill is primarily attributable to strategic opportunities that arose from the acquisition of PEG Bandwidth. The goodwill is expected to be deductible for tax purposes.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Of the $38 million of acquired intangible assets, $36 million was assigned to customer relationships (weighted average 17 year life) and $2 million was assigned to trademarks (indefinite life).</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acquired business contributed revenues of $35.5 million and an operating loss of $0.6 million, which excludes transaction and transition costs, to our consolidated results from the date of acquisition through September 30, 2016. We recorded $1.1 million and $10.5 million for the three and nine months ended September 30, 2016, respectively, related to the acquisition of PEG Bandwidth within transaction related costs on our Condensed Consolidated Statements of Income.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unaudited pro forma summary of our financial results as if the business combination had occurred on April 24, 2015.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April 24, 2015.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 Continued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 except per share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net income (loss) per share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Summit Wireless Infrastructure, LLC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4"/>
                <w:szCs w:val="14"/>
                <w:color w:val="auto"/>
              </w:rPr>
            </w:pPr>
          </w:p>
        </w:tc>
        <w:tc>
          <w:tcPr>
            <w:tcW w:w="19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r>
      <w:tr>
        <w:trPr>
          <w:trHeight w:val="190"/>
        </w:trPr>
        <w:tc>
          <w:tcPr>
            <w:tcW w:w="260" w:type="dxa"/>
            <w:vAlign w:val="bottom"/>
          </w:tcPr>
          <w:p>
            <w:pPr>
              <w:spacing w:after="0"/>
              <w:rPr>
                <w:sz w:val="16"/>
                <w:szCs w:val="16"/>
                <w:color w:val="auto"/>
              </w:rPr>
            </w:pPr>
          </w:p>
        </w:tc>
        <w:tc>
          <w:tcPr>
            <w:tcW w:w="19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40" w:type="dxa"/>
            <w:vAlign w:val="bottom"/>
          </w:tcPr>
          <w:p>
            <w:pPr>
              <w:spacing w:after="0"/>
              <w:rPr>
                <w:sz w:val="16"/>
                <w:szCs w:val="16"/>
                <w:color w:val="auto"/>
              </w:rPr>
            </w:pPr>
          </w:p>
        </w:tc>
        <w:tc>
          <w:tcPr>
            <w:tcW w:w="19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September 30, 2015</w:t>
            </w:r>
          </w:p>
        </w:tc>
      </w:tr>
      <w:tr>
        <w:trPr>
          <w:trHeight w:val="64"/>
        </w:trPr>
        <w:tc>
          <w:tcPr>
            <w:tcW w:w="26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r>
      <w:tr>
        <w:trPr>
          <w:trHeight w:val="21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192,968</w:t>
            </w:r>
          </w:p>
        </w:tc>
        <w:tc>
          <w:tcPr>
            <w:tcW w:w="3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590,717</w:t>
            </w:r>
          </w:p>
        </w:tc>
        <w:tc>
          <w:tcPr>
            <w:tcW w:w="32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336,035</w:t>
            </w:r>
          </w:p>
        </w:tc>
      </w:tr>
      <w:tr>
        <w:trPr>
          <w:trHeight w:val="234"/>
        </w:trPr>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(3,349)</w:t>
            </w: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w:t>
            </w:r>
          </w:p>
        </w:tc>
      </w:tr>
      <w:tr>
        <w:trPr>
          <w:trHeight w:val="243"/>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-153670</wp:posOffset>
            </wp:positionV>
            <wp:extent cx="72466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-454025</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3400" w:space="720"/>
            <w:col w:w="7300"/>
          </w:cols>
          <w:pgMar w:left="240" w:top="12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On January 22, 2016, we acquired 100% of the outstanding equity of Summit Wireless Infrastructure LLC (“Summit”). Summit builds, owns and</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operates telecommunication infrastructure serving wireless carriers in Mexico. Consideration given to acquire Summit included performance-based shares of common equity valued at $1.1 million, which will vest in full on the third anniversary of the closing date, subject to Summit meeting certain performance targets, and the assumption of Summit’s existing debt. The financial results of Summit are included in the Leasing segment from the date of acquisition and were not material, individually or in the aggregate, to our results of operations and therefore, pro forma financial information has not been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1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for the asset or liability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a derivative liability, our outstanding notes and other debt, and accounts, interest and dividends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September 30, 2016 and December 31, 2015: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20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6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40" w:type="dxa"/>
            <w:vAlign w:val="bottom"/>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September 30, 2016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569,250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2,121,280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2,121,280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 April 24, 2020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0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4,217,838</w:t>
            </w: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4,119,238</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center"/>
              <w:ind w:left="3"/>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6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2015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1,986,198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3,305,575</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3,305,575</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62" w:lineRule="exact"/>
        <w:rPr>
          <w:sz w:val="20"/>
          <w:szCs w:val="20"/>
          <w:color w:val="auto"/>
        </w:rPr>
      </w:pPr>
    </w:p>
    <w:p>
      <w:pPr>
        <w:ind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principal balance of our Notes and other debt was $3.97 billion at September 30, 2016, with a fair value of $4.05 billion. The estimated fair value of our Notes and other debt was based on available external pricing data and current market rates for similar debt instruments, among other factors, which are classified as Level 2 inputs within the fair value hierarchy. Derivative liabilities are carried at fair value. </w:t>
      </w:r>
      <w:hyperlink w:anchor="page17">
        <w:r>
          <w:rPr>
            <w:rFonts w:ascii="Times New Roman" w:cs="Times New Roman" w:eastAsia="Times New Roman" w:hAnsi="Times New Roman"/>
            <w:sz w:val="18"/>
            <w:szCs w:val="18"/>
            <w:u w:val="single" w:color="auto"/>
            <w:color w:val="0000EE"/>
          </w:rPr>
          <w:t>See Note 6</w:t>
        </w:r>
      </w:hyperlink>
      <w:r>
        <w:rPr>
          <w:rFonts w:ascii="Times New Roman" w:cs="Times New Roman" w:eastAsia="Times New Roman" w:hAnsi="Times New Roman"/>
          <w:sz w:val="18"/>
          <w:szCs w:val="18"/>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CS&amp;L’s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September 30, 2016,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186"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$98.6 million as of August 31, 2016. The fair value of the contingent consideration as of August 31, 2016, was determined using a discounted cash flow model and probability adjusted estimates of the future earnings and is classified as Level 3. Changes in the fair value of contingent consideration will be recorded in our Condensed Consolidated Statement of Income in the period in which the change occurs. There was no change in the fair value of the contingent consideration as of September 30, 2016.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our liability measured at fair value on a recurring basis using unobservable inputs (Level 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Transfers into Level 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173"/>
        </w:trPr>
        <w:tc>
          <w:tcPr>
            <w:tcW w:w="3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0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21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34,295</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- 40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313,736</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 interests</w:t>
            </w:r>
          </w:p>
        </w:tc>
        <w:tc>
          <w:tcPr>
            <w:tcW w:w="7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50 years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- 40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228,031</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Fiber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- 40 years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2,217,760</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1,948,192</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780" w:type="dxa"/>
            <w:vAlign w:val="bottom"/>
          </w:tcPr>
          <w:p>
            <w:pPr>
              <w:spacing w:after="0"/>
              <w:rPr>
                <w:sz w:val="19"/>
                <w:szCs w:val="19"/>
                <w:color w:val="auto"/>
              </w:rPr>
            </w:pPr>
          </w:p>
        </w:tc>
        <w:tc>
          <w:tcPr>
            <w:tcW w:w="1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w w:val="97"/>
              </w:rPr>
              <w:t>5 - 7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Copper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- 40 years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3,518,283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3,475,987</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Conduit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- 47 years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89,460</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Tower assets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gridSpan w:val="3"/>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- 49 years</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assets</w:t>
            </w:r>
          </w:p>
        </w:tc>
        <w:tc>
          <w:tcPr>
            <w:tcW w:w="20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See Note 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6,678,177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6,093,541</w:t>
            </w:r>
          </w:p>
        </w:tc>
        <w:tc>
          <w:tcPr>
            <w:tcW w:w="120" w:type="dxa"/>
            <w:vAlign w:val="bottom"/>
          </w:tcPr>
          <w:p>
            <w:pPr>
              <w:spacing w:after="0"/>
              <w:rPr>
                <w:sz w:val="19"/>
                <w:szCs w:val="19"/>
                <w:color w:val="auto"/>
              </w:rPr>
            </w:pPr>
          </w:p>
        </w:tc>
      </w:tr>
      <w:tr>
        <w:trPr>
          <w:trHeight w:val="230"/>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(3,984,036)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(3,720,890)</w:t>
            </w: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2,694,141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2016 was $95.0 million and $271.7 million, respectively. Depreciation expense for the three months ended September 30, 2015 and for the period from April 24, 2015 to September 30, 2015 was $86.2 million and $150.0 million, respectively.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2016, construction in progress includes approximately $1.3 million of in process capital projects that were transferred to us at the time of the Spin-Off. As Windstream completes these projects, amounts are reclassified to depreciable assets. All construction in progress at December 31, 2015 related to projects transferred to us at the time of the Spin-Off.</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 and Hedging Activities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$2.12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the presentation in our Condensed Consolidated Balance Sheet: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Location on Condensed Consolidated</w:t>
            </w:r>
          </w:p>
        </w:tc>
        <w:tc>
          <w:tcPr>
            <w:tcW w:w="180" w:type="dxa"/>
            <w:vAlign w:val="bottom"/>
          </w:tcPr>
          <w:p>
            <w:pPr>
              <w:spacing w:after="0"/>
              <w:rPr>
                <w:sz w:val="13"/>
                <w:szCs w:val="13"/>
                <w:color w:val="auto"/>
              </w:rPr>
            </w:pPr>
          </w:p>
        </w:tc>
        <w:tc>
          <w:tcPr>
            <w:tcW w:w="15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Derivative liability</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of September 30, 2016 and December 31, 2015, all of the interest rate swaps were valued in net unrealized loss positions and recognized as liability balances within the derivative liability balance. For the three and nine months ended September 30, 2016, the amount recorded in other comprehensive income related to the unrealized loss on derivative instruments was $7.8 million and $81.2 million, respectively. The amount reclassified out of other comprehensive income into interest expense on our Condensed Consolidated Statement of Income for the three and nine months ended September 30, 2016 was $6.0 million and $17.8 million, respectively. For the three months ended September 30, 2015 and for the period from April 24, 2015 to September 30, 2015, the amount recorded in other comprehensive income related to the unrealized loss on derivative instruments was $36.5 million and $3.7 million, respectively. The amount reclassified out of other comprehensive income into interest expense on our Condensed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for the three months ended September 30, 2015 and for the period from April 24, 2015 to September 30, 2015 was</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$6.0 million and $10.3 million, respectively. For the three and nine months ended September 30, 2016, there was no ineffective portion of the change in fair value derivatives. For the period from April 24, 2015 to September 30, 2015, there was no ineffective portion of the change in fair value derivatives.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(loss) related to derivatives will be reclassified to interest expense as interest payments are made on our variable-rate debt. During the next twelve months, beginning October 1, 2016, we estimate that $23.9 million will be reclassified as an increase to interest expense.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nine months ended September 30, 2016,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at December 31, 2015</w:t>
            </w: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Goodwill associated with 2016 acquisitions</w:t>
            </w:r>
          </w:p>
        </w:tc>
        <w:tc>
          <w:tcPr>
            <w:tcW w:w="10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3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at September 30, 2016</w:t>
            </w:r>
          </w:p>
        </w:tc>
        <w:tc>
          <w:tcPr>
            <w:tcW w:w="10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3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carrying value of the intangible assets is as follows:</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24"/>
                <w:szCs w:val="24"/>
                <w:color w:val="auto"/>
              </w:rPr>
            </w:pPr>
          </w:p>
        </w:tc>
        <w:tc>
          <w:tcPr>
            <w:tcW w:w="3480" w:type="dxa"/>
            <w:vAlign w:val="bottom"/>
            <w:gridSpan w:val="8"/>
          </w:tcPr>
          <w:p>
            <w:pPr>
              <w:jc w:val="right"/>
              <w:ind w:right="203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380" w:type="dxa"/>
            <w:vAlign w:val="bottom"/>
          </w:tcPr>
          <w:p>
            <w:pPr>
              <w:spacing w:after="0"/>
              <w:rPr>
                <w:sz w:val="24"/>
                <w:szCs w:val="2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7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20" w:type="dxa"/>
            <w:vAlign w:val="bottom"/>
            <w:gridSpan w:val="3"/>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 life intangible assets:</w:t>
            </w: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0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188,642</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(27,701)</w:t>
            </w:r>
          </w:p>
        </w:tc>
        <w:tc>
          <w:tcPr>
            <w:tcW w:w="7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190,642</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(27,701)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(23,971)</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20" w:type="dxa"/>
            <w:vAlign w:val="bottom"/>
            <w:tcBorders>
              <w:top w:val="single" w:sz="8" w:color="auto"/>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162,941</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6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84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2016 was $1.7 million and $3.7 million, respectively. Amortization expense for the customer list intangible assets was $0.9 million and $1.6 million for the three months ended September 30, 2015 and for the period from April 24, 2015 to September 30, 2015, respectively.</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Amortization expense is estimated to be $6.1 million for the full year of 2016, $8.7 million in 2017, $8.1 million in 2018, $7.5 million in 2019, $7.0 million in 2020 and $6.5 million in 2021.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and Other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3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3,973,250</w:t>
            </w: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(126,539)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and other debt less unamortized discount and debt issuance costs</w:t>
            </w:r>
          </w:p>
        </w:tc>
        <w:tc>
          <w:tcPr>
            <w:tcW w:w="13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3,846,711</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53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at September 30, 2016 and December 31, 2015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 Discount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Debt Issuance</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05"/>
        </w:trPr>
        <w:tc>
          <w:tcPr>
            <w:tcW w:w="48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secured notes - 6.00%, due April 15, 2023</w:t>
            </w: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6.29%)</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(10,127)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(6,767)</w:t>
            </w:r>
          </w:p>
        </w:tc>
        <w:tc>
          <w:tcPr>
            <w:tcW w:w="0" w:type="dxa"/>
            <w:vAlign w:val="bottom"/>
          </w:tcPr>
          <w:p>
            <w:pPr>
              <w:spacing w:after="0"/>
              <w:rPr>
                <w:sz w:val="1"/>
                <w:szCs w:val="1"/>
                <w:color w:val="auto"/>
              </w:rPr>
            </w:pPr>
          </w:p>
        </w:tc>
      </w:tr>
      <w:tr>
        <w:trPr>
          <w:trHeight w:val="211"/>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notes - 8.25%, due October 15,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9.06%)</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(50,200)</w:t>
            </w:r>
          </w:p>
        </w:tc>
        <w:tc>
          <w:tcPr>
            <w:tcW w:w="0" w:type="dxa"/>
            <w:vAlign w:val="bottom"/>
          </w:tcPr>
          <w:p>
            <w:pPr>
              <w:spacing w:after="0"/>
              <w:rPr>
                <w:sz w:val="1"/>
                <w:szCs w:val="1"/>
                <w:color w:val="auto"/>
              </w:rPr>
            </w:pPr>
          </w:p>
        </w:tc>
      </w:tr>
      <w:tr>
        <w:trPr>
          <w:trHeight w:val="211"/>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B - variable rate, due October 24, 2022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is based on imputed interest rate of 5.66%)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(69,666)</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(77,105)</w:t>
            </w:r>
          </w:p>
        </w:tc>
        <w:tc>
          <w:tcPr>
            <w:tcW w:w="0" w:type="dxa"/>
            <w:vAlign w:val="bottom"/>
          </w:tcPr>
          <w:p>
            <w:pPr>
              <w:spacing w:after="0"/>
              <w:rPr>
                <w:sz w:val="1"/>
                <w:szCs w:val="1"/>
                <w:color w:val="auto"/>
              </w:rPr>
            </w:pPr>
          </w:p>
        </w:tc>
      </w:tr>
      <w:tr>
        <w:trPr>
          <w:trHeight w:val="211"/>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revolving credit facility - variable rate, due April</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24, 2020</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3,973,250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(126,539)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3,639,300</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(134,072)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22, 2016, the Company borrowed $321 million under our $500 million senior secured revolving credit facility maturing April 24, 2020 (the “Revolving Credit Facility”) to fund the cash portion of consideration paid to acquire PEG Bandwidth and related transaction costs. </w:t>
      </w:r>
      <w:hyperlink w:anchor="page12">
        <w:r>
          <w:rPr>
            <w:rFonts w:ascii="Times New Roman" w:cs="Times New Roman" w:eastAsia="Times New Roman" w:hAnsi="Times New Roman"/>
            <w:sz w:val="18"/>
            <w:szCs w:val="18"/>
            <w:u w:val="single" w:color="auto"/>
            <w:color w:val="0000EE"/>
          </w:rPr>
          <w:t>See Note 3</w:t>
        </w:r>
      </w:hyperlink>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9, 2016, we, along with our wholly-owned subsidiary CSL Capital, LLC (“CSL Capital”), co-issued $150 million aggregate principal amount of 6.00% Senior Secured Notes (the “add-on Notes”) as an add-on to the Company’s existing Senior Secured Notes due April 15, 2023 (the “Senior Secured Notes”). The add-on Notes were issued at an issue price of 99.25% of par value, are subject to the same customary covenant requirements as the existing Senior Secured Notes, and are guaranteed by each of CS&amp;L’s wholly-owned domestic subsidiaries that guarantee indebtedness under CS&amp;L’s senior credit facilities. The issuance of the add-on Notes was not registered under the Securities Act of 1933, as amended (the “Securities Act”), but was exempt from registration under Rule 144A, Regulation S and other applicable exemptions of the Securities Act. Proceeds from the issuance of the add-on Notes were used to repay existing borrowings under the Revolving Credit Facility.</w:t>
      </w:r>
    </w:p>
    <w:p>
      <w:pPr>
        <w:spacing w:after="0" w:line="189" w:lineRule="exact"/>
        <w:rPr>
          <w:sz w:val="20"/>
          <w:szCs w:val="20"/>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26, 2016, the Company borrowed $150 million under the Revolving Credit Facility to fund the cash portion of consideration paid to acquire Tower Cloud and related transaction costs. </w:t>
      </w:r>
      <w:hyperlink w:anchor="page12">
        <w:r>
          <w:rPr>
            <w:rFonts w:ascii="Times New Roman" w:cs="Times New Roman" w:eastAsia="Times New Roman" w:hAnsi="Times New Roman"/>
            <w:sz w:val="18"/>
            <w:szCs w:val="18"/>
            <w:u w:val="single" w:color="auto"/>
            <w:color w:val="0000EE"/>
          </w:rPr>
          <w:t>See Note 3</w:t>
        </w:r>
      </w:hyperlink>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7"/>
          <w:szCs w:val="17"/>
          <w:color w:val="auto"/>
        </w:rPr>
        <w:t>On April 24, 2015 we, along with CSL Capital, co-issued $400 million aggregate principal amount of Senior Secured Notes and $1.11 billion aggregate principal amount of 8.25% Senior Unsecured Notes due October 15, 2023 (the “Senior Unsecured Notes” and together with the Senior Secured Notes, the “Notes”). The Senior Secured Notes were issued at an issue price of 100% of par value, while the Senior Unsecured Notes were issued at an issue price of</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97.055% of par value. The Notes are guaranteed by each of CS&amp;L’s wholly-owned domestic subsidiaries that guarantee indebtedness under CS&amp;L’s senior credit facilities. The Notes were issued to Windstream Services, LLC, a wholly-owned subsidiary of Windstream Holdings (“Windstream Services”), as partial consideration for the contribution of the Distribution Systems and the Consumer CLEC Business in connection with the Spin-Off. As such, CS&amp;L did not receive any proceeds from the issuance of the Notes. The issuance of the Notes and their exchange by Windstream Services for certain of its outstanding indebtedness were not registered under the Securities Act, but were exempt from registration under Rule 144A, Regulation S and other applicable exemptions of the Securities Act. Pursuant to a registration rights agreement entered into by the Company in connection with the sale of the Senior Unsecured Notes, the Company subsequently filed with the SEC a registration statement relating to an exchange offer pursuant to which 8.25% Senior Notes due 2023 (the “Exchange Notes”) that were registered with the SEC, were offered in exchange for Senior Unsecured Notes tendered by the holders of those notes. The terms of the Exchange Notes are substantially identical to the terms of the Senior Unsecured Notes in all material respects, except that the Exchange Notes are registered under the Securities Act, and the transfer restrictions, registration rights and additional interest provision applicable to the Senior Unsecured Notes do not apply to the Exchange Notes. The exchange offer was launched on August 5, 2015, and completed on September 2, 2015, with all outstanding Senior Unsecured Notes being tendered and exchanged for Exchange Notes.</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assets; and create restrictions on the ability of CS&amp;L, CSL Capital and our restricted subsidiaries to pay dividends. The covenants are subject to a number of important and significant limitations, qualifications and exceptions. As of September 30, 2016, we were in compliance with all of the covenants under the Notes.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on April 24, 2015, the Company and CSL Capital entered into a credit agreement (the “Credit Agreement”), which provides for a $2.14 billion Senior Secured Term Loan B facility due October 24, 2022 (the “Term Loan Facility”) and the Revolving Credit Facility (together with the Term Loan Facility, the “Facilities”). The term loans under the Facilities were issued at an issue price of 98.00% of par value, bear interest at a rate equal to a Eurodollar rate, subject to a 1.0% floor, plus an applicable margin equal to 4.00%, and are subject to amortization of 1.0% per annum. The loans have been incurred by the Company and CSL Capital, are guaranteed by certain of CS&amp;L’s wholly-owned subsidiaries (the “Guarantors”), and are secured by substantially all of the assets of CS&amp;L, CSL Capital and the Guarantors, subject to certain exceptions, which assets also secure the Senior Secured Notes. The Revolving Credit Facility bears interest at a rate equal to LIBOR plus 1.75% to 2.25% based on our consolidated secured leverage ratio, as defined in the Credit Agreement.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 As of September 30, 2016, we were in compliance with all of the covenants under the Credit Agreement.</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transferred $1.04 billion of cash proceeds under the Facilities to Windstream Services, the Company’s parent immediately preceding the Spin-Off, as partial consideration for the contribution of the Distribution Systems and the Consumer CLEC Business in connection with the Spin-Off.</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 of Income. For the three months and nine months ended September 30, 2016, we recognized $2.0 million and $5.6 million of non-cash interest expense related to the amortization of deferred financing costs, respectively. For the period from April 24, 2015 to September 30, 2015, we recognized $3.0 million of non-cash interest expense related to the amortization of deferred financing costs.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21" w:lineRule="exact"/>
        <w:rPr>
          <w:sz w:val="20"/>
          <w:szCs w:val="20"/>
          <w:color w:val="auto"/>
        </w:rPr>
      </w:pPr>
    </w:p>
    <w:p>
      <w:pPr>
        <w:ind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31, 2016, we issued 1.9 million shares of our common stock, par value $0.0001 per share, as partial consideration for all outstanding equity interests of Tower Cloud. </w:t>
      </w:r>
      <w:hyperlink w:anchor="page12">
        <w:r>
          <w:rPr>
            <w:rFonts w:ascii="Times New Roman" w:cs="Times New Roman" w:eastAsia="Times New Roman" w:hAnsi="Times New Roman"/>
            <w:sz w:val="18"/>
            <w:szCs w:val="18"/>
            <w:u w:val="single" w:color="auto"/>
            <w:color w:val="0000EE"/>
          </w:rPr>
          <w:t>See Note 3</w:t>
        </w:r>
      </w:hyperlink>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2016, in connection with Windstream’s disposition of its retained ownership interest in CS&amp;L pursuant to the public offering (</w:t>
      </w:r>
      <w:hyperlink w:anchor="page21">
        <w:r>
          <w:rPr>
            <w:rFonts w:ascii="Times New Roman" w:cs="Times New Roman" w:eastAsia="Times New Roman" w:hAnsi="Times New Roman"/>
            <w:sz w:val="18"/>
            <w:szCs w:val="18"/>
            <w:u w:val="single" w:color="auto"/>
            <w:color w:val="0000EE"/>
          </w:rPr>
          <w:t>See Note 10</w:t>
        </w:r>
      </w:hyperlink>
      <w:r>
        <w:rPr>
          <w:rFonts w:ascii="Times New Roman" w:cs="Times New Roman" w:eastAsia="Times New Roman" w:hAnsi="Times New Roman"/>
          <w:sz w:val="18"/>
          <w:szCs w:val="18"/>
          <w:color w:val="auto"/>
        </w:rPr>
        <w:t>), we issued 2.2 million additional shares of our common stock. The shares were sold at a public offering price of $26.01, resulting in proceeds to the Company of $54.8 million, net of underwriting discounts and commissions, which were used to repay existing borrowings under our Revolving Credit Facility.</w:t>
      </w:r>
    </w:p>
    <w:p>
      <w:pPr>
        <w:spacing w:after="0" w:line="176" w:lineRule="exact"/>
        <w:rPr>
          <w:sz w:val="20"/>
          <w:szCs w:val="20"/>
          <w:color w:val="auto"/>
        </w:rPr>
      </w:pPr>
    </w:p>
    <w:p>
      <w:pPr>
        <w:ind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 2016, we issued 1 million shares of our common stock, par value $0.0001 per share, as partial consideration for all outstanding equity interests of PEG Bandwidth. </w:t>
      </w:r>
      <w:hyperlink w:anchor="page12">
        <w:r>
          <w:rPr>
            <w:rFonts w:ascii="Times New Roman" w:cs="Times New Roman" w:eastAsia="Times New Roman" w:hAnsi="Times New Roman"/>
            <w:sz w:val="18"/>
            <w:szCs w:val="18"/>
            <w:u w:val="single" w:color="auto"/>
            <w:color w:val="0000EE"/>
          </w:rPr>
          <w:t>See Note 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addition, we issued 87,500 shares of the Company’s 3% Series A Convertible Preferred Stock, $0.0001 par value (“Series A Shares”), with a liquidation value of $87.5 million. The Series A Shares are non-voting and entitle the holders to receive cumulative dividends at the rate per annum of 3.0%, payable in cash. Holders of the Series A Shares have the option to convert at any time after three years, or are mandatorily convertible after eight years at a conversion rate of 28.5714 shares of common stock per Series A Share, subject to adjustment for certain dilutive events not to exceed a conversion rate of 50.5305 shares of common stock per Series A Share. The Series A Shares provide us the option to cash or share settle, and it is our policy to settle in cash upon conversion. Upon liquidation, each holder of the Series A Shares shall be entitled to receive the liquidation preference per share of $1,000 plus an amount equal to the accumulated and unpaid dividends on such shares. The Series A Shares were recorded at inception on the Condensed Consolidated Balance Sheet as mezzanine equity at fair value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determined using a Black Scholes model, as of the date of issuance. Amortization of the difference between the liquidation value and the fair value at issuance is recorded as preferred dividends and a component of shareholders’ deficit.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Spin-Off, we issued approximately 149.8 million shares of our common stock to Windstream Services as partial consideration for the contribution of the Distribution Systems and the Consumer CLEC Business. Windstream Holdings distributed approximately 80.4% of the CS&amp;L shares it received to existing stockholders of Windstream Holdings and retained a passive ownership interest of approximately 19.6% of the common stock of CS&amp;L. As a result of this ownership Windstream was deemed to be a related party.</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Accordingly, Windstream is no longer deemed a related party under applicable accounting regulations. Our condensed consolidated financial statements reflect the following transactions with Windstream during the periods in which Windstream was deemed a related party.</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The Company records leasing revenue pursuant to the Master Lease. For the six months ended June 30, 2016, we recognized leasing revenues of $337.6 million related to the Master Lease. For the period from April 24, 2015 to September 30, 2015, we recognized $291.1 million of revenue related to the Master Lease.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xml:space="preserve"> – We were party to a Transition Services Agreement (“TSA”) pursuant to which Windstream and its affiliates provided, on an interim basis, various services, including but not limited to information technology services, payment processing and collection services, financial and tax services, regulatory compliance and other support services. On April 1, 2016, the TSA ceased and we incurred $19,000 of related TSA expense for the three months ended March 31, 2016. For the period from April 24, 2015 to September 30, 2015, we incurred $88,000 of such expenses.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Operating Expenses</w:t>
      </w:r>
      <w:r>
        <w:rPr>
          <w:rFonts w:ascii="Times New Roman" w:cs="Times New Roman" w:eastAsia="Times New Roman" w:hAnsi="Times New Roman"/>
          <w:sz w:val="18"/>
          <w:szCs w:val="18"/>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CS&amp;L. During the six months ended June 30, 2016, we incurred expenses of $6.6 million and $0.9 million related to the Wholesale Agreement and Master Services Agreement, respectively. For the period from April 24, 2015 to September 30, 2015 we incurred expenses of $6.5 million and $0.7 million related to the Wholesale Agreement and Master Services Agreement, respectively.</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xml:space="preserve"> – As of December 31, 2015, there were $1.7 million accounts receivable from Windstream related to the collection of Consumer CLEC Business revenues, net of amounts owed to Windstream under the Wholesale Agreement and Master Services Agreement recorded in accounts receivable on our Condensed Consolidated Balance Sheet.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Payable</w:t>
      </w:r>
      <w:r>
        <w:rPr>
          <w:rFonts w:ascii="Times New Roman" w:cs="Times New Roman" w:eastAsia="Times New Roman" w:hAnsi="Times New Roman"/>
          <w:sz w:val="18"/>
          <w:szCs w:val="18"/>
          <w:color w:val="auto"/>
        </w:rPr>
        <w:t xml:space="preserve"> – At December 31, 2015, there was a $17.6 million dividend payable to Windstream related to the dividend declared on November 6, 2015, based on Windstream ownership of CS&amp;L shares as of the December 31, 2015 record date. This amount was paid to Windstream on January 15, 2016 along with the dividends payable to all common shareholders.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CS&amp;L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7"/>
          <w:szCs w:val="17"/>
          <w:u w:val="single" w:color="auto"/>
          <w:color w:val="auto"/>
        </w:rPr>
        <w:t>Tower Purchase</w:t>
      </w:r>
      <w:r>
        <w:rPr>
          <w:rFonts w:ascii="Times New Roman" w:cs="Times New Roman" w:eastAsia="Times New Roman" w:hAnsi="Times New Roman"/>
          <w:sz w:val="17"/>
          <w:szCs w:val="17"/>
          <w:color w:val="auto"/>
        </w:rPr>
        <w:t xml:space="preserve"> – In May, 2016, we completed the previously announced transaction with Windstream to acquire 32 wireless towers owned by Windstream and operating rights for 49 wireless towers previously conveyed to the Company in the Spin-Off for a purchase price of approximately $3 million.</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Lease Amendment</w:t>
      </w:r>
      <w:r>
        <w:rPr>
          <w:rFonts w:ascii="Times New Roman" w:cs="Times New Roman" w:eastAsia="Times New Roman" w:hAnsi="Times New Roman"/>
          <w:sz w:val="18"/>
          <w:szCs w:val="18"/>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CS&amp;L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CS&amp;L related to the sale, exchange or other disposition of the fiber assets delivered to a third party or the granting of rights to the leased property that arise from fiber exchange agreements. As of June 30, 2016, no such transactions had been consummated. The Master Lease Amendment also permits us to install, own and operate certain wireless communication towers, antennas and related equipment on designated portions of the leased property.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62" w:lineRule="exact"/>
        <w:rPr>
          <w:sz w:val="20"/>
          <w:szCs w:val="20"/>
          <w:color w:val="auto"/>
        </w:rPr>
      </w:pPr>
    </w:p>
    <w:p>
      <w:pPr>
        <w:jc w:val="both"/>
        <w:ind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per share impact of the Series A Shares (</w:t>
      </w:r>
      <w:hyperlink w:anchor="page20">
        <w:r>
          <w:rPr>
            <w:rFonts w:ascii="Times New Roman" w:cs="Times New Roman" w:eastAsia="Times New Roman" w:hAnsi="Times New Roman"/>
            <w:sz w:val="18"/>
            <w:szCs w:val="18"/>
            <w:u w:val="single" w:color="auto"/>
            <w:color w:val="0000EE"/>
          </w:rPr>
          <w:t>See Note 9</w:t>
        </w:r>
      </w:hyperlink>
      <w:r>
        <w:rPr>
          <w:rFonts w:ascii="Times New Roman" w:cs="Times New Roman" w:eastAsia="Times New Roman" w:hAnsi="Times New Roman"/>
          <w:sz w:val="18"/>
          <w:szCs w:val="18"/>
          <w:color w:val="auto"/>
        </w:rPr>
        <w:t>) is calculated using the net share settlement method, whereby the redemption value of the instrument is assumed to be settled in cash and only the conversion premium, if any, is assumed to be settled in shares. The Series A Shares provide CS&amp;L the option to cash or share settle the instrument, and it is our policy to settle the instrument in cash upon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discount on convertible preferred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3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 applicable to common shares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Amortization of discount on convertible preferred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3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 applicable to common shares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151,578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Weighted-average shares for dilutive earnings per</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436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share</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5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156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162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2016, 149,087 non-participating securities were excluded from the computation of diluted earnings per share, as their effect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our acquisition of PEG Bandwidth on May 2, 2016 (</w:t>
      </w:r>
      <w:hyperlink w:anchor="page12">
        <w:r>
          <w:rPr>
            <w:rFonts w:ascii="Times New Roman" w:cs="Times New Roman" w:eastAsia="Times New Roman" w:hAnsi="Times New Roman"/>
            <w:sz w:val="18"/>
            <w:szCs w:val="18"/>
            <w:u w:val="single" w:color="auto"/>
            <w:color w:val="0000EE"/>
          </w:rPr>
          <w:t>Note 3</w:t>
        </w:r>
      </w:hyperlink>
      <w:r>
        <w:rPr>
          <w:rFonts w:ascii="Times New Roman" w:cs="Times New Roman" w:eastAsia="Times New Roman" w:hAnsi="Times New Roman"/>
          <w:sz w:val="18"/>
          <w:szCs w:val="18"/>
          <w:color w:val="auto"/>
        </w:rPr>
        <w:t>), our management, including our chief executive officer, who is our chief operating decision maker, manages our operations as three operating business segments: Leasing, Fiber Infrastructure and Consumer CLEC. Our Leasing segment represents our REIT operations, including the results of our tower and ground lease operations and corporate expenses not directly attributable to our other operating segments. The Fiber Infrastructure segment represents the operations of the Uniti Fiber business, as well as corporate expenses directly attributable to the operations of that business, and the Consumer CLEC segment represents the operations of our Consumer CLEC Business and corporate expenses directly attributable to the operation of that business. We determined that each of these operating segments represents a reportable segment.</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related expenses, the write off of unamortized deferred financing costs, costs incurred as a result of the early repayment of debt, changes in the fair value of contingent consideration and financial instruments, and other similar items.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months ended September 30, 2016, and September 30,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1"/>
                <w:szCs w:val="11"/>
                <w:color w:val="auto"/>
              </w:rPr>
            </w:pPr>
          </w:p>
        </w:tc>
        <w:tc>
          <w:tcPr>
            <w:tcW w:w="16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00" w:type="dxa"/>
            <w:vAlign w:val="bottom"/>
          </w:tcPr>
          <w:p>
            <w:pPr>
              <w:spacing w:after="0"/>
              <w:rPr>
                <w:sz w:val="11"/>
                <w:szCs w:val="11"/>
                <w:color w:val="auto"/>
              </w:rPr>
            </w:pPr>
          </w:p>
        </w:tc>
        <w:tc>
          <w:tcPr>
            <w:tcW w:w="1640" w:type="dxa"/>
            <w:vAlign w:val="bottom"/>
            <w:gridSpan w:val="3"/>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300" w:type="dxa"/>
            <w:vAlign w:val="bottom"/>
          </w:tcPr>
          <w:p>
            <w:pPr>
              <w:spacing w:after="0"/>
              <w:rPr>
                <w:sz w:val="11"/>
                <w:szCs w:val="11"/>
                <w:color w:val="auto"/>
              </w:rPr>
            </w:pPr>
          </w:p>
        </w:tc>
        <w:tc>
          <w:tcPr>
            <w:tcW w:w="1760" w:type="dxa"/>
            <w:vAlign w:val="bottom"/>
            <w:gridSpan w:val="4"/>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169,525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4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15"/>
                <w:szCs w:val="15"/>
                <w:color w:val="auto"/>
              </w:rPr>
              <w:t>(1)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September 30, 2015</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Leasing</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gridSpan w:val="4"/>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166,959</w:t>
            </w:r>
          </w:p>
        </w:tc>
        <w:tc>
          <w:tcPr>
            <w:tcW w:w="3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163,509</w:t>
            </w:r>
          </w:p>
        </w:tc>
        <w:tc>
          <w:tcPr>
            <w:tcW w:w="104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15"/>
                <w:szCs w:val="15"/>
                <w:color w:val="auto"/>
              </w:rPr>
              <w:t>(1)</w:t>
            </w:r>
          </w:p>
        </w:tc>
        <w:tc>
          <w:tcPr>
            <w:tcW w:w="360" w:type="dxa"/>
            <w:vAlign w:val="bottom"/>
          </w:tcPr>
          <w:p>
            <w:pPr>
              <w:spacing w:after="0"/>
              <w:rPr>
                <w:sz w:val="20"/>
                <w:szCs w:val="20"/>
                <w:color w:val="auto"/>
              </w:rPr>
            </w:pPr>
          </w:p>
        </w:tc>
        <w:tc>
          <w:tcPr>
            <w:tcW w:w="1360" w:type="dxa"/>
            <w:vAlign w:val="bottom"/>
            <w:gridSpan w:val="3"/>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4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Segment capital expenditures represents capital expenditures as reported in the investing activities section of the Statement of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nine months ended September 30, 2016 and for the period from April 24, 2015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1"/>
                <w:szCs w:val="11"/>
                <w:color w:val="auto"/>
              </w:rPr>
            </w:pPr>
          </w:p>
        </w:tc>
        <w:tc>
          <w:tcPr>
            <w:tcW w:w="14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Pr>
          <w:p>
            <w:pPr>
              <w:spacing w:after="0"/>
              <w:rPr>
                <w:sz w:val="11"/>
                <w:szCs w:val="11"/>
                <w:color w:val="auto"/>
              </w:rPr>
            </w:pPr>
          </w:p>
        </w:tc>
        <w:tc>
          <w:tcPr>
            <w:tcW w:w="17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400" w:type="dxa"/>
            <w:vAlign w:val="bottom"/>
          </w:tcPr>
          <w:p>
            <w:pPr>
              <w:spacing w:after="0"/>
              <w:rPr>
                <w:sz w:val="11"/>
                <w:szCs w:val="11"/>
                <w:color w:val="auto"/>
              </w:rPr>
            </w:pPr>
          </w:p>
        </w:tc>
        <w:tc>
          <w:tcPr>
            <w:tcW w:w="16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507,216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17,277</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494,377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15"/>
                <w:szCs w:val="15"/>
                <w:color w:val="auto"/>
              </w:rPr>
              <w:t>(1)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Period from April 24, 2015 to September 30, 2015</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Leasing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4"/>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291,131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284,858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150,108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15"/>
                <w:szCs w:val="15"/>
                <w:color w:val="auto"/>
              </w:rPr>
              <w:t>(1)</w:t>
            </w:r>
          </w:p>
        </w:tc>
        <w:tc>
          <w:tcPr>
            <w:tcW w:w="360" w:type="dxa"/>
            <w:vAlign w:val="bottom"/>
          </w:tcPr>
          <w:p>
            <w:pPr>
              <w:spacing w:after="0"/>
              <w:rPr>
                <w:sz w:val="20"/>
                <w:szCs w:val="20"/>
                <w:color w:val="auto"/>
              </w:rPr>
            </w:pPr>
          </w:p>
        </w:tc>
        <w:tc>
          <w:tcPr>
            <w:tcW w:w="13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c>
          <w:tcPr>
            <w:tcW w:w="94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Segment capital expenditures represents capital expenditures as reported in the investing activities section of the Statement of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business segment as of September 30, 2016 and December 31, 2015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3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44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20" w:type="dxa"/>
            <w:vAlign w:val="bottom"/>
            <w:tcBorders>
              <w:bottom w:val="single" w:sz="8" w:color="CFF0FC"/>
            </w:tcBorders>
          </w:tcPr>
          <w:p>
            <w:pPr>
              <w:spacing w:after="0"/>
              <w:rPr>
                <w:sz w:val="15"/>
                <w:szCs w:val="15"/>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Leasing</w:t>
            </w:r>
          </w:p>
        </w:tc>
        <w:tc>
          <w:tcPr>
            <w:tcW w:w="66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2,288,927</w:t>
            </w:r>
          </w:p>
        </w:tc>
        <w:tc>
          <w:tcPr>
            <w:tcW w:w="4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2,527,915</w:t>
            </w:r>
          </w:p>
        </w:tc>
        <w:tc>
          <w:tcPr>
            <w:tcW w:w="120" w:type="dxa"/>
            <w:vAlign w:val="bottom"/>
            <w:shd w:val="clear" w:color="auto" w:fill="CFF0FC"/>
          </w:tcPr>
          <w:p>
            <w:pPr>
              <w:spacing w:after="0"/>
              <w:rPr>
                <w:sz w:val="20"/>
                <w:szCs w:val="20"/>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Fiber Infrastructure</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914,252</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CLEC</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4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Subtotal of reportable segments</w:t>
            </w:r>
          </w:p>
        </w:tc>
        <w:tc>
          <w:tcPr>
            <w:tcW w:w="3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3,217,534</w:t>
            </w:r>
          </w:p>
        </w:tc>
        <w:tc>
          <w:tcPr>
            <w:tcW w:w="44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by component is as follows for the nine months ended September 30,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Changes in Fair Value of</w:t>
            </w: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Effective Cash Flow</w:t>
            </w:r>
          </w:p>
        </w:tc>
        <w:tc>
          <w:tcPr>
            <w:tcW w:w="360" w:type="dxa"/>
            <w:vAlign w:val="bottom"/>
          </w:tcPr>
          <w:p>
            <w:pPr>
              <w:spacing w:after="0"/>
              <w:rPr>
                <w:sz w:val="12"/>
                <w:szCs w:val="12"/>
                <w:color w:val="auto"/>
              </w:rPr>
            </w:pPr>
          </w:p>
        </w:tc>
        <w:tc>
          <w:tcPr>
            <w:tcW w:w="138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3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at December 31, 2015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(81,163)</w:t>
            </w:r>
          </w:p>
        </w:tc>
        <w:tc>
          <w:tcPr>
            <w:tcW w:w="3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(81,343)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at September 30, 2016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Supplemental Guarantor Information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Senior Secured Notes, Senior Unsecured Notes and Term Loan Facility due 2022, the Guarantors provided guarantees of that indebtedness. These guarantees are full and unconditional as well as joint and several. All property assets and related operations of the Guarantors are pledged as collateral under these obligations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of its property, and upon any Guarantor being designated an Unrestricted Subsidiary, as defined in the Credit Agreement, or otherwise no longer being required to remain a Guarantor given its size or regulatory restrictions.</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determined that certain immaterial misclassifications existed in the condensed consolidating statement of cash flows for the period from April 24, 2015 to September 30, 2015, which impacted only CS&amp;L, CSL Capital and the Guarantors with applicable offsetting adjustments in Eliminations. In the condensed consolidating statement of cash flows for the period from April 24, 2015 to September 30, 2015, net cash provided by operating activities for the Guarantors should have been increased by $68.8 million to $278.3 million, with an offsetting decrease of $68.8 million to net cash provided by financing activities for the Guarantors. The condensed consolidating statement of cash flows for the period from April 24, 2015 to September 30, 2015 presented below includes the impact of these revisions.</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we determined that certain immaterial misclassifications existed in the condensed consolidating statements of comprehensive income for the quarter ended September 30, 2015 and the period from April 24, 2015 to September 30, 2015, which impacted only CS&amp;L with applicable offsetting adjustments in the Eliminations column. For the quarter ended September 30, 2015, earnings from consolidated subsidiaries, net income, and comprehensive income of CS&amp;L should have been increased from $10.2 million, ($57.1) million, and ($99.7) million to $76.7 million, $9.4 million, and ($33.1) million, respectively. For the period from April 24, 2015 to September 30, 2015, earnings from consolidated subsidiaries, net income, and comprehensive income of CS&amp;L should have been increased from $18.8 million, ($97.6) million, and ($111.6) million to $134.1 million, $17.7 million, and $3.7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million respectively. The condensed consolidating statement of comprehensive income for the quarter ended September 30, 2015 and the period from April 24, 2015 to September 30, 2015 presented below includes the impact of these revisions.</w:t>
      </w:r>
    </w:p>
    <w:p>
      <w:pPr>
        <w:spacing w:after="0" w:line="5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following information summarizes our Condensed Consolidating Balance Sheets as of September 30, 2016 and December 31, 2015, Condensed Consolidating Statement of Comprehensive Income (Loss) for the three and nine months ended September 30, 2016, and the Condensed Consolidating Statement of Cash Flows for the nine months ended September 30,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1"/>
                <w:szCs w:val="11"/>
                <w:color w:val="auto"/>
              </w:rPr>
            </w:pPr>
          </w:p>
        </w:tc>
        <w:tc>
          <w:tcPr>
            <w:tcW w:w="8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260" w:type="dxa"/>
            <w:vAlign w:val="bottom"/>
          </w:tcPr>
          <w:p>
            <w:pPr>
              <w:spacing w:after="0"/>
              <w:rPr>
                <w:sz w:val="11"/>
                <w:szCs w:val="11"/>
                <w:color w:val="auto"/>
              </w:rPr>
            </w:pPr>
          </w:p>
        </w:tc>
        <w:tc>
          <w:tcPr>
            <w:tcW w:w="9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1"/>
                <w:szCs w:val="11"/>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3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676,599</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Affiliate receivable</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2,876,376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2,876,376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1,016,622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(7,105,653)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2,879,115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2,876,376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2,608,852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1,961,075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(7,107,884</w:t>
            </w:r>
          </w:p>
        </w:tc>
        <w:tc>
          <w:tcPr>
            <w:tcW w:w="16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3,217,534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(68,578)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Affiliate payable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3,846,711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3,846,711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(3,846,711)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4,166,067</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3,972,817</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209,697</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130,953</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(3,975,048</w:t>
            </w:r>
          </w:p>
        </w:tc>
        <w:tc>
          <w:tcPr>
            <w:tcW w:w="160" w:type="dxa"/>
            <w:vAlign w:val="bottom"/>
            <w:tcBorders>
              <w:bottom w:val="single" w:sz="8" w:color="CFF0FC"/>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3" w:lineRule="exact"/>
        <w:rPr>
          <w:sz w:val="20"/>
          <w:szCs w:val="20"/>
          <w:color w:val="auto"/>
        </w:rPr>
      </w:pPr>
    </w:p>
    <w:p>
      <w:pPr>
        <w:ind w:left="260" w:right="520"/>
        <w:spacing w:after="0" w:line="271" w:lineRule="auto"/>
        <w:rPr>
          <w:sz w:val="20"/>
          <w:szCs w:val="20"/>
          <w:color w:val="auto"/>
        </w:rPr>
      </w:pPr>
      <w:r>
        <w:rPr>
          <w:rFonts w:ascii="Times New Roman" w:cs="Times New Roman" w:eastAsia="Times New Roman" w:hAnsi="Times New Roman"/>
          <w:sz w:val="18"/>
          <w:szCs w:val="18"/>
          <w:color w:val="auto"/>
        </w:rPr>
        <w:t>Accumulated other comprehensive income Distributions in excess of earnings</w:t>
      </w:r>
    </w:p>
    <w:p>
      <w:pPr>
        <w:ind w:left="520"/>
        <w:spacing w:after="0"/>
        <w:rPr>
          <w:sz w:val="20"/>
          <w:szCs w:val="20"/>
          <w:color w:val="auto"/>
        </w:rPr>
      </w:pPr>
      <w:r>
        <w:rPr>
          <w:rFonts w:ascii="Times New Roman" w:cs="Times New Roman" w:eastAsia="Times New Roman" w:hAnsi="Times New Roman"/>
          <w:sz w:val="18"/>
          <w:szCs w:val="18"/>
          <w:color w:val="auto"/>
        </w:rPr>
        <w:t>Total shareholders' deficit</w:t>
      </w:r>
    </w:p>
    <w:p>
      <w:pPr>
        <w:spacing w:after="0" w:line="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Total Liabilities, Convertible Preferred Stock, and Shareholders' Deficit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r>
      <w:tr>
        <w:trPr>
          <w:trHeight w:val="23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60" w:type="dxa"/>
            <w:vAlign w:val="bottom"/>
          </w:tcPr>
          <w:p>
            <w:pPr>
              <w:spacing w:after="0"/>
              <w:rPr>
                <w:sz w:val="19"/>
                <w:szCs w:val="19"/>
                <w:color w:val="auto"/>
              </w:rPr>
            </w:pPr>
          </w:p>
        </w:tc>
      </w:tr>
      <w:tr>
        <w:trPr>
          <w:trHeight w:val="230"/>
        </w:trPr>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(68,938)</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(68,578)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68,758</w:t>
            </w:r>
          </w:p>
        </w:tc>
        <w:tc>
          <w:tcPr>
            <w:tcW w:w="2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(68,938)</w:t>
            </w:r>
          </w:p>
        </w:tc>
      </w:tr>
      <w:tr>
        <w:trPr>
          <w:trHeight w:val="234"/>
        </w:trPr>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(1,438,302)</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(1,027,863)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2,399,155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1,830,302</w:t>
            </w:r>
          </w:p>
        </w:tc>
        <w:tc>
          <w:tcPr>
            <w:tcW w:w="160" w:type="dxa"/>
            <w:vAlign w:val="bottom"/>
          </w:tcPr>
          <w:p>
            <w:pPr>
              <w:spacing w:after="0"/>
              <w:rPr>
                <w:sz w:val="20"/>
                <w:szCs w:val="20"/>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(3,201,594)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(1,438,302)</w:t>
            </w:r>
          </w:p>
        </w:tc>
      </w:tr>
      <w:tr>
        <w:trPr>
          <w:trHeight w:val="223"/>
        </w:trPr>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(1,096,441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2,399,155</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1,830,122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(3,132,836</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31"/>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2,879,115</w:t>
            </w:r>
          </w:p>
        </w:tc>
        <w:tc>
          <w:tcPr>
            <w:tcW w:w="1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2,876,376</w:t>
            </w:r>
          </w:p>
        </w:tc>
        <w:tc>
          <w:tcPr>
            <w:tcW w:w="1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$ 2,608,852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$ 1,961,075</w:t>
            </w:r>
          </w:p>
        </w:tc>
        <w:tc>
          <w:tcPr>
            <w:tcW w:w="16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(7,107,884)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$ 3,217,534</w:t>
            </w:r>
          </w:p>
        </w:tc>
        <w:tc>
          <w:tcPr>
            <w:tcW w:w="60" w:type="dxa"/>
            <w:vAlign w:val="bottom"/>
          </w:tcPr>
          <w:p>
            <w:pPr>
              <w:spacing w:after="0"/>
              <w:rPr>
                <w:sz w:val="24"/>
                <w:szCs w:val="24"/>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-1054100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-762635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-471170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520"/>
            <w:col w:w="704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9"/>
          </w:tcPr>
          <w:p>
            <w:pPr>
              <w:jc w:val="center"/>
              <w:ind w:left="771"/>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1"/>
                <w:szCs w:val="11"/>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1"/>
                <w:szCs w:val="11"/>
                <w:color w:val="auto"/>
              </w:rPr>
            </w:pPr>
          </w:p>
        </w:tc>
        <w:tc>
          <w:tcPr>
            <w:tcW w:w="86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1,839,603</w:t>
            </w:r>
          </w:p>
        </w:tc>
        <w:tc>
          <w:tcPr>
            <w:tcW w:w="220" w:type="dxa"/>
            <w:vAlign w:val="bottom"/>
          </w:tcPr>
          <w:p>
            <w:pPr>
              <w:spacing w:after="0"/>
              <w:rPr>
                <w:sz w:val="19"/>
                <w:szCs w:val="19"/>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533,048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2,372,651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Affiliate receivable</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(4,928,593)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Derivative liability</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Affiliate payable</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Notes and other debt, net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3,625,602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3,535,095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(3,535,246)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3,709,542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(5,427)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(1,162,886)</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(1,070,989)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(1,398,925)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(1,162,886)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(1,076,416)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1,950,493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(1,393,498)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(1,166,906)</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2,458,696</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2,006,236</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547,769</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(4,928,744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40" w:type="dxa"/>
            <w:vAlign w:val="bottom"/>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2016</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168,772</w:t>
            </w:r>
          </w:p>
        </w:tc>
        <w:tc>
          <w:tcPr>
            <w:tcW w:w="12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Fiber Infrastructure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190,513</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(69,600)</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98,610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(141,232)</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91,755</w:t>
            </w: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(71,632)</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gridSpan w:val="1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2015</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14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166,914</w:t>
            </w:r>
          </w:p>
        </w:tc>
        <w:tc>
          <w:tcPr>
            <w:tcW w:w="12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166,914</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(66,511)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67,290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67,511</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(153,386)</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99,403</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(32,362)</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99,302</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20" w:type="dxa"/>
            <w:vAlign w:val="bottom"/>
            <w:gridSpan w:val="1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 (Loss)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2016</w:t>
            </w: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505,569</w:t>
            </w:r>
          </w:p>
        </w:tc>
        <w:tc>
          <w:tcPr>
            <w:tcW w:w="44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6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Fiber Infrastructure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35,517</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541,086</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22,402</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563,488</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200,210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203,357</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(203,357)</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206,727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3,945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207,616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84,791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(203,357)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558,431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211,774</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211,774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(423,548)</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275,062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(220,191)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4,158</w:t>
            </w:r>
          </w:p>
        </w:tc>
        <w:tc>
          <w:tcPr>
            <w:tcW w:w="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8,417</w:t>
            </w: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274,530</w:t>
            </w:r>
          </w:p>
        </w:tc>
        <w:tc>
          <w:tcPr>
            <w:tcW w:w="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(220,191)</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(59,353)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(54,914)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274,530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(156,680)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1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Comprehensive Income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gridSpan w:val="19"/>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For the Period from April 24 - September 30, 2015</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CS&amp;L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CSL Capital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Non-Guarantors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291,086</w:t>
            </w:r>
          </w:p>
        </w:tc>
        <w:tc>
          <w:tcPr>
            <w:tcW w:w="40" w:type="dxa"/>
            <w:vAlign w:val="bottom"/>
          </w:tcPr>
          <w:p>
            <w:pPr>
              <w:spacing w:after="0"/>
              <w:rPr>
                <w:sz w:val="19"/>
                <w:szCs w:val="19"/>
                <w:color w:val="auto"/>
              </w:rPr>
            </w:pPr>
          </w:p>
        </w:tc>
        <w:tc>
          <w:tcPr>
            <w:tcW w:w="440" w:type="dxa"/>
            <w:vAlign w:val="bottom"/>
            <w:gridSpan w:val="3"/>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 CLEC</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(115,307)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expense</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116,424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117,151</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284,178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consolidated subsidiaries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(268,256)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173,935</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(39,307)</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(152,949)</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173,740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(152,949)</w:t>
            </w: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173,740</w:t>
            </w: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(138,956)</w:t>
            </w: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12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2016</w:t>
            </w: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2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1"/>
                <w:szCs w:val="11"/>
                <w:color w:val="auto"/>
              </w:rPr>
            </w:pPr>
          </w:p>
        </w:tc>
        <w:tc>
          <w:tcPr>
            <w:tcW w:w="82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4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(105,789)</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465,904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19"/>
                <w:szCs w:val="19"/>
                <w:color w:val="auto"/>
              </w:rPr>
            </w:pP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(64,226)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(316,244)</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(173,294)</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(489,538)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(9,722)</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(9,482)</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(325,966)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(182,776)</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(508,742)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(16,744)</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(273,692)</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(273,692)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521,000</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(321,000)</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lease payments</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54,211</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(2,123)</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(252,642)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188,527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(253,540)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188,480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(113,602)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December 31, 2015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80" w:type="dxa"/>
            <w:vAlign w:val="bottom"/>
            <w:gridSpan w:val="14"/>
          </w:tcPr>
          <w:p>
            <w:pPr>
              <w:ind w:left="22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1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period from April 24 - September 30, 2015</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CS&amp;L</w:t>
            </w:r>
          </w:p>
        </w:tc>
        <w:tc>
          <w:tcPr>
            <w:tcW w:w="12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CSL Capital</w:t>
            </w:r>
          </w:p>
        </w:tc>
        <w:tc>
          <w:tcPr>
            <w:tcW w:w="120" w:type="dxa"/>
            <w:vAlign w:val="bottom"/>
          </w:tcPr>
          <w:p>
            <w:pPr>
              <w:spacing w:after="0"/>
              <w:rPr>
                <w:sz w:val="11"/>
                <w:szCs w:val="11"/>
                <w:color w:val="auto"/>
              </w:rPr>
            </w:pP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1"/>
                <w:szCs w:val="11"/>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00" w:type="dxa"/>
            <w:vAlign w:val="bottom"/>
          </w:tcPr>
          <w:p>
            <w:pPr>
              <w:spacing w:after="0"/>
              <w:rPr>
                <w:sz w:val="19"/>
                <w:szCs w:val="19"/>
                <w:color w:val="auto"/>
              </w:rPr>
            </w:pP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278,279</w:t>
            </w:r>
          </w:p>
        </w:tc>
        <w:tc>
          <w:tcPr>
            <w:tcW w:w="140" w:type="dxa"/>
            <w:vAlign w:val="bottom"/>
          </w:tcPr>
          <w:p>
            <w:pPr>
              <w:spacing w:after="0"/>
              <w:rPr>
                <w:sz w:val="19"/>
                <w:szCs w:val="19"/>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paid to Windstream Services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(1,035,029)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(1,035,029)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(1,035,029)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(1,035,741)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Term Loans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(30,018)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(66,522)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in-lieu of fractional shares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April 24, 2015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September 30, 2015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14, 2016, we announced that we entered into a definitive agreement to acquire Network Management Holdings LTD (“NMS”). NMS currently owns and operates 359 towers in Latin America and 114 additional build to suit towers under development. The NMS portfolio spans Mexico, Nicaragua and Colombia.</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initial consideration for the 359 towers currently in operation is expected to be approximately $65 million, subject to changes in the currency exchange rate between the U.S. dollar and both the Mexican peso and Colombian peso. Under the terms of the purchase agreement, CS&amp;L will acquire the towers under development when construction is completed. The Company intends to fund the transaction through borrowings under the Revolving Credit Facility. The NMS transaction is subject to regulatory approvals and other customary terms and conditions. Closing is expected to occur in the first quarter of 2017.</w:t>
      </w:r>
    </w:p>
    <w:p>
      <w:pPr>
        <w:spacing w:after="0" w:line="180" w:lineRule="exact"/>
        <w:rPr>
          <w:sz w:val="20"/>
          <w:szCs w:val="20"/>
          <w:color w:val="auto"/>
        </w:rPr>
      </w:pPr>
    </w:p>
    <w:p>
      <w:pPr>
        <w:ind w:right="1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21, 2016, we completed the previously announced amendment to our Credit Agreement. Among other things, the amendment (i) repriced our Term Loan Facility, decreasing the interest rate by 50 basis points to LIBOR plus 3.50% per annum with a minimum LIBOR rate of 1.0%, and (ii) modified certain provisions to permit us to operate through a customary “Up-REIT” structure, should we choose to operate through such a structure in the future. Use of such a structure is intended to facilitate future acquisition opportunities by providing us the ability to use operating partnership units as a tax-efficient acquisition currency in certain acquisitions of assets or entities that are structured as limited liability companies or other pass-through entities. Our interest rate swap agreements are unaffected by this repricing and effectively fix the interest rate on our Term Loan Facility at 5.6%. </w:t>
      </w:r>
      <w:hyperlink w:anchor="page17">
        <w:r>
          <w:rPr>
            <w:rFonts w:ascii="Times New Roman" w:cs="Times New Roman" w:eastAsia="Times New Roman" w:hAnsi="Times New Roman"/>
            <w:sz w:val="18"/>
            <w:szCs w:val="18"/>
            <w:u w:val="single" w:color="auto"/>
            <w:color w:val="auto"/>
          </w:rPr>
          <w:t>See Note 6</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620" w:type="dxa"/>
            <w:vAlign w:val="bottom"/>
            <w:gridSpan w:val="2"/>
          </w:tcPr>
          <w:p>
            <w:pPr>
              <w:jc w:val="center"/>
              <w:ind w:right="1075"/>
              <w:spacing w:after="0"/>
              <w:rPr>
                <w:sz w:val="20"/>
                <w:szCs w:val="20"/>
                <w:color w:val="auto"/>
              </w:rPr>
            </w:pPr>
            <w:r>
              <w:rPr>
                <w:rFonts w:ascii="Times New Roman" w:cs="Times New Roman" w:eastAsia="Times New Roman" w:hAnsi="Times New Roman"/>
                <w:sz w:val="18"/>
                <w:szCs w:val="18"/>
                <w:b w:val="1"/>
                <w:bCs w:val="1"/>
                <w:color w:val="auto"/>
              </w:rPr>
              <w:t>Consumer CLEC Business</w:t>
            </w: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5620" w:type="dxa"/>
            <w:vAlign w:val="bottom"/>
            <w:gridSpan w:val="2"/>
          </w:tcPr>
          <w:p>
            <w:pPr>
              <w:jc w:val="center"/>
              <w:ind w:right="1075"/>
              <w:spacing w:after="0"/>
              <w:rPr>
                <w:sz w:val="20"/>
                <w:szCs w:val="20"/>
                <w:color w:val="auto"/>
              </w:rPr>
            </w:pPr>
            <w:r>
              <w:rPr>
                <w:rFonts w:ascii="Times New Roman" w:cs="Times New Roman" w:eastAsia="Times New Roman" w:hAnsi="Times New Roman"/>
                <w:sz w:val="18"/>
                <w:szCs w:val="18"/>
                <w:b w:val="1"/>
                <w:bCs w:val="1"/>
                <w:color w:val="auto"/>
                <w:w w:val="99"/>
              </w:rPr>
              <w:t>Statements of Revenues and Direct Expenses</w:t>
            </w: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5620" w:type="dxa"/>
            <w:vAlign w:val="bottom"/>
            <w:gridSpan w:val="2"/>
          </w:tcPr>
          <w:p>
            <w:pPr>
              <w:jc w:val="center"/>
              <w:ind w:right="1075"/>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73"/>
        </w:trPr>
        <w:tc>
          <w:tcPr>
            <w:tcW w:w="3480" w:type="dxa"/>
            <w:vAlign w:val="bottom"/>
            <w:vMerge w:val="continue"/>
          </w:tcPr>
          <w:p>
            <w:pPr>
              <w:spacing w:after="0"/>
              <w:rPr>
                <w:sz w:val="15"/>
                <w:szCs w:val="15"/>
                <w:color w:val="auto"/>
              </w:rPr>
            </w:pPr>
          </w:p>
        </w:tc>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January 1 - April 24, 2015</w:t>
            </w:r>
          </w:p>
        </w:tc>
        <w:tc>
          <w:tcPr>
            <w:tcW w:w="0" w:type="dxa"/>
            <w:vAlign w:val="bottom"/>
          </w:tcPr>
          <w:p>
            <w:pPr>
              <w:spacing w:after="0"/>
              <w:rPr>
                <w:sz w:val="1"/>
                <w:szCs w:val="1"/>
                <w:color w:val="auto"/>
              </w:rPr>
            </w:pPr>
          </w:p>
        </w:tc>
      </w:tr>
      <w:tr>
        <w:trPr>
          <w:trHeight w:val="223"/>
        </w:trPr>
        <w:tc>
          <w:tcPr>
            <w:tcW w:w="3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620" w:type="dxa"/>
            <w:vAlign w:val="bottom"/>
            <w:tcBorders>
              <w:top w:val="single" w:sz="8" w:color="auto"/>
            </w:tcBorders>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expenses:</w:t>
            </w:r>
          </w:p>
        </w:tc>
        <w:tc>
          <w:tcPr>
            <w:tcW w:w="5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revenues</w:t>
            </w:r>
          </w:p>
        </w:tc>
        <w:tc>
          <w:tcPr>
            <w:tcW w:w="5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5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direct expenses</w:t>
            </w:r>
          </w:p>
        </w:tc>
        <w:tc>
          <w:tcPr>
            <w:tcW w:w="5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 in Excess of Direct Expenses</w:t>
            </w:r>
          </w:p>
        </w:tc>
        <w:tc>
          <w:tcPr>
            <w:tcW w:w="54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accompanying notes are an integral part of this statement of Revenues and Direct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Communications Sales &amp; Leasing, Inc. (the “Company,” “CS&amp;L,” “we,” “us” or “our”) was incorporated in the state of Delaware in February 2014 and reorganized in the state of Maryland on September 4, 2014. On April 24, 2015 (the “Spin Date”), in connection with the separation and spin-off of CS&amp;L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CS&amp;L in exchange for cash, shares of common stock of CS&amp;L and certain indebtedness of CS&amp;L (the “Spin-Off”).</w:t>
      </w:r>
    </w:p>
    <w:p>
      <w:pPr>
        <w:spacing w:after="0" w:line="18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Consumer CLEC Business, which prior to the Spin-Off had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Subsequent to the Spin-Off, all financial results of the Consumer CLEC Business are reported within the consolidated financial statements of CS&amp;L. The accompanying unaudited Statement of Revenues and Direct Expenses for the period from January 1, 2015 to Spin Date have been prepared for the purpose of complying with the rules and regulations of the Securities and Exchange Commission (the “SEC”), as permitted by the SEC and are not intended to be a complete presentation of results of operations of the Consumer CLEC Business. Additionally, the interim financial statement has been prepared consistent with Article 10 of Regulation S-X. The elements of the financial statement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 presented have been included. The results of operations for the interim period is not necessarily indicative of results for the full year.</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Statement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are reasonable under the circumstances as more fully discussed in Note 4. The Statement of Revenues and Direct Expenses exclude costs that are not directly related to the Consumer CLEC Business including general corporate overhead costs, interest expense and income taxes.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assessing collectability of receivables,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$111,000 for the period from January 1, 2015 to Spin 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Consumer CLEC Business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 – Continued</w:t>
      </w: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Recently Issued Accounting Standards</w:t>
      </w:r>
      <w:r>
        <w:rPr>
          <w:rFonts w:ascii="Times New Roman" w:cs="Times New Roman" w:eastAsia="Times New Roman" w:hAnsi="Times New Roman"/>
          <w:sz w:val="18"/>
          <w:szCs w:val="18"/>
          <w:color w:val="auto"/>
        </w:rPr>
        <w:t xml:space="preserve">—In May 2014, the Financial Accounting Standards Board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w:t>
      </w:r>
    </w:p>
    <w:p>
      <w:pPr>
        <w:spacing w:after="0" w:line="18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—The accompanying financial statement of the Consumer CLEC Business was derived from the consolidated financial statements of Windstream, which issued its interim unaudited consolidated financial statements for the quarterly period ended March 31, 2015 on May 7,</w:t>
      </w:r>
    </w:p>
    <w:p>
      <w:pPr>
        <w:ind w:right="500"/>
        <w:spacing w:after="0" w:line="261" w:lineRule="auto"/>
        <w:rPr>
          <w:sz w:val="20"/>
          <w:szCs w:val="20"/>
          <w:color w:val="auto"/>
        </w:rPr>
      </w:pPr>
      <w:r>
        <w:rPr>
          <w:rFonts w:ascii="Times New Roman" w:cs="Times New Roman" w:eastAsia="Times New Roman" w:hAnsi="Times New Roman"/>
          <w:sz w:val="18"/>
          <w:szCs w:val="18"/>
          <w:color w:val="auto"/>
        </w:rPr>
        <w:t>2015. Accordingly, management has evaluated transactions for consideration as recognized subsequent events in the accompanying financial statement through the date of September 30,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Allocations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described in Note 2, the accompanying Statement of Revenues and Direct Expenses of the Consumer CLEC Business include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revenues” and “Selling, general and administrative.”</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2016. Because we were formed in connection with the Spin-Off from Windstream Holdings on April 24, 2015, the comparable period results discussed in this section cover only the 160-day period from April 24, 2015 to September 30, 2015. As such, there are inherent limitations to period over period comparability. This discussion should be read in conjunction with the accompanying unaudited financial statements, and the notes thereto set forth in Part I, Item 1 of this Quarterly Report on Form 10-Q and our Annual Report on Form 10-K for the year ended December 31, 2015, filed with the SEC on March 7,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24, 2015, CS&amp;L completed the Spin-Off from Windstream pursuant to which Windstream contributed the Distribution Systems and the Consumer CLEC Business to CS&amp;L and CS&amp;L issued common stock and indebtedness and paid cash obtained from borrowings under CS&amp;L's senior credit facilities to Windstream. In connection with the Spin-Off, we entered into the Master Lease with Windstream, pursuant to which a substantial portion of our real property is leased to Windstream and from which substantially all of our leasing revenues are currently derived.</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an independent, internally managed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Our fiber infrastructure group, Uniti Fiber, is a leading provider of infrastructure solutions including cell site backhaul and dark fiber, to the telecommunications industry. 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CS&amp;L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Uniti Fiber and the Consumer CLEC Business as taxable REIT subsidiaries (“TRSs”). TRSs enable us to engage in activities that do not result in income that would be qualifying income for a REIT. Our TRSs are subject to U.S. federal, state and local corporate income taxes.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grow and diversify our portfolio and tenant base by pursuing a range of transaction structures with communication service providers, including,</w:t>
      </w:r>
    </w:p>
    <w:p>
      <w:pPr>
        <w:spacing w:after="0" w:line="27" w:lineRule="exact"/>
        <w:rPr>
          <w:sz w:val="20"/>
          <w:szCs w:val="20"/>
          <w:color w:val="auto"/>
        </w:rPr>
      </w:pPr>
    </w:p>
    <w:p>
      <w:pPr>
        <w:ind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leaseback transactions, whereby we acquire existing infrastructure assets from communication service providers and lease them back on a long-term triple net basis; (ii) whole company acquisitions, which may include the use of one or more TRSs that are permitted under the tax laws to acquire non-REIT operating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manage our operations as three reportable business segments: Leasing, Fiber Infrastructure and Consumer CLEC. Our Leasing segment represents our REIT operations, including the results of our tower and ground lease operations, and corporate expenses not directly attributable to other operating segments. The Fiber Infrastructure segment represents the operations of the Uniti Fiber business, as well as corporate expenses directly attributable to the operations of these businesses, and the Consumer CLEC segment represents the operations of our Consumer CLEC Business and corporate expenses directly attributable to the operation of that business. We evaluate the performance of each segment based on Adjusted EBITDA.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Quarterly Business Developments</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At-the-Market Common Stock Offering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 2016, we announced the establishment of an at-the-market common stock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(the “ATM Program”) to sell shares of our common stock, par value $0.0001 per share, having an aggregate offering price of up to $250 million. This program provides additional financial flexibility and an alternative mechanism to access the capital markets at an efficient cost as and when the Company needs financing, including for acquisitions.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Acquisition of Tower Cloud,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31, 2016, we completed the previously announced acquisition of Tower Cloud, Inc. The consideration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interests was valued at $345 million, and included $187 million in cash and the issuance of 1.9 million shares of the Company’s common stock with an acquisition date fair value of $58.5 million. Additional contingent consideration of up to $130 million, with an acquisition date fair value of $98.6 million, will be paid upon the achievement of certain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defined operational and financial milestones. Tower Cloud provides data transport services, with particular focus on providing infrastructure solutions to the wireless and enterprise sectors, including fiber-to-the-tower backhaul, small cell networks, and dark fiber deployments. Tower Cloud’s network currently consists of approximately 90,000 fiber strand miles in service across the southeastern United States, with 181,000 fiber strand miles awarded for future deployment for the major wireless carriers. We funded the cash portion of the transaction through cash on hand and $150 million of borrowings under our Revolving Credit Facility. This transaction compliments our diversification strategy, expands our national wireless carrier relationships, and will accelerate our small cell and dark fiber businesses. Following the close of the transaction, the Tower Cloud and PEG Bandwidth businesses were combined into a unified fiber infrastructure organization, Uniti Fiber.</w:t>
      </w:r>
    </w:p>
    <w:p>
      <w:pPr>
        <w:spacing w:after="0" w:line="79"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Addition of New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9, 2016, Andrew Frey was appointed to the Company’s Board of Directors, increasing the size of the Company’s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five to six members. Mr. Frey is a partner of Searchlight Capital Partners, L.P. (“Searchlight”) and was appointed pursuant to the letter agreement dated June 15, 2016, between the Company and Searchlight.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2016 and September 30, 2015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results of operations expressed as dollars and as a percentage of total revenues: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5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84.7%</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166,959</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CLEC</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3.8%</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173,634</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r>
      <w:tr>
        <w:trPr>
          <w:trHeight w:val="24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35.2%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20"/>
                <w:szCs w:val="20"/>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10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202,455</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163,963</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5.6%</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applicable to common shareholders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Leasing revenues are primarily attributable to rental revenue from leasing our Distribution Systems to Windstream Holdings pursuant to the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Under the Master Lease, Windstream Holdings is responsible for the costs related to operating the Distribution Systems, including property taxes, insurance, and maintenance and repair costs. The Master Lease has an initial term of 15 years with four five-year renewal options and encompasses properties located in 29 states. Rent under the Master Lease is an annual fixed amount of $650 million during the first three years. Commencing with the fourth year of the Master Lease and continuing for the remainder of the initial term, rent under the Master Lease is subject to annual escalation of 0.5%. Additionally, we funded $43.1 million of capital expenditures related to the Distribution System on December 29, 2015. Monthly rent paid by Windstream increased by approximately $3.5 million per year in accordance with the Master Lease effective as of the date we provided the funding. Rental revenues over the initial term of the Master Lease are recognized in the financial statements on a straight line basis, representing approximately $670.7 million per year.</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Master Lease further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CS&amp;L upon their construction by Windstream. We receive non-monetary consideration related to TCIs as they automatically become our property, thus we recognize the cost basis of TCIs that are capital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2016, we recognized $169.5 million of revenue from rents under the Master Lease, which included $4.3 million of straight-line revenues and $1.7 million of TCI revenue. For the three months ended September 30, 2015, we recognized $167 million of revenues from the Master Lease, which included $4.3 million of straight-line rent revenue, and $0.2 million of TCI revenue.</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Because a substantial portion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recognized $25.2 million of revenue, approximately 75% of which was derived from lit backhaul services, from our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segment for the three months ended September 30, 2016. This revenue was derived from the newly acquired PEG Bandwidth and Tower Cloud businesses. Revenues related to the Tower Cloud acquisition have been included in our results of operations for the period from September 1 to September 30, 2016. At September 30, 2016, we had approximately 5,400 customer connections.</w:t>
      </w:r>
    </w:p>
    <w:p>
      <w:pPr>
        <w:spacing w:after="0" w:line="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Consumer CLEC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September 30, 2016, we recognized $5.5 million of revenue from the Consumer CLEC Business,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 million for the three months ended September 30, 2015. The decrease is due to the effects of competition and customer attrition, as we served 38,574 customers as of September 30, 2016, a 19.6% decrease from 48,000 at September 30,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2016, totaled $70.5 million, which includes non-cash interest expense of $4.0 million resulting from the amortization of our debt discounts and debt issuance costs. Interest expense for the three months ended September 30, 2015, totaled $66.5 million, which includes non-cash interest expense of $3.7 million resulting from the amortization of our debt discounts and debt issuance costs. The increase is primarily related to interest expense on our Revolving Credit Facility and add-on Secured Notes of $1.1 million and $2.3 million, respectively, which were not incurred in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incur depreciation and amortization expense related to our property, plant and equipment, corporate assets and intangible assets. Charges for depreciation and amortization for the three months ended September 30, 2016 totaled $96.7 million, which included property, plant and equipment depreciation of $94.8 million, corporate asset depreciation of $0.2 million and intangible asset amortization of $1.7 million. Charges for depreciation and amortization for the three months ended September 30, 2015 totaled $87.3 million, which included property, plant and equipment depreciation of $86.2 million, corporate asset depreciation of $0.1 million and intangible asset amortization of $1.0 million. The increase is primarily due to $9.7 million of depreciation and amortization expense related to the newly acquired PEG Bandwidth and Tower Cloud businesses.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2016, general and administrative costs totaled $10.2 million (5.1% of revenue), which includes $1.3 million of stock-based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compensation expense. For the three months ended September 30, 2015, general and administrative costs totaled $4.2 million (2.4% of revenue), which includes $0.8 million of stock-based compensation expense. The increase is primarily due to $4.8 million of expense related to the newly acquired PEG Bandwidth and Tower Cloud businesses.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expense for the three months ended September 30, 2016, totaled $15.7 million (7.8% of revenue), and consists of $4.3 million (2.1% of revenue) of expense related to the operation of the Consumer CLEC Business and $11.4 million (5.7% of revenue) of expense related to the newly acquired PEG Bandwidth and Tower Cloud businesses.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2016, Fiber Infrastructure operating expenses include $2.5 million of tower rent, $2.0 million of payroll related expense, and $1.6 million of lit service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2015, operating expenses represented costs associated with the Consumer CLEC Business</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Expense associated with the Consumer CLEC Business is primarily attributable to the Wholesale Master Services Agreement and the Master Services Agreement entered into between us and Windstream in connection with the Spin-Off, and also included costs arising under the interconnection agreements with other telecommunication carriers. Expense associated with the Wholesale Master Services Agreement and Master Services Agreement for the three months ended September 30, 2016 totaled $3.1 million (1.5% of revenue) and $0.4 million (0.2% of revenue), respectively, and expense associated with the Wholesale Master Services Agreement and the Master Services Agreement for the three months ended September 30, 2015 totaled $3.8 million (2.2% of revenue) and $0.4 million (0.2% of revenue),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for the three months ended September 30, 2016 and September 30, 2015, revenues and Adjusted EBITDA of our reportable segments: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 2016</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1"/>
                <w:szCs w:val="11"/>
                <w:color w:val="auto"/>
              </w:rPr>
            </w:pPr>
          </w:p>
        </w:tc>
        <w:tc>
          <w:tcPr>
            <w:tcW w:w="16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00" w:type="dxa"/>
            <w:vAlign w:val="bottom"/>
          </w:tcPr>
          <w:p>
            <w:pPr>
              <w:spacing w:after="0"/>
              <w:rPr>
                <w:sz w:val="11"/>
                <w:szCs w:val="11"/>
                <w:color w:val="auto"/>
              </w:rPr>
            </w:pPr>
          </w:p>
        </w:tc>
        <w:tc>
          <w:tcPr>
            <w:tcW w:w="1640" w:type="dxa"/>
            <w:vAlign w:val="bottom"/>
            <w:gridSpan w:val="3"/>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169,525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5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60" w:type="dxa"/>
            <w:vAlign w:val="bottom"/>
            <w:gridSpan w:val="6"/>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September 30, 2015</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4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Leasing</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gridSpan w:val="4"/>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340" w:type="dxa"/>
            <w:vAlign w:val="bottom"/>
          </w:tcPr>
          <w:p>
            <w:pPr>
              <w:spacing w:after="0"/>
              <w:rPr>
                <w:sz w:val="13"/>
                <w:szCs w:val="13"/>
                <w:color w:val="auto"/>
              </w:rPr>
            </w:pPr>
          </w:p>
        </w:tc>
        <w:tc>
          <w:tcPr>
            <w:tcW w:w="2240" w:type="dxa"/>
            <w:vAlign w:val="bottom"/>
            <w:gridSpan w:val="4"/>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166,959</w:t>
            </w:r>
          </w:p>
        </w:tc>
        <w:tc>
          <w:tcPr>
            <w:tcW w:w="3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2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163,509</w:t>
            </w:r>
          </w:p>
        </w:tc>
        <w:tc>
          <w:tcPr>
            <w:tcW w:w="104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2016 to the period from April 24, 2015 to September 30, 2015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results of operations expressed as dollars and as a percentage of total revenues: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8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5840" w:type="dxa"/>
            <w:vAlign w:val="bottom"/>
            <w:vMerge w:val="continue"/>
          </w:tcPr>
          <w:p>
            <w:pPr>
              <w:spacing w:after="0"/>
              <w:rPr>
                <w:sz w:val="15"/>
                <w:szCs w:val="15"/>
                <w:color w:val="auto"/>
              </w:rPr>
            </w:pPr>
          </w:p>
        </w:tc>
        <w:tc>
          <w:tcPr>
            <w:tcW w:w="18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Leasing</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507,216</w:t>
            </w:r>
          </w:p>
        </w:tc>
        <w:tc>
          <w:tcPr>
            <w:tcW w:w="120" w:type="dxa"/>
            <w:vAlign w:val="bottom"/>
          </w:tcPr>
          <w:p>
            <w:pPr>
              <w:spacing w:after="0"/>
              <w:rPr>
                <w:sz w:val="19"/>
                <w:szCs w:val="19"/>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90.0%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291,131</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Fiber Infrastructure</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Consumer CLEC</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563,488</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302,382</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8"/>
              </w:rPr>
              <w:t>36.3%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120" w:type="dxa"/>
            <w:vAlign w:val="bottom"/>
          </w:tcPr>
          <w:p>
            <w:pPr>
              <w:spacing w:after="0"/>
              <w:rPr>
                <w:sz w:val="19"/>
                <w:szCs w:val="19"/>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48.9%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120" w:type="dxa"/>
            <w:vAlign w:val="bottom"/>
          </w:tcPr>
          <w:p>
            <w:pPr>
              <w:spacing w:after="0"/>
              <w:rPr>
                <w:sz w:val="19"/>
                <w:szCs w:val="19"/>
                <w:color w:val="auto"/>
              </w:rPr>
            </w:pP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558,431</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8"/>
              </w:rPr>
              <w:t>99.1%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284,178</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72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7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applicable to common shareholders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nine months ended September 30, 2016, we recognized $507.2 million of revenue from rents under the Master Lease, which includes $13.0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straight-line revenues and $3.9 million of TCI revenue. For the 160-day period from April 24, 2015 to September 30, 2015, we recognized $291.1 million of revenues from the Master Lease, which included $7.5 million of straight-line rent revenue and $0.2 million of TCI revenue.</w:t>
      </w:r>
    </w:p>
    <w:p>
      <w:pPr>
        <w:spacing w:after="0" w:line="65" w:lineRule="exact"/>
        <w:rPr>
          <w:sz w:val="20"/>
          <w:szCs w:val="20"/>
          <w:color w:val="auto"/>
        </w:rPr>
      </w:pPr>
    </w:p>
    <w:p>
      <w:pPr>
        <w:ind w:right="6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Fiber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recognized $39.0 million of revenue, approximately 78% of which was derived from lit backhaul services, from our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segment for the nine months ended September 30, 2016. This revenue was derived from the acquired PEG Bandwidth and Tower Cloud businesses from their respective dates of acquisition to September 30, 2016.</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Consumer CLEC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nine months ended September 30, 2016, we recognized $17.3 million of revenue from the Consumer CLEC Business,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$11.3 million for the period from April 24, 2015 to September 30, 2015. This increase is primarily attributable to a full three quarters of revenue during 2016 compared to 160 days of revenue during the prior year period, partially offset by a decrease in customer counts. We served 38,574 customers as of September 30, 2016, a 19.6% decrease from 48,000 at September 30, 2015. The decrease in customers is due to the effects of competition and customer attrition.</w:t>
      </w:r>
    </w:p>
    <w:p>
      <w:pPr>
        <w:spacing w:after="0" w:line="7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increase in the performance of our Leasing and Consumer CLEC segments for the nine months ended September 30, 2016 compared to the period from April 24 to September 30, 2015, is primarily attributable to the impact of a full three quarters of activity in 2016, while there was only 160 days of activity in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expense for the nine months ended September 30, 2016 totaled $204.6 million (36.3% of revenue), which includes non-cash interest expense of $11.6 million resulting from the amortization of our debt discounts and debt issuance costs. During the nine months ended September 30, 2016, we incurred $2.5 million in interest expense related to our previously undrawn Revolving Credit Facility and $2.7 million related to the $150 million of newly issued add-on Senior Secured Notes. Our interest expense includes the impact of our interest rate swap agreements.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expense for the period from April 24, 2015 to September 30, 2015 totaled $115.3 million (38.1% of revenue), which includes non-cash interest expense of $6.3 million resulting from the amortization of our debt discounts and debt issuance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incur depreciation and amortization expense related to our property, plant and equipment, corporate assets and intangible assets. Charges for depreciation and amortization for the nine months ended September 30, 2016 totaled $275.4 million (48.9% of revenue), which included property, plant and equipment depreciation of $271.3 million, corporate asset depreciation of $0.4 million and intangible asset amortization of $3.7 million. Charges for depreciation and amortization for the period from April 24, 2015 through September 30, 2015 totaled $151.7 million (50.2% of revenue), which included property, plant and equipment depreciation of $150.0 million, corporate asset depreciation of $0.1 million and intangible asset amortization of $1.6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2016, general and administrative costs totaled $23.6 million (4.2% of revenue), which includes $3.5 million of stock-based compensation expense. For the nine months ended September 30, 2016, our general and administrative expenses included $7.7 million (1.4% of revenue) of expense related to the newly acquired PEG Bandwidth and Tower Cloud businesses.</w:t>
      </w:r>
    </w:p>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period from April 24, 2015 to September 30, 2015, general and administrative costs totaled $7.4 million (2.4% of revenue), which includes $1.1 million of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 for the nine months ended September 30, 2016, totaled $30.3 million (5.4% of revenue), which consists of $13.4 million (2.4% of revenue) of expense related to the operation of the Consumer CLEC Business and $16.9 million (3.0% of revenue) of expense related to the newly acquired PEG Bandwidth and Tower Cloud businesses.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2016, Fiber Infrastructure operating expenses include $4.1 million of tower rent, $3.1 million of payroll related expense, and $2.4 million of lit service expense.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period from April 24, 2015 to September 30, 2015, operating expenses represent costs associated with the Consumer CLEC Business of $8.9 million (2.9% of revenue).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Expense associated with the Consumer CLEC Business is primarily attributable to the Wholesale Master Services Agreement and the Master Services Agreement entered into between us and Windstream in connection with the Spin-Off, and also included costs arising under the interconnection agreements with other telecommunication carriers. Expense associated with the Wholesale Master Services Agreement and Master Services Agreement for the nine months ended September 30, 2016 totaled $9.6 million (1.7% of revenue) and $1.3 million, respectively, and expense associated with the Wholesale Master Services Agreement and the Master Services Agreement for the period from April 24, 2015 to September 30, 2015 totaled $6.5 million (2.1% of revenue) and $0.7 million (0.2% of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nine months ended September 30, 2016, revenues and Adjusted EBITDA of our reportable segments: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Pr>
          <w:p>
            <w:pPr>
              <w:spacing w:after="0"/>
              <w:rPr>
                <w:sz w:val="11"/>
                <w:szCs w:val="11"/>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40" w:type="dxa"/>
            <w:vAlign w:val="bottom"/>
          </w:tcPr>
          <w:p>
            <w:pPr>
              <w:spacing w:after="0"/>
              <w:rPr>
                <w:sz w:val="11"/>
                <w:szCs w:val="11"/>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Fiber Infrastructure</w:t>
            </w:r>
          </w:p>
        </w:tc>
        <w:tc>
          <w:tcPr>
            <w:tcW w:w="400" w:type="dxa"/>
            <w:vAlign w:val="bottom"/>
          </w:tcPr>
          <w:p>
            <w:pPr>
              <w:spacing w:after="0"/>
              <w:rPr>
                <w:sz w:val="11"/>
                <w:szCs w:val="11"/>
                <w:color w:val="auto"/>
              </w:rPr>
            </w:pPr>
          </w:p>
        </w:tc>
        <w:tc>
          <w:tcPr>
            <w:tcW w:w="1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 CLEC</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507,216</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494,377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 from April 24, 2015 to September 30, 2015, revenues and Adjusted EBITDA of our reportable segments: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Period from April 24, 2015 to September 30, 2015</w:t>
            </w:r>
          </w:p>
        </w:tc>
        <w:tc>
          <w:tcPr>
            <w:tcW w:w="0" w:type="dxa"/>
            <w:vAlign w:val="bottom"/>
          </w:tcPr>
          <w:p>
            <w:pPr>
              <w:spacing w:after="0"/>
              <w:rPr>
                <w:sz w:val="1"/>
                <w:szCs w:val="1"/>
                <w:color w:val="auto"/>
              </w:rPr>
            </w:pPr>
          </w:p>
        </w:tc>
      </w:tr>
      <w:tr>
        <w:trPr>
          <w:trHeight w:val="156"/>
        </w:trPr>
        <w:tc>
          <w:tcPr>
            <w:tcW w:w="332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Leasing</w:t>
            </w:r>
          </w:p>
        </w:tc>
        <w:tc>
          <w:tcPr>
            <w:tcW w:w="58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Consumer CLEC</w:t>
            </w:r>
          </w:p>
        </w:tc>
        <w:tc>
          <w:tcPr>
            <w:tcW w:w="10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Subtotal of Reportable Segments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Borders>
              <w:top w:val="single" w:sz="8" w:color="auto"/>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291,131</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284,858</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costs</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increase in the performance of our Leasing and Consumer CLEC segments for the nine months ended September 30, 2016 compared to the period from April 24 to September 30, 2015, is primarily attributable to the impact of a full three quarters of activity in 2016, while there was only 160 days of activity in 2015. The results of our Fiber Infrastructure segment represent operations of the recently acquired PEG Bandwidth and Tower Cloud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Normalized Funds From Operations (“NFFO”)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NFFO and AFFO are important non-GAAP supplemental measures of operating performance for a REIT.</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related costs, the write off of unamortized deferred financing costs, costs incurred as a result of the early repayment of debt, changes in the fair value of contingent consideration and financial instruments, and other similar items.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defines NFFO, as FFO excluding the impact, which may be recurring in nature, of transaction related costs. The Company defines AFFO, as NFFO excluding (i) non-cash revenues and expenses such as stock-based compensation expense, amortization of debt and equity discounts, amortization of deferred financing costs, depreciation and amortization of non-real estate assets, straight line revenues, revenue associated with the amortization of tenant capital improvements and (ii) the impact, which may be recurring in nature, of maintenance capital expenditures, the write-off of unamortized deferred financing fees, additional costs incurred as a result of early repayment of debt, changes in the fair value of contingent consideration and financial instruments and similar items. We believe that the use of FFO, NFFO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NFFO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NFFO and AFFO, and their respective per share amounts, only as performance measures, and FFO, NFFO and AFFO do not purport to be indicative of cash available to fund our future cash requirements. While FFO, NFFO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9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NFFO and AFFO may not be comparable to that reported by other REITs or companies that do not define FFO in accordance with the current NAREIT definition or that interpret the current NAREIT definition or define EBITDA, Adjusted EBITDA, NFFO and AFFO differently than we do.</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reconciliation of our net income to EBITDA and Adjusted EBITDA and of our net income applicable to common shareholders to FFO, NFFO and AFFO for the three and nine months ended September 30, 2016, the three months ended September 30, 2015 and for the period from April 24, 2015 to September 30, 2015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184"/>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39"/>
        </w:trPr>
        <w:tc>
          <w:tcPr>
            <w:tcW w:w="4040" w:type="dxa"/>
            <w:vAlign w:val="bottom"/>
            <w:tcBorders>
              <w:bottom w:val="single" w:sz="8" w:color="CFF0FC"/>
            </w:tcBorders>
            <w:vMerge w:val="continue"/>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165,036</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 from April 24 -</w:t>
            </w:r>
          </w:p>
        </w:tc>
        <w:tc>
          <w:tcPr>
            <w:tcW w:w="0" w:type="dxa"/>
            <w:vAlign w:val="bottom"/>
          </w:tcPr>
          <w:p>
            <w:pPr>
              <w:spacing w:after="0"/>
              <w:rPr>
                <w:sz w:val="1"/>
                <w:szCs w:val="1"/>
                <w:color w:val="auto"/>
              </w:rPr>
            </w:pPr>
          </w:p>
        </w:tc>
      </w:tr>
      <w:tr>
        <w:trPr>
          <w:trHeight w:val="184"/>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0" w:type="dxa"/>
            <w:vAlign w:val="bottom"/>
          </w:tcPr>
          <w:p>
            <w:pPr>
              <w:spacing w:after="0"/>
              <w:rPr>
                <w:sz w:val="1"/>
                <w:szCs w:val="1"/>
                <w:color w:val="auto"/>
              </w:rPr>
            </w:pPr>
          </w:p>
        </w:tc>
      </w:tr>
      <w:tr>
        <w:trPr>
          <w:trHeight w:val="39"/>
        </w:trPr>
        <w:tc>
          <w:tcPr>
            <w:tcW w:w="4040" w:type="dxa"/>
            <w:vAlign w:val="bottom"/>
            <w:tcBorders>
              <w:bottom w:val="single" w:sz="8" w:color="CFF0FC"/>
            </w:tcBorders>
            <w:vMerge w:val="continue"/>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0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04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(loss) income attributable to common</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(4,144)</w:t>
            </w:r>
          </w:p>
        </w:tc>
        <w:tc>
          <w:tcPr>
            <w:tcW w:w="42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FFO applicable to common shareholders</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95,254</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262,344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NFFO applicable to common shareholders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96,058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revenue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(4,297)</w:t>
            </w:r>
          </w:p>
        </w:tc>
        <w:tc>
          <w:tcPr>
            <w:tcW w:w="18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(2,095)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on convertible preferred stock</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(revenue) expense, net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(4,842)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AFFO applicable to common shareholders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296,761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2015, filed with SEC on March 7, 2016. As of September 30, 2016, there has been no material change to these estimates.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 As of September 30, 2016, we had approximately $340.8 million of liquidity, consisting of unrestricted cash and cash equivalents of $40.8 million and $300 million of unused borrowing availability under the Revolving Credit Facility.</w:t>
      </w:r>
    </w:p>
    <w:p>
      <w:pPr>
        <w:spacing w:after="0" w:line="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$300.5 million for the nine months ended September 30, 2016 driven by favorable changes in working capital, primarily attributable to our leasing activities.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$508.7 million for the nine months ended September 30, 2016, which was driven by the acquisitions of PEG Bandwidth ($316.1 million) and Tower Cloud ($173.4 million) and capital expenditures ($19.2 million).</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$106.6 million for the nine months ended September 30, 2016, which primarily represents the proceeds from the add-on Notes ($148.9 million), proceeds from the sale of common stock ($54.2 million) and net borrowings under the Revolving Credit Facility ($200 million) related to the PEG Bandwidth and Tower Cloud transactions, partially offset by dividend payments ($273.7 million) and principal payments related to the Term Loan Facility ($16.7 million).</w:t>
      </w:r>
    </w:p>
    <w:p>
      <w:pPr>
        <w:spacing w:after="0" w:line="7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October 21, 2016, we completed the repricing of our Term Loan Facility. The interest rate decreased by 50 basis points to LIBOR plus 3.50% per annum with a minimum LIBOR rate of 1.0%. Our interest rate swap agreements are unaffected by this repricing. The swaps are designated as cash flow hedges with a weighted average fixed rate of 2.105% and the variable rate received resets monthly to the one-month LIBOR subject to a minimum rate of 1.0%.</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September 30, 2016,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In addition, our UPREIT structure will also enable us to acquire properties by issuing to sellers, as a form of consideration, limited partnership interests in our operating partnership. Although to date we have not issued limited partnership interests in a transaction,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anticipate our cash on hand and borrowing availability under our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including, without limitation the ATM Program.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2016, we had contractual obligations and commitments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(millions)</w:t>
            </w:r>
          </w:p>
        </w:tc>
        <w:tc>
          <w:tcPr>
            <w:tcW w:w="100" w:type="dxa"/>
            <w:vAlign w:val="bottom"/>
          </w:tcPr>
          <w:p>
            <w:pPr>
              <w:spacing w:after="0"/>
              <w:rPr>
                <w:sz w:val="11"/>
                <w:szCs w:val="11"/>
                <w:color w:val="auto"/>
              </w:rPr>
            </w:pPr>
          </w:p>
        </w:tc>
        <w:tc>
          <w:tcPr>
            <w:tcW w:w="114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780" w:type="dxa"/>
            <w:vAlign w:val="bottom"/>
          </w:tcPr>
          <w:p>
            <w:pPr>
              <w:jc w:val="right"/>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0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15"/>
                <w:szCs w:val="15"/>
                <w:color w:val="auto"/>
              </w:rPr>
              <w:t>(a)</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15"/>
                <w:szCs w:val="15"/>
                <w:color w:val="auto"/>
              </w:rPr>
              <w:t>(b)</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projected obligations and commitments</w:t>
            </w:r>
            <w:r>
              <w:rPr>
                <w:rFonts w:ascii="Times New Roman" w:cs="Times New Roman" w:eastAsia="Times New Roman" w:hAnsi="Times New Roman"/>
                <w:sz w:val="15"/>
                <w:szCs w:val="15"/>
                <w:b w:val="1"/>
                <w:bCs w:val="1"/>
                <w:color w:val="auto"/>
              </w:rPr>
              <w:t>(c)</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$126.5 million of unamortized discounts on long-term debt and deferred financing costs.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on our Term Loan Facility are based on our swap rates.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$68.8 million of derivative liability related to interest rate swaps maturing on October 24,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14, 2016, we paid, to shareholders of record as of the close of business on September 30, 2016, a cash dividend on our common stock of $0.60 per share for the period from July 1, 2016 through September 30, 2016.</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15, 2016, we paid, to shareholders of record as of the close of business on June 30, 2016, a cash dividend on our common stock of $0.60 per share for the period from April 1, 2016 through June 30, 2016.</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15, 2016, we paid, to shareholders of record as of the close of business on March 31, 2016, a cash dividend on our common stock of $0.60 per share for the period from January 1, 2016 through March 31, 2016.</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15, 2016, we paid, to shareholders of record as of the close of business on December 31, 2015, a cash dividend on our common stock of $0.60 per share for the period from October 1, 2015 through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anticipate incurring total capital expenditures related to the Uniti Fiber business of $27 million to $30 million during 2016. As of September 30, 2016, we have incurred approximately $10.3 million of such expenditures.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anticipate incurring significant capital expenditures on an annual basis in connection with corporate assets or operating our Consumer CLEC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New accounting rules and disclosures can impact our reported results and comparability of our financial statements. These matters are described in our Annual Report on Form 10-K for the year ended December 31, 2015, filed with the SEC on March 7, 2016.</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No.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2014-09”). The standard outlines a single comprehensive revenue recognition model for entities to follow in accounting for revenue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is in the process of evaluating this guidance to determine the impact it will have on our financial statements.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w:t>
      </w:r>
      <w:r>
        <w:rPr>
          <w:rFonts w:ascii="Times New Roman" w:cs="Times New Roman" w:eastAsia="Times New Roman" w:hAnsi="Times New Roman"/>
          <w:sz w:val="18"/>
          <w:szCs w:val="18"/>
          <w:color w:val="2F2F2F"/>
        </w:rPr>
        <w:t>which sets out the principles for the recognition, measurement, presentation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 xml:space="preserve">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t>
      </w:r>
      <w:r>
        <w:rPr>
          <w:rFonts w:ascii="Times New Roman" w:cs="Times New Roman" w:eastAsia="Times New Roman" w:hAnsi="Times New Roman"/>
          <w:sz w:val="18"/>
          <w:szCs w:val="18"/>
          <w:color w:val="000000"/>
        </w:rPr>
        <w:t>whether lease expense is recognized</w:t>
      </w:r>
      <w:r>
        <w:rPr>
          <w:rFonts w:ascii="Times New Roman" w:cs="Times New Roman" w:eastAsia="Times New Roman" w:hAnsi="Times New Roman"/>
          <w:sz w:val="18"/>
          <w:szCs w:val="18"/>
          <w:color w:val="2F2F2F"/>
        </w:rPr>
        <w:t xml:space="preserve"> based on an effective interest method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2F2F2F"/>
        </w:rPr>
        <w:t xml:space="preserve"> on a straight 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ASC 842 is effective for the fiscal years and interim periods beginning after December 15, 2018, and early adoption is permitted. The Company is in the process of evaluating this guidance to determine the impact it will have on our financial statements.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t>
      </w:r>
      <w:r>
        <w:rPr>
          <w:rFonts w:ascii="Times New Roman" w:cs="Times New Roman" w:eastAsia="Times New Roman" w:hAnsi="Times New Roman"/>
          <w:sz w:val="18"/>
          <w:szCs w:val="18"/>
          <w:color w:val="2F2F2F"/>
        </w:rPr>
        <w:t>ASU 2016-09 simplifies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F2F2F"/>
        </w:rPr>
        <w:t>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F2F2F"/>
        </w:rPr>
        <w:t>permitted. We have adopted ASU 2016-09 effective April 1, 2016, and will reverse compensation cost of forfeited awards as they occur. At the time of adoption, we had not experienced any forfeited awards and therefore no cumulative-effect adjustment was necessary.</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impacts the adoption of this accounting standard will have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information reported under Item 7A of our Annual Report on Form 10-K for the year ended December 31, 2015, filed with the SEC on March 7,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2016. Based on this evaluation, our principal executive officer and principal financial officer concluded that our disclosure controls and procedures were effective as of September 30, 2016.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of 2002, adopted rules that generally require every company that files reports with the SEC to evaluate its effectiveness of internal controls over financial reporting. Our management is not required to evaluate the effectiveness of our internal controls over financial reporting until the filing of our 2016 Annual Report on Form 10-K, due to a transition period established by SEC rules applicable to new public companies. As a result, this Quarterly Report on Form 10-Q does not address whether there have been any changes in internal control over financial reporting. We intend to include an evaluation of our internal controls over financial reporting in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Part I, “Item 1A. Risk Factors” in our Annual Report on Form 10-K for the year ended December 31, 2015 filed with the SEC on March 7, 2016, as supplemented by the supplemental risk factors related to the business of PEG Bandwidth, which we acquired on May 2, 2016, included in Part II, “Item 1A Risk Factors” of our Quarterly Report on Form 10-Q for the quarter ended March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CS&amp;L employees to satisfy minimum statutory tax withholding obligations arising from the vesting of restricted stock granted under the Communications Sales &amp; Leasing,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9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5"/>
                <w:szCs w:val="15"/>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2016 to July 31, 2016</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2016 to August 31, 2016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9"/>
                <w:szCs w:val="19"/>
                <w:color w:val="auto"/>
              </w:rPr>
            </w:pPr>
          </w:p>
        </w:tc>
        <w:tc>
          <w:tcPr>
            <w:tcW w:w="166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2016 to September 30, 2016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9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right="36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the weighted-average of the fair market prices at which we calculated the number of shares withheld to cover tax withholdings for the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4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40" w:type="dxa"/>
            <w:vAlign w:val="bottom"/>
          </w:tcPr>
          <w:p>
            <w:pPr>
              <w:spacing w:after="0"/>
              <w:rPr>
                <w:sz w:val="16"/>
                <w:szCs w:val="16"/>
                <w:color w:val="auto"/>
              </w:rPr>
            </w:pPr>
          </w:p>
        </w:tc>
      </w:tr>
      <w:tr>
        <w:trPr>
          <w:trHeight w:val="2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240" w:top="121" w:right="6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COMMUNICATIONS SALES &amp; LEASING, INC.</w:t>
      </w:r>
    </w:p>
    <w:p>
      <w:pPr>
        <w:spacing w:after="0" w:line="256" w:lineRule="exact"/>
        <w:rPr>
          <w:sz w:val="20"/>
          <w:szCs w:val="20"/>
          <w:color w:val="auto"/>
        </w:rPr>
      </w:pPr>
    </w:p>
    <w:p>
      <w:pPr>
        <w:spacing w:after="0"/>
        <w:tabs>
          <w:tab w:leader="none" w:pos="96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2016</w:t>
      </w:r>
      <w:r>
        <w:rPr>
          <w:sz w:val="20"/>
          <w:szCs w:val="20"/>
          <w:color w:val="auto"/>
        </w:rPr>
        <w:tab/>
      </w:r>
      <w:r>
        <w:rPr>
          <w:rFonts w:ascii="Times New Roman" w:cs="Times New Roman" w:eastAsia="Times New Roman" w:hAnsi="Times New Roman"/>
          <w:sz w:val="17"/>
          <w:szCs w:val="17"/>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26035</wp:posOffset>
            </wp:positionV>
            <wp:extent cx="36874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spacing w:after="0"/>
        <w:tabs>
          <w:tab w:leader="none" w:pos="96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14, 2016</w:t>
      </w:r>
      <w:r>
        <w:rPr>
          <w:sz w:val="20"/>
          <w:szCs w:val="20"/>
          <w:color w:val="auto"/>
        </w:rPr>
        <w:tab/>
      </w:r>
      <w:r>
        <w:rPr>
          <w:rFonts w:ascii="Times New Roman" w:cs="Times New Roman" w:eastAsia="Times New Roman" w:hAnsi="Times New Roman"/>
          <w:sz w:val="17"/>
          <w:szCs w:val="17"/>
          <w:color w:val="auto"/>
        </w:rPr>
        <w:t>/s/ Blake Schuhmacher</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Vice President – Chief Accounting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1000" w:type="dxa"/>
            <w:vAlign w:val="bottom"/>
          </w:tcPr>
          <w:p>
            <w:pPr>
              <w:spacing w:after="0"/>
              <w:rPr>
                <w:sz w:val="18"/>
                <w:szCs w:val="18"/>
                <w:color w:val="auto"/>
              </w:rPr>
            </w:pPr>
          </w:p>
        </w:tc>
        <w:tc>
          <w:tcPr>
            <w:tcW w:w="984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49"/>
        </w:trPr>
        <w:tc>
          <w:tcPr>
            <w:tcW w:w="10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840" w:type="dxa"/>
            <w:vAlign w:val="bottom"/>
          </w:tcPr>
          <w:p>
            <w:pPr>
              <w:ind w:left="4800"/>
              <w:spacing w:after="0" w:line="149"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40" w:type="dxa"/>
            <w:vAlign w:val="bottom"/>
          </w:tcPr>
          <w:p>
            <w:pPr>
              <w:spacing w:after="0"/>
              <w:rPr>
                <w:sz w:val="16"/>
                <w:szCs w:val="16"/>
                <w:color w:val="auto"/>
              </w:rPr>
            </w:pPr>
          </w:p>
        </w:tc>
      </w:tr>
      <w:tr>
        <w:trPr>
          <w:trHeight w:val="2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1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234"/>
        </w:trPr>
        <w:tc>
          <w:tcPr>
            <w:tcW w:w="1000" w:type="dxa"/>
            <w:vAlign w:val="bottom"/>
          </w:tcPr>
          <w:p>
            <w:pPr>
              <w:spacing w:after="0"/>
              <w:rPr>
                <w:sz w:val="20"/>
                <w:szCs w:val="20"/>
                <w:color w:val="auto"/>
              </w:rPr>
            </w:pP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690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6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240" w:top="121" w:right="6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and Consumer CLEC business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 w:leader="none" w:pos="7300" w:val="left"/>
        </w:tabs>
        <w:rPr>
          <w:sz w:val="20"/>
          <w:szCs w:val="20"/>
          <w:color w:val="auto"/>
        </w:rPr>
      </w:pPr>
      <w:r>
        <w:rPr>
          <w:rFonts w:ascii="Times New Roman" w:cs="Times New Roman" w:eastAsia="Times New Roman" w:hAnsi="Times New Roman"/>
          <w:sz w:val="18"/>
          <w:szCs w:val="18"/>
          <w:color w:val="auto"/>
        </w:rPr>
        <w:t>Date: November 14,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Wallace,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Communications Sales &amp; Leasing,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and Consumer CLEC business as of, and for, the periods presented in this report;</w:t>
      </w:r>
    </w:p>
    <w:p>
      <w:pPr>
        <w:spacing w:after="0" w:line="68"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860" w:val="left"/>
          <w:tab w:leader="none" w:pos="7540" w:val="left"/>
        </w:tabs>
        <w:rPr>
          <w:sz w:val="20"/>
          <w:szCs w:val="20"/>
          <w:color w:val="auto"/>
        </w:rPr>
      </w:pPr>
      <w:r>
        <w:rPr>
          <w:rFonts w:ascii="Times New Roman" w:cs="Times New Roman" w:eastAsia="Times New Roman" w:hAnsi="Times New Roman"/>
          <w:sz w:val="18"/>
          <w:szCs w:val="18"/>
          <w:color w:val="auto"/>
        </w:rPr>
        <w:t>Date: November 14,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Wallace</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Communications Sales &amp; Leasing, Inc. (the “Company”) for the period ending September 30, 2016 as filed with the Securities and Exchange Commission on the date hereof (the “Report”), I certify, pursuant to 18 U.S.C. § 1350, as adopted pursuant to § 906 of the Sarbanes-Oxley Act of 2002, to my knowledge, that:</w:t>
      </w:r>
    </w:p>
    <w:p>
      <w:pPr>
        <w:spacing w:after="0" w:line="68"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4860" w:val="left"/>
          <w:tab w:leader="none" w:pos="7300" w:val="left"/>
        </w:tabs>
        <w:rPr>
          <w:sz w:val="20"/>
          <w:szCs w:val="20"/>
          <w:color w:val="auto"/>
        </w:rPr>
      </w:pPr>
      <w:r>
        <w:rPr>
          <w:rFonts w:ascii="Times New Roman" w:cs="Times New Roman" w:eastAsia="Times New Roman" w:hAnsi="Times New Roman"/>
          <w:sz w:val="18"/>
          <w:szCs w:val="18"/>
          <w:color w:val="auto"/>
        </w:rPr>
        <w:t>Date: November 14,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Communications Sales &amp; Leasing, Inc. (the “Company”) for the period ending September 30, 2016 as filed with the Securities and Exchange Commission on the date hereof (the “Report”), I certify, pursuant to 18 U.S.C. § 1350, as adopted pursuant to § 906 of the Sarbanes-Oxley Act of 2002, to my knowledge, that:</w:t>
      </w:r>
    </w:p>
    <w:p>
      <w:pPr>
        <w:spacing w:after="0" w:line="68"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tabs>
          <w:tab w:leader="none" w:pos="4860" w:val="left"/>
          <w:tab w:leader="none" w:pos="7540" w:val="left"/>
        </w:tabs>
        <w:rPr>
          <w:sz w:val="20"/>
          <w:szCs w:val="20"/>
          <w:color w:val="auto"/>
        </w:rPr>
      </w:pPr>
      <w:r>
        <w:rPr>
          <w:rFonts w:ascii="Times New Roman" w:cs="Times New Roman" w:eastAsia="Times New Roman" w:hAnsi="Times New Roman"/>
          <w:sz w:val="18"/>
          <w:szCs w:val="18"/>
          <w:color w:val="auto"/>
        </w:rPr>
        <w:t>Date: November 14, 2016</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Mark A. Wallace</w:t>
      </w:r>
    </w:p>
    <w:p>
      <w:pPr>
        <w:spacing w:after="0" w:line="3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-125095</wp:posOffset>
            </wp:positionV>
            <wp:extent cx="39789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2019-12-29T09:10:27Z</dcterms:created>
  <dcterms:modified xsi:type="dcterms:W3CDTF">2019-12-29T09:10:27Z</dcterms:modified>
</cp:coreProperties>
</file>