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80" w:hanging="572"/>
        <w:spacing w:after="0" w:line="23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001-36708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6"/>
              </w:rPr>
              <w:t>Maryland</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3960" w:type="dxa"/>
            <w:vAlign w:val="bottom"/>
          </w:tcPr>
          <w:p>
            <w:pPr>
              <w:jc w:val="right"/>
              <w:ind w:right="1758"/>
              <w:spacing w:after="0"/>
              <w:rPr>
                <w:sz w:val="20"/>
                <w:szCs w:val="20"/>
                <w:color w:val="auto"/>
              </w:rPr>
            </w:pPr>
            <w:r>
              <w:rPr>
                <w:rFonts w:ascii="Arial" w:cs="Arial" w:eastAsia="Arial" w:hAnsi="Arial"/>
                <w:sz w:val="18"/>
                <w:szCs w:val="18"/>
                <w:b w:val="1"/>
                <w:bCs w:val="1"/>
                <w:color w:val="auto"/>
              </w:rPr>
              <w:t>46-5230630</w:t>
            </w:r>
          </w:p>
        </w:tc>
      </w:tr>
      <w:tr>
        <w:trPr>
          <w:trHeight w:val="148"/>
        </w:trPr>
        <w:tc>
          <w:tcPr>
            <w:tcW w:w="30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96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2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incorporation or organization)</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020" w:type="dxa"/>
            <w:vAlign w:val="bottom"/>
          </w:tcPr>
          <w:p>
            <w:pPr>
              <w:jc w:val="center"/>
              <w:ind w:right="277"/>
              <w:spacing w:after="0"/>
              <w:rPr>
                <w:sz w:val="20"/>
                <w:szCs w:val="20"/>
                <w:color w:val="auto"/>
              </w:rPr>
            </w:pPr>
            <w:r>
              <w:rPr>
                <w:rFonts w:ascii="Arial" w:cs="Arial" w:eastAsia="Arial" w:hAnsi="Arial"/>
                <w:sz w:val="18"/>
                <w:szCs w:val="18"/>
                <w:b w:val="1"/>
                <w:bCs w:val="1"/>
                <w:color w:val="auto"/>
                <w:w w:val="91"/>
              </w:rPr>
              <w:t>10802 Executive Center Drive</w:t>
            </w: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16"/>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89"/>
              </w:rPr>
              <w:t>Benton Building Suite 300</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2"/>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1"/>
              </w:rPr>
              <w:t>Little Rock, Arkansas</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jc w:val="right"/>
              <w:ind w:right="1958"/>
              <w:spacing w:after="0"/>
              <w:rPr>
                <w:sz w:val="20"/>
                <w:szCs w:val="20"/>
                <w:color w:val="auto"/>
              </w:rPr>
            </w:pPr>
            <w:r>
              <w:rPr>
                <w:rFonts w:ascii="Arial" w:cs="Arial" w:eastAsia="Arial" w:hAnsi="Arial"/>
                <w:sz w:val="18"/>
                <w:szCs w:val="18"/>
                <w:b w:val="1"/>
                <w:bCs w:val="1"/>
                <w:color w:val="auto"/>
              </w:rPr>
              <w:t>72211</w:t>
            </w:r>
          </w:p>
        </w:tc>
      </w:tr>
      <w:tr>
        <w:trPr>
          <w:trHeight w:val="186"/>
        </w:trPr>
        <w:tc>
          <w:tcPr>
            <w:tcW w:w="302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5"/>
              </w:rPr>
              <w:t>(Zip Code)</w:t>
            </w:r>
          </w:p>
        </w:tc>
      </w:tr>
      <w:tr>
        <w:trPr>
          <w:trHeight w:val="230"/>
        </w:trPr>
        <w:tc>
          <w:tcPr>
            <w:tcW w:w="9220" w:type="dxa"/>
            <w:vAlign w:val="bottom"/>
            <w:gridSpan w:val="4"/>
          </w:tcPr>
          <w:p>
            <w:pPr>
              <w:jc w:val="center"/>
              <w:ind w:right="838"/>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r>
      <w:tr>
        <w:trPr>
          <w:trHeight w:val="80"/>
        </w:trPr>
        <w:tc>
          <w:tcPr>
            <w:tcW w:w="3040" w:type="dxa"/>
            <w:vAlign w:val="bottom"/>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63"/>
        </w:trPr>
        <w:tc>
          <w:tcPr>
            <w:tcW w:w="9220" w:type="dxa"/>
            <w:vAlign w:val="bottom"/>
            <w:gridSpan w:val="4"/>
          </w:tcPr>
          <w:p>
            <w:pPr>
              <w:ind w:left="23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0"/>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88"/>
              </w:rPr>
              <w:t>Title of each class</w:t>
            </w:r>
          </w:p>
        </w:tc>
        <w:tc>
          <w:tcPr>
            <w:tcW w:w="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89"/>
              </w:rPr>
              <w:t>Name of each exchange on which registered</w:t>
            </w:r>
          </w:p>
        </w:tc>
      </w:tr>
      <w:tr>
        <w:trPr>
          <w:trHeight w:val="257"/>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90"/>
              </w:rPr>
              <w:t>Common Stock</w:t>
            </w:r>
          </w:p>
        </w:tc>
        <w:tc>
          <w:tcPr>
            <w:tcW w:w="2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93"/>
              </w:rPr>
              <w:t>The NASDAQ Global Select Market</w:t>
            </w:r>
          </w:p>
        </w:tc>
      </w:tr>
    </w:tbl>
    <w:p>
      <w:pPr>
        <w:spacing w:after="0" w:line="10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8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60" w:firstLine="51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29, 2021, the registrant had 233,448,317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subsidiaries, “Windstream”); the future prospects and financial health of Windstream;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effect of the Coronavirus Aid, Relief and Economic Security Act (the “CARES Act”), the Consolidated Appropriations Act of 2021 (the “2021 Appropriations Act”) and other tax related legislation on our tax position; our expectations regarding the future growth and demand of the telecommunication industry, future financing plans, business strategies, growth prospects, operating and financial performance, and our future liquidity needs and access to capital; our expectations regarding levels of capital expenditures; expectations regarding the deductibility of goodwill for tax purposes; our expectations regarding reclassification of accumulated other comprehensive income (loss) related to derivatives to interest expense; our expectations regarding the amortization of intangible assets; our expectations regarding remediation of the material weakness in our internal control over financial reporting as discussed in Part II, Item 9A of our Annual Report on Form 10-K filed with the U.S. Securities and Exchange Commission (“SEC”) on March 5, 2021, as amended by Amendment No. 1 thereto filed on Form 10-K/A with the SEC on March 30, 2021 (the “Annual Report”); and our expectations regarding the payment of dividends.</w:t>
      </w:r>
    </w:p>
    <w:p>
      <w:pPr>
        <w:spacing w:after="0" w:line="2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3"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1000" w:right="12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U.S. tax law and other federal, state or local laws, whether or not specific to REITs, including the impact of the 2017 U.S. tax reform legislation, the CARES Act, the Families First Coronavirus Response Act and the 2021 Appropriations Act;</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jc w:val="both"/>
        <w:ind w:left="1000" w:right="6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as well as those described from time to time in our future reports filed with the SEC.</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35"/>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760" w:type="dxa"/>
            <w:vAlign w:val="bottom"/>
            <w:gridSpan w:val="35"/>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340" w:type="dxa"/>
            <w:vAlign w:val="bottom"/>
            <w:gridSpan w:val="2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760" w:type="dxa"/>
            <w:vAlign w:val="bottom"/>
            <w:gridSpan w:val="35"/>
          </w:tcPr>
          <w:p>
            <w:pPr>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60" w:type="dxa"/>
            <w:vAlign w:val="bottom"/>
            <w:gridSpan w:val="35"/>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68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tcBorders>
              <w:top w:val="single" w:sz="8" w:color="0000EE"/>
            </w:tcBorders>
            <w:gridSpan w:val="3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3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tcBorders>
              <w:top w:val="single" w:sz="8" w:color="0000EE"/>
            </w:tcBorders>
            <w:gridSpan w:val="27"/>
          </w:tcPr>
          <w:p>
            <w:pPr>
              <w:ind w:left="120"/>
              <w:spacing w:after="0"/>
              <w:rPr>
                <w:rFonts w:ascii="Arial" w:cs="Arial" w:eastAsia="Arial" w:hAnsi="Arial"/>
                <w:sz w:val="18"/>
                <w:szCs w:val="18"/>
                <w:color w:val="auto"/>
              </w:rPr>
            </w:pPr>
            <w:r>
              <w:rPr>
                <w:rFonts w:ascii="Arial" w:cs="Arial" w:eastAsia="Arial" w:hAnsi="Arial"/>
                <w:sz w:val="18"/>
                <w:szCs w:val="18"/>
                <w:color w:val="auto"/>
              </w:rPr>
              <w:t>1.</w:t>
            </w:r>
            <w:hyperlink w:anchor="page10">
              <w:r>
                <w:rPr>
                  <w:rFonts w:ascii="Arial" w:cs="Arial" w:eastAsia="Arial" w:hAnsi="Arial"/>
                  <w:sz w:val="18"/>
                  <w:szCs w:val="18"/>
                  <w:color w:val="auto"/>
                </w:rPr>
                <w:t>Organization and Description of Business</w:t>
              </w:r>
            </w:hyperlink>
          </w:p>
        </w:tc>
        <w:tc>
          <w:tcPr>
            <w:tcW w:w="578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2.</w:t>
            </w:r>
            <w:hyperlink w:anchor="page10">
              <w:r>
                <w:rPr>
                  <w:rFonts w:ascii="Arial" w:cs="Arial" w:eastAsia="Arial" w:hAnsi="Arial"/>
                  <w:sz w:val="18"/>
                  <w:szCs w:val="18"/>
                  <w:color w:val="auto"/>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3.</w:t>
            </w:r>
            <w:hyperlink w:anchor="page12">
              <w:r>
                <w:rPr>
                  <w:rFonts w:ascii="Arial" w:cs="Arial" w:eastAsia="Arial" w:hAnsi="Arial"/>
                  <w:sz w:val="18"/>
                  <w:szCs w:val="18"/>
                  <w:color w:val="auto"/>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4.</w:t>
            </w:r>
            <w:hyperlink w:anchor="page14">
              <w:r>
                <w:rPr>
                  <w:rFonts w:ascii="Arial" w:cs="Arial" w:eastAsia="Arial" w:hAnsi="Arial"/>
                  <w:sz w:val="18"/>
                  <w:szCs w:val="18"/>
                  <w:color w:val="auto"/>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5.</w:t>
            </w:r>
            <w:hyperlink w:anchor="page17">
              <w:r>
                <w:rPr>
                  <w:rFonts w:ascii="Arial" w:cs="Arial" w:eastAsia="Arial" w:hAnsi="Arial"/>
                  <w:sz w:val="18"/>
                  <w:szCs w:val="18"/>
                  <w:color w:val="auto"/>
                </w:rPr>
                <w:t>Assets and Liabilities Held for Sale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6.</w:t>
            </w:r>
            <w:hyperlink w:anchor="page18">
              <w:r>
                <w:rPr>
                  <w:rFonts w:ascii="Arial" w:cs="Arial" w:eastAsia="Arial" w:hAnsi="Arial"/>
                  <w:sz w:val="18"/>
                  <w:szCs w:val="18"/>
                  <w:color w:val="auto"/>
                </w:rPr>
                <w:t>Investments in Unconsolidated Entities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7.</w:t>
            </w:r>
            <w:hyperlink w:anchor="page19">
              <w:r>
                <w:rPr>
                  <w:rFonts w:ascii="Arial" w:cs="Arial" w:eastAsia="Arial" w:hAnsi="Arial"/>
                  <w:sz w:val="18"/>
                  <w:szCs w:val="18"/>
                  <w:color w:val="auto"/>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8.</w:t>
            </w:r>
            <w:hyperlink w:anchor="page21">
              <w:r>
                <w:rPr>
                  <w:rFonts w:ascii="Arial" w:cs="Arial" w:eastAsia="Arial" w:hAnsi="Arial"/>
                  <w:sz w:val="18"/>
                  <w:szCs w:val="18"/>
                  <w:color w:val="auto"/>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9.</w:t>
            </w:r>
            <w:hyperlink w:anchor="page21">
              <w:r>
                <w:rPr>
                  <w:rFonts w:ascii="Arial" w:cs="Arial" w:eastAsia="Arial" w:hAnsi="Arial"/>
                  <w:sz w:val="18"/>
                  <w:szCs w:val="18"/>
                  <w:color w:val="auto"/>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5"/>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10.</w:t>
            </w:r>
            <w:hyperlink w:anchor="page23">
              <w:r>
                <w:rPr>
                  <w:rFonts w:ascii="Arial" w:cs="Arial" w:eastAsia="Arial" w:hAnsi="Arial"/>
                  <w:sz w:val="18"/>
                  <w:szCs w:val="18"/>
                  <w:color w:val="auto"/>
                </w:rPr>
                <w:t>Goodwill and Intangible Assets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11.</w:t>
            </w:r>
            <w:hyperlink w:anchor="page24">
              <w:r>
                <w:rPr>
                  <w:rFonts w:ascii="Arial" w:cs="Arial" w:eastAsia="Arial" w:hAnsi="Arial"/>
                  <w:sz w:val="18"/>
                  <w:szCs w:val="18"/>
                  <w:color w:val="auto"/>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12.</w:t>
            </w:r>
            <w:hyperlink w:anchor="page27">
              <w:r>
                <w:rPr>
                  <w:rFonts w:ascii="Arial" w:cs="Arial" w:eastAsia="Arial" w:hAnsi="Arial"/>
                  <w:sz w:val="18"/>
                  <w:szCs w:val="18"/>
                  <w:color w:val="auto"/>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13.</w:t>
            </w:r>
            <w:hyperlink w:anchor="page28">
              <w:r>
                <w:rPr>
                  <w:rFonts w:ascii="Arial" w:cs="Arial" w:eastAsia="Arial" w:hAnsi="Arial"/>
                  <w:sz w:val="18"/>
                  <w:szCs w:val="18"/>
                  <w:color w:val="auto"/>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14.</w:t>
            </w:r>
            <w:hyperlink w:anchor="page30">
              <w:r>
                <w:rPr>
                  <w:rFonts w:ascii="Arial" w:cs="Arial" w:eastAsia="Arial" w:hAnsi="Arial"/>
                  <w:sz w:val="18"/>
                  <w:szCs w:val="18"/>
                  <w:color w:val="auto"/>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15.</w:t>
            </w:r>
            <w:hyperlink w:anchor="page32">
              <w:r>
                <w:rPr>
                  <w:rFonts w:ascii="Arial" w:cs="Arial" w:eastAsia="Arial" w:hAnsi="Arial"/>
                  <w:sz w:val="18"/>
                  <w:szCs w:val="18"/>
                  <w:color w:val="auto"/>
                </w:rPr>
                <w:t>Accumulated Other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40" w:type="dxa"/>
            <w:vAlign w:val="bottom"/>
            <w:tcBorders>
              <w:left w:val="single" w:sz="8" w:color="auto"/>
            </w:tcBorders>
            <w:gridSpan w:val="10"/>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16.</w:t>
            </w:r>
            <w:hyperlink w:anchor="page32">
              <w:r>
                <w:rPr>
                  <w:rFonts w:ascii="Arial" w:cs="Arial" w:eastAsia="Arial" w:hAnsi="Arial"/>
                  <w:sz w:val="18"/>
                  <w:szCs w:val="18"/>
                  <w:color w:val="auto"/>
                </w:rPr>
                <w:t>Subsequent Events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3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tcBorders>
              <w:top w:val="single" w:sz="8" w:color="0000EE"/>
            </w:tcBorders>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w:t>
            </w:r>
            <w:hyperlink w:anchor="page34">
              <w:r>
                <w:rPr>
                  <w:rFonts w:ascii="Arial" w:cs="Arial" w:eastAsia="Arial" w:hAnsi="Arial"/>
                  <w:sz w:val="18"/>
                  <w:szCs w:val="18"/>
                  <w:color w:val="auto"/>
                </w:rPr>
                <w:t>Overview</w:t>
              </w:r>
            </w:hyperlink>
          </w:p>
        </w:tc>
        <w:tc>
          <w:tcPr>
            <w:tcW w:w="3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2.</w:t>
            </w:r>
            <w:hyperlink w:anchor="page36">
              <w:r>
                <w:rPr>
                  <w:rFonts w:ascii="Arial" w:cs="Arial" w:eastAsia="Arial" w:hAnsi="Arial"/>
                  <w:sz w:val="18"/>
                  <w:szCs w:val="18"/>
                  <w:color w:val="auto"/>
                </w:rPr>
                <w:t>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3.</w:t>
            </w:r>
            <w:hyperlink w:anchor="page43">
              <w:r>
                <w:rPr>
                  <w:rFonts w:ascii="Arial" w:cs="Arial" w:eastAsia="Arial" w:hAnsi="Arial"/>
                  <w:sz w:val="18"/>
                  <w:szCs w:val="18"/>
                  <w:color w:val="auto"/>
                </w:rPr>
                <w:t>Non-GAAP Financial Measures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4.</w:t>
            </w:r>
            <w:hyperlink w:anchor="page45">
              <w:r>
                <w:rPr>
                  <w:rFonts w:ascii="Arial" w:cs="Arial" w:eastAsia="Arial" w:hAnsi="Arial"/>
                  <w:sz w:val="18"/>
                  <w:szCs w:val="18"/>
                  <w:color w:val="auto"/>
                </w:rPr>
                <w:t>Liquidity and Capital Resources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540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3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15"/>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OTHER INFORMATION</w:t>
              </w:r>
            </w:hyperlink>
          </w:p>
        </w:tc>
        <w:tc>
          <w:tcPr>
            <w:tcW w:w="7740" w:type="dxa"/>
            <w:vAlign w:val="bottom"/>
            <w:gridSpan w:val="2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3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Risk Factors</w:t>
              </w:r>
            </w:hyperlink>
          </w:p>
        </w:tc>
        <w:tc>
          <w:tcPr>
            <w:tcW w:w="360" w:type="dxa"/>
            <w:vAlign w:val="bottom"/>
            <w:tcBorders>
              <w:top w:val="single" w:sz="8" w:color="0000EE"/>
            </w:tcBorders>
            <w:gridSpan w:val="2"/>
          </w:tcPr>
          <w:p>
            <w:pPr>
              <w:spacing w:after="0"/>
              <w:rPr>
                <w:sz w:val="18"/>
                <w:szCs w:val="18"/>
                <w:color w:val="auto"/>
              </w:rPr>
            </w:pPr>
          </w:p>
        </w:tc>
        <w:tc>
          <w:tcPr>
            <w:tcW w:w="8440" w:type="dxa"/>
            <w:vAlign w:val="bottom"/>
            <w:gridSpan w:val="2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Unregistered Sales of Equity Securities and Use of Proceeds</w:t>
              </w:r>
            </w:hyperlink>
          </w:p>
        </w:tc>
        <w:tc>
          <w:tcPr>
            <w:tcW w:w="542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Defaults Upon Senior Securities</w:t>
              </w:r>
            </w:hyperlink>
          </w:p>
        </w:tc>
        <w:tc>
          <w:tcPr>
            <w:tcW w:w="7380" w:type="dxa"/>
            <w:vAlign w:val="bottom"/>
            <w:gridSpan w:val="2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3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1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8000" w:type="dxa"/>
            <w:vAlign w:val="bottom"/>
            <w:gridSpan w:val="2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8460" w:type="dxa"/>
            <w:vAlign w:val="bottom"/>
            <w:gridSpan w:val="2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EE"/>
            </w:tcBorders>
          </w:tcPr>
          <w:p>
            <w:pPr>
              <w:spacing w:after="0"/>
              <w:rPr>
                <w:sz w:val="24"/>
                <w:szCs w:val="24"/>
                <w:color w:val="auto"/>
              </w:rPr>
            </w:pPr>
          </w:p>
        </w:tc>
        <w:tc>
          <w:tcPr>
            <w:tcW w:w="5980" w:type="dxa"/>
            <w:vAlign w:val="bottom"/>
            <w:gridSpan w:val="3"/>
          </w:tcPr>
          <w:p>
            <w:pPr>
              <w:jc w:val="center"/>
              <w:ind w:left="2610"/>
              <w:spacing w:after="0"/>
              <w:rPr>
                <w:sz w:val="20"/>
                <w:szCs w:val="20"/>
                <w:color w:val="auto"/>
              </w:rPr>
            </w:pPr>
            <w:r>
              <w:rPr>
                <w:rFonts w:ascii="Arial" w:cs="Arial" w:eastAsia="Arial" w:hAnsi="Arial"/>
                <w:sz w:val="18"/>
                <w:szCs w:val="18"/>
                <w:b w:val="1"/>
                <w:bCs w:val="1"/>
                <w:color w:val="auto"/>
              </w:rPr>
              <w:t>PART I—FINANCIAL INFORMATION</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5320" w:type="dxa"/>
            <w:vAlign w:val="bottom"/>
          </w:tcPr>
          <w:p>
            <w:pPr>
              <w:jc w:val="center"/>
              <w:ind w:left="3270"/>
              <w:spacing w:after="0"/>
              <w:rPr>
                <w:sz w:val="20"/>
                <w:szCs w:val="20"/>
                <w:color w:val="auto"/>
              </w:rPr>
            </w:pPr>
            <w:r>
              <w:rPr>
                <w:rFonts w:ascii="Arial" w:cs="Arial" w:eastAsia="Arial" w:hAnsi="Arial"/>
                <w:sz w:val="18"/>
                <w:szCs w:val="18"/>
                <w:b w:val="1"/>
                <w:bCs w:val="1"/>
                <w:color w:val="auto"/>
                <w:w w:val="94"/>
              </w:rPr>
              <w:t>Uniti Group Inc.</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980" w:type="dxa"/>
            <w:vAlign w:val="bottom"/>
            <w:gridSpan w:val="3"/>
          </w:tcPr>
          <w:p>
            <w:pPr>
              <w:jc w:val="center"/>
              <w:ind w:left="26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0" w:type="dxa"/>
            <w:vAlign w:val="bottom"/>
            <w:gridSpan w:val="2"/>
            <w:vMerge w:val="restart"/>
          </w:tcPr>
          <w:p>
            <w:pPr>
              <w:jc w:val="right"/>
              <w:ind w:right="84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Arial" w:cs="Arial" w:eastAsia="Arial" w:hAnsi="Arial"/>
                <w:sz w:val="18"/>
                <w:szCs w:val="18"/>
                <w:color w:val="auto"/>
              </w:rPr>
              <w:t>(Thousands, except par value)</w:t>
            </w:r>
          </w:p>
        </w:tc>
        <w:tc>
          <w:tcPr>
            <w:tcW w:w="140" w:type="dxa"/>
            <w:vAlign w:val="bottom"/>
          </w:tcPr>
          <w:p>
            <w:pPr>
              <w:spacing w:after="0"/>
              <w:rPr>
                <w:sz w:val="20"/>
                <w:szCs w:val="20"/>
                <w:color w:val="auto"/>
              </w:rPr>
            </w:pPr>
          </w:p>
        </w:tc>
        <w:tc>
          <w:tcPr>
            <w:tcW w:w="23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3,329,239</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3,273,353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122,466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51,485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387,013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390,725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108,208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152,883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Investment in unconsolidated entities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Deferred income tax assets,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87,750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4,781,759</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4,731,818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accrued expenses and other liabilities, net</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145,568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Settlement payable (Note 14)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398,887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418,840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liabilities, net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185,807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68,845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1,021,627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Derivative liability,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Deferred income tax liabilities,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Notes and other debt, net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4,988,890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Liabilities held for sale</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6,935,449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ind w:left="260"/>
              <w:spacing w:after="0"/>
              <w:rPr>
                <w:sz w:val="20"/>
                <w:szCs w:val="20"/>
                <w:color w:val="auto"/>
              </w:rPr>
            </w:pPr>
            <w:r>
              <w:rPr>
                <w:rFonts w:ascii="Arial" w:cs="Arial" w:eastAsia="Arial" w:hAnsi="Arial"/>
                <w:sz w:val="18"/>
                <w:szCs w:val="18"/>
                <w:color w:val="auto"/>
                <w:w w:val="94"/>
              </w:rPr>
              <w:t>Preferred stock, $0.0001 par value, 50,000 shares authorized, no shares issued and</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500,000 shares authorized, issued and outstanding:</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231,694 shares at March 31, 2021 and 231,262 at December 31, 2020</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1,150,550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1,209,141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(17,580)</w:t>
            </w: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(3,355,423)</w:t>
            </w:r>
          </w:p>
        </w:tc>
        <w:tc>
          <w:tcPr>
            <w:tcW w:w="180" w:type="dxa"/>
            <w:vAlign w:val="bottom"/>
          </w:tcPr>
          <w:p>
            <w:pPr>
              <w:spacing w:after="0"/>
              <w:rPr>
                <w:sz w:val="19"/>
                <w:szCs w:val="19"/>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(3,330,455)</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Uniti shareholders'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(2,222,430)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(2,141,658)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Operating partnership units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68,615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ind w:left="380"/>
              <w:spacing w:after="0"/>
              <w:rPr>
                <w:sz w:val="20"/>
                <w:szCs w:val="20"/>
                <w:color w:val="auto"/>
              </w:rPr>
            </w:pPr>
            <w:r>
              <w:rPr>
                <w:rFonts w:ascii="Arial" w:cs="Arial" w:eastAsia="Arial" w:hAnsi="Arial"/>
                <w:sz w:val="18"/>
                <w:szCs w:val="18"/>
                <w:color w:val="auto"/>
              </w:rPr>
              <w:t>Cumulative non-voting convertible preferred stock, $0.01 par value, 3 shares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authorized, 1 issued and outstanding</w:t>
            </w:r>
          </w:p>
        </w:tc>
        <w:tc>
          <w:tcPr>
            <w:tcW w:w="14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shareholders' deficit</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(2,153,690)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4,781,759</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4,731,818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0</wp:posOffset>
            </wp:positionV>
            <wp:extent cx="2777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-130175</wp:posOffset>
            </wp:positionV>
            <wp:extent cx="27774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8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Leasing</w:t>
            </w:r>
          </w:p>
        </w:tc>
        <w:tc>
          <w:tcPr>
            <w:tcW w:w="6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194,936</w:t>
            </w:r>
          </w:p>
        </w:tc>
        <w:tc>
          <w:tcPr>
            <w:tcW w:w="160" w:type="dxa"/>
            <w:vAlign w:val="bottom"/>
          </w:tcPr>
          <w:p>
            <w:pPr>
              <w:spacing w:after="0"/>
              <w:rPr>
                <w:sz w:val="19"/>
                <w:szCs w:val="19"/>
                <w:color w:val="auto"/>
              </w:rPr>
            </w:pP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Tower</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272,586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140,581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25,823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 amortization)</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Transaction related and other costs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5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b w:val="1"/>
                <w:bCs w:val="1"/>
                <w:color w:val="auto"/>
                <w:w w:val="99"/>
              </w:rPr>
              <w:t>Loss before income taxes and equity in earnings from unconsolidated entities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(7,457)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(84,842)</w:t>
            </w: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shareholders</w:t>
            </w: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18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Loss per common share: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96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231,469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 contracts</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(7,036)</w:t>
            </w:r>
          </w:p>
        </w:tc>
      </w:tr>
      <w:tr>
        <w:trPr>
          <w:trHeight w:val="229"/>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rate swap termination</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3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(1,673)</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(85,636)</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w:t>
            </w:r>
          </w:p>
        </w:tc>
        <w:tc>
          <w:tcPr>
            <w:tcW w:w="8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(1,508)</w:t>
            </w: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common shareholders</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(84,128)</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60"/>
              <w:spacing w:after="0" w:line="143" w:lineRule="exact"/>
              <w:rPr>
                <w:sz w:val="20"/>
                <w:szCs w:val="20"/>
                <w:color w:val="auto"/>
              </w:rPr>
            </w:pPr>
            <w:r>
              <w:rPr>
                <w:rFonts w:ascii="Arial" w:cs="Arial" w:eastAsia="Arial" w:hAnsi="Arial"/>
                <w:sz w:val="14"/>
                <w:szCs w:val="14"/>
                <w:color w:val="auto"/>
              </w:rPr>
              <w:t>Noncontrolling</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Distributions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Interest - Non-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in Excess of</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voting</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Comprehensive</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Interest - OP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Preferred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67"/>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(Thousands, except share data)</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Preferred Stock</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color w:val="auto"/>
              </w:rPr>
              <w:t>Common Stock</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5"/>
                <w:szCs w:val="15"/>
                <w:color w:val="auto"/>
              </w:rPr>
            </w:pPr>
          </w:p>
        </w:tc>
        <w:tc>
          <w:tcPr>
            <w:tcW w:w="700" w:type="dxa"/>
            <w:vAlign w:val="bottom"/>
            <w:gridSpan w:val="4"/>
          </w:tcPr>
          <w:p>
            <w:pPr>
              <w:spacing w:after="0" w:line="183" w:lineRule="exact"/>
              <w:rPr>
                <w:sz w:val="20"/>
                <w:szCs w:val="20"/>
                <w:color w:val="auto"/>
              </w:rPr>
            </w:pPr>
            <w:r>
              <w:rPr>
                <w:rFonts w:ascii="Arial" w:cs="Arial" w:eastAsia="Arial" w:hAnsi="Arial"/>
                <w:sz w:val="16"/>
                <w:szCs w:val="16"/>
                <w:color w:val="auto"/>
              </w:rPr>
              <w:t>Amount</w:t>
            </w:r>
          </w:p>
        </w:tc>
        <w:tc>
          <w:tcPr>
            <w:tcW w:w="1060" w:type="dxa"/>
            <w:vAlign w:val="bottom"/>
            <w:gridSpan w:val="4"/>
          </w:tcPr>
          <w:p>
            <w:pPr>
              <w:ind w:left="240"/>
              <w:spacing w:after="0" w:line="183"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5"/>
                <w:szCs w:val="15"/>
                <w:color w:val="auto"/>
              </w:rPr>
            </w:pPr>
          </w:p>
        </w:tc>
        <w:tc>
          <w:tcPr>
            <w:tcW w:w="700" w:type="dxa"/>
            <w:vAlign w:val="bottom"/>
            <w:gridSpan w:val="4"/>
          </w:tcPr>
          <w:p>
            <w:pPr>
              <w:spacing w:after="0" w:line="183" w:lineRule="exact"/>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8"/>
              </w:rPr>
              <w:t>192,141,634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951,295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(23,442)</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 (2,494,740)</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83,704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 (1,483,164)</w:t>
            </w: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(78,853)</w:t>
            </w: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(80,266)</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(5,275)</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(5,370)</w:t>
            </w: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(29,184)</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(29,184)</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(520)</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Cumulative non-voting</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Payments related to tax</w:t>
            </w: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withholding for share-based</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(373)</w:t>
            </w: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compensation</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95,609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43,849</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4"/>
                <w:szCs w:val="14"/>
                <w:color w:val="auto"/>
              </w:rPr>
              <w:t>Balance at March 31, 2020</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gridSpan w:val="2"/>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192,281,092</w:t>
            </w:r>
          </w:p>
        </w:tc>
        <w:tc>
          <w:tcPr>
            <w:tcW w:w="160" w:type="dxa"/>
            <w:vAlign w:val="bottom"/>
          </w:tcPr>
          <w:p>
            <w:pPr>
              <w:spacing w:after="0"/>
              <w:rPr>
                <w:sz w:val="19"/>
                <w:szCs w:val="19"/>
                <w:color w:val="auto"/>
              </w:rPr>
            </w:pPr>
          </w:p>
        </w:tc>
        <w:tc>
          <w:tcPr>
            <w:tcW w:w="300" w:type="dxa"/>
            <w:vAlign w:val="bottom"/>
            <w:gridSpan w:val="2"/>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954,223</w:t>
            </w:r>
          </w:p>
        </w:tc>
        <w:tc>
          <w:tcPr>
            <w:tcW w:w="1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(28,717)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 (2,602,777)</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81,676</w:t>
            </w:r>
          </w:p>
        </w:tc>
        <w:tc>
          <w:tcPr>
            <w:tcW w:w="1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 (1,595,451)</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8"/>
              </w:rPr>
              <w:t>231,261,958</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1,209,141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(20,367)</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 (3,330,455)</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69,157</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 (2,072,376)</w:t>
            </w: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Cumulative effect adjustment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for adoption of new accounting</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(59,908)</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14,598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(45,310)</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standard</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loss</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(4,438)</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(4,502)</w:t>
            </w: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2,787</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(35,128)</w:t>
            </w: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(35,128)</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Payments related to tax</w:t>
            </w: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withholding for share-based</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(2,306)</w:t>
            </w: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(2,306)</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compensation</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396,481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3,335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35,764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80" w:type="dxa"/>
            <w:vAlign w:val="bottom"/>
            <w:gridSpan w:val="2"/>
          </w:tcPr>
          <w:p>
            <w:pPr>
              <w:spacing w:after="0"/>
              <w:rPr>
                <w:sz w:val="20"/>
                <w:szCs w:val="20"/>
                <w:color w:val="auto"/>
              </w:rPr>
            </w:pPr>
            <w:r>
              <w:rPr>
                <w:rFonts w:ascii="Arial" w:cs="Arial" w:eastAsia="Arial" w:hAnsi="Arial"/>
                <w:sz w:val="14"/>
                <w:szCs w:val="14"/>
                <w:color w:val="auto"/>
              </w:rPr>
              <w:t>Balance at March 31, 2021</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231,694,203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1,150,550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(17,580)</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(3,355,423)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68,615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(2,153,690)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rPr>
              <w:t>Three Months Ended March 31,</w:t>
            </w: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9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(Thousands)</w:t>
            </w:r>
          </w:p>
        </w:tc>
        <w:tc>
          <w:tcPr>
            <w:tcW w:w="3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957"/>
              <w:spacing w:after="0" w:line="14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 from operating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(4,502)</w:t>
            </w:r>
          </w:p>
        </w:tc>
        <w:tc>
          <w:tcPr>
            <w:tcW w:w="860" w:type="dxa"/>
            <w:vAlign w:val="bottom"/>
          </w:tcPr>
          <w:p>
            <w:pPr>
              <w:jc w:val="right"/>
              <w:ind w:right="748"/>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(80,266)</w:t>
            </w:r>
          </w:p>
        </w:tc>
      </w:tr>
      <w:tr>
        <w:trPr>
          <w:trHeight w:val="149"/>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70,964</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86,121</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deferred financing costs and debt discount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4,959</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9,708</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Loss on debt extinguishment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37,965</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73,952</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rate swap termination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2,829</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1,666</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(3,428)</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(4,919)</w:t>
            </w: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in (earnings) loss of unconsolidated entities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(398)</w:t>
            </w: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Distributions of cumulative earnings from unconsolidated entities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960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interest rate swap settlement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(2,989)</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(269)</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Straight-line revenues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(6,906)</w:t>
            </w: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3,335</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2,995</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Change in fair value of contingent consideration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21</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1,495</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asset disposal</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1,923</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Accretion of settlement obligation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4,553</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(97)</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Changes in assets and liabilities, net of acquisitions: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11,466</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3,246</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38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47,630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(8,083)</w:t>
            </w:r>
          </w:p>
        </w:tc>
      </w:tr>
      <w:tr>
        <w:trPr>
          <w:trHeight w:val="148"/>
        </w:trPr>
        <w:tc>
          <w:tcPr>
            <w:tcW w:w="59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 accrued expenses and other liabilities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(40,110)</w:t>
            </w: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44,691</w:t>
            </w:r>
          </w:p>
        </w:tc>
        <w:tc>
          <w:tcPr>
            <w:tcW w:w="100" w:type="dxa"/>
            <w:vAlign w:val="bottom"/>
            <w:shd w:val="clear" w:color="auto" w:fill="CFF0FC"/>
          </w:tcPr>
          <w:p>
            <w:pPr>
              <w:spacing w:after="0"/>
              <w:rPr>
                <w:sz w:val="12"/>
                <w:szCs w:val="12"/>
                <w:color w:val="auto"/>
              </w:rPr>
            </w:pP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126,664</w:t>
            </w:r>
          </w:p>
        </w:tc>
        <w:tc>
          <w:tcPr>
            <w:tcW w:w="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132,272</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Capital expenditures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(84,377)</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(75,093)</w:t>
            </w:r>
          </w:p>
        </w:tc>
      </w:tr>
      <w:tr>
        <w:trPr>
          <w:trHeight w:val="142"/>
        </w:trPr>
        <w:tc>
          <w:tcPr>
            <w:tcW w:w="59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(84,377)</w:t>
            </w:r>
          </w:p>
        </w:tc>
        <w:tc>
          <w:tcPr>
            <w:tcW w:w="30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(75,093)</w:t>
            </w: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5980" w:type="dxa"/>
            <w:vAlign w:val="bottom"/>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 of debt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(1,051,181)</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(2,044,728)</w:t>
            </w: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issuance of notes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1,110,000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2,250,000</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Dividends paid</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(34,961)</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(42,519)</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Payment of settlement obligation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(24,505)</w:t>
            </w: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of contingent consideration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(2,979)</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(7,086)</w:t>
            </w: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Distributions paid to noncontrolling interest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(520)</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(762)</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105,000</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(55,000)</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(196,700)</w:t>
            </w: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Finance lease payments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(710)</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(1,026)</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Payments for financing costs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(22,931)</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(47,775)</w:t>
            </w: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tender premium</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(17,550)</w:t>
            </w: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Employee stock purchase program</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288</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related to tax withholding for share-based compensation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(2,306)</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(373)</w:t>
            </w: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2,645</w:t>
            </w:r>
          </w:p>
        </w:tc>
        <w:tc>
          <w:tcPr>
            <w:tcW w:w="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(90,663)</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Net increase (decrease) in cash and cash equivalents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44,932</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(33,484)</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at beginning of period</w:t>
            </w:r>
          </w:p>
        </w:tc>
        <w:tc>
          <w:tcPr>
            <w:tcW w:w="300" w:type="dxa"/>
            <w:vAlign w:val="bottom"/>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77,534</w:t>
            </w:r>
          </w:p>
        </w:tc>
        <w:tc>
          <w:tcPr>
            <w:tcW w:w="30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142,813</w:t>
            </w:r>
          </w:p>
        </w:tc>
        <w:tc>
          <w:tcPr>
            <w:tcW w:w="100" w:type="dxa"/>
            <w:vAlign w:val="bottom"/>
            <w:shd w:val="clear" w:color="auto" w:fill="CFF0FC"/>
          </w:tcPr>
          <w:p>
            <w:pPr>
              <w:spacing w:after="0"/>
              <w:rPr>
                <w:sz w:val="12"/>
                <w:szCs w:val="12"/>
                <w:color w:val="auto"/>
              </w:rPr>
            </w:pPr>
          </w:p>
        </w:tc>
      </w:tr>
      <w:tr>
        <w:trPr>
          <w:trHeight w:val="182"/>
        </w:trPr>
        <w:tc>
          <w:tcPr>
            <w:tcW w:w="59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and cash equivalents at end of period</w:t>
            </w:r>
          </w:p>
        </w:tc>
        <w:tc>
          <w:tcPr>
            <w:tcW w:w="30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122,466</w:t>
            </w:r>
          </w:p>
        </w:tc>
        <w:tc>
          <w:tcPr>
            <w:tcW w:w="3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ind w:right="748"/>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109,329</w:t>
            </w:r>
          </w:p>
        </w:tc>
        <w:tc>
          <w:tcPr>
            <w:tcW w:w="100" w:type="dxa"/>
            <w:vAlign w:val="bottom"/>
            <w:tcBorders>
              <w:bottom w:val="single" w:sz="8" w:color="CFF0FC"/>
            </w:tcBorders>
          </w:tcPr>
          <w:p>
            <w:pPr>
              <w:spacing w:after="0"/>
              <w:rPr>
                <w:sz w:val="15"/>
                <w:szCs w:val="15"/>
                <w:color w:val="auto"/>
              </w:rPr>
            </w:pPr>
          </w:p>
        </w:tc>
      </w:tr>
      <w:tr>
        <w:trPr>
          <w:trHeight w:val="129"/>
        </w:trPr>
        <w:tc>
          <w:tcPr>
            <w:tcW w:w="5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5980" w:type="dxa"/>
            <w:vAlign w:val="bottom"/>
          </w:tcPr>
          <w:p>
            <w:pPr>
              <w:spacing w:after="0"/>
              <w:rPr>
                <w:sz w:val="20"/>
                <w:szCs w:val="20"/>
                <w:color w:val="auto"/>
              </w:rPr>
            </w:pPr>
            <w:r>
              <w:rPr>
                <w:rFonts w:ascii="Arial" w:cs="Arial" w:eastAsia="Arial" w:hAnsi="Arial"/>
                <w:sz w:val="13"/>
                <w:szCs w:val="13"/>
                <w:color w:val="auto"/>
              </w:rPr>
              <w:t>Non-cash investing and financing activities: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Property and equipment acquired but not yet paid</w:t>
            </w:r>
          </w:p>
        </w:tc>
        <w:tc>
          <w:tcPr>
            <w:tcW w:w="840" w:type="dxa"/>
            <w:vAlign w:val="bottom"/>
            <w:gridSpan w:val="2"/>
            <w:shd w:val="clear" w:color="auto" w:fill="CFF0FC"/>
          </w:tcPr>
          <w:p>
            <w:pPr>
              <w:jc w:val="right"/>
              <w:ind w:right="428"/>
              <w:spacing w:after="0"/>
              <w:rPr>
                <w:sz w:val="20"/>
                <w:szCs w:val="20"/>
                <w:color w:val="auto"/>
              </w:rPr>
            </w:pPr>
            <w:r>
              <w:rPr>
                <w:rFonts w:ascii="Arial" w:cs="Arial" w:eastAsia="Arial" w:hAnsi="Arial"/>
                <w:sz w:val="13"/>
                <w:szCs w:val="13"/>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17,795</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748"/>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14,221</w:t>
            </w:r>
          </w:p>
        </w:tc>
        <w:tc>
          <w:tcPr>
            <w:tcW w:w="100" w:type="dxa"/>
            <w:vAlign w:val="bottom"/>
            <w:shd w:val="clear" w:color="auto" w:fill="CFF0FC"/>
          </w:tcPr>
          <w:p>
            <w:pPr>
              <w:spacing w:after="0"/>
              <w:rPr>
                <w:sz w:val="12"/>
                <w:szCs w:val="12"/>
                <w:color w:val="auto"/>
              </w:rPr>
            </w:pPr>
          </w:p>
        </w:tc>
      </w:tr>
      <w:tr>
        <w:trPr>
          <w:trHeight w:val="160"/>
        </w:trPr>
        <w:tc>
          <w:tcPr>
            <w:tcW w:w="5980" w:type="dxa"/>
            <w:vAlign w:val="bottom"/>
          </w:tcPr>
          <w:p>
            <w:pPr>
              <w:ind w:left="260"/>
              <w:spacing w:after="0"/>
              <w:rPr>
                <w:sz w:val="20"/>
                <w:szCs w:val="20"/>
                <w:color w:val="auto"/>
              </w:rPr>
            </w:pPr>
            <w:r>
              <w:rPr>
                <w:rFonts w:ascii="Arial" w:cs="Arial" w:eastAsia="Arial" w:hAnsi="Arial"/>
                <w:sz w:val="13"/>
                <w:szCs w:val="13"/>
                <w:color w:val="auto"/>
              </w:rPr>
              <w:t>Tenant capital improvements</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62,888</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36,444</w:t>
            </w:r>
          </w:p>
        </w:tc>
        <w:tc>
          <w:tcPr>
            <w:tcW w:w="1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internally managed real estate investment trust (“REIT”) engaged in the acquisition and construction of mission critical infrastructure in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industry. We are principally focused on acquiring and constructing fiber optic, copper and coaxial broadband networks and data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centers. We have historically managed our operations in four separate lines of business: Uniti Fiber, Uniti Towers, Uniti Leasing, and the Consumer CLEC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On June 1, 2020, the Company completed the sale of its Uniti Towers business, and as of the end of the second quarter of 2020,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substantially completed the wind down of its Consumer CLEC business. As a result, effective January 1, 2021, we manage our operations focused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two primary lines of business: Uniti Fiber and Uniti Leasing.</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March 31, 2021, we are the sole general partner of the Operating Partnership and own approximately 98.5% of the partnership interests in the Operating Partnership.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U.S. Securities and Exchange Commission (“SEC”) on March 5, 2021, as amended by Amendment No. 1 thereto filed on Form 10-K/A with the SEC on March 30, 2021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u w:val="single" w:color="auto"/>
          <w:color w:val="auto"/>
        </w:rPr>
        <w:t>Concentration of Credit Risks</w:t>
      </w:r>
      <w:r>
        <w:rPr>
          <w:rFonts w:ascii="Arial" w:cs="Arial" w:eastAsia="Arial" w:hAnsi="Arial"/>
          <w:sz w:val="16"/>
          <w:szCs w:val="16"/>
          <w:color w:val="auto"/>
        </w:rPr>
        <w:t>—Prior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Revenue under the Windstream Leases and the Master Lease provided 66.3% and 65.1% of our revenue for the three months ended March 31, 2021 and 2020,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Additionally, the Windstream audited financial statements as of December 31, 2020 and for the period from September 22, 2020 to December 31, 2020 and as of December 31, 2019 and for the period from January 1, 2020 to September 21, 2020 and for each of the two years in the period ended December 31, 2019 are included as an exhibit to our Annual Report. On September 22, 2020, Windstream filed a Form 15 to terminate all filing obligations under Sections 12(g) and 15(d) under the Exchange Act. Windstream filings are not incorporated by reference in this Quarterly Report on Form 10-Q.</w:t>
      </w:r>
    </w:p>
    <w:p>
      <w:pPr>
        <w:spacing w:after="0" w:line="1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In order to assist us in our continuing assessment of Windstream’s creditworthiness, we periodically receive certain confidential financial information and metrics from Windstream.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470- 20)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ASU 2020-06 (1)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(“EPS”) for convertible instruments by using the if-converted method.</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entities must presume share settlement for purposes of calculating diluted EPS when an instrument may be settled in cash or shares. ASU 2020-06 is effective for fiscal years beginning after December 15, 2021, and interim periods within those fiscal years, with early adoption permitted. The Company elected to early adopt the guidance ASU 2020-06 as of January 1, 2021 using the modified retrospective transition method. Pursuant to the transition guidance, the Company is required to apply the guidance to all impacted financial instruments that were outstanding as of January 1, 2021 with the cumulative effect recognized as an adjustment to the opening balance of retained earnings.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a result of early adopting ASU 2020-06, the Company made certain adjustments to its accounting for the outstanding exchangeable senior unsecured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 January 1, 2021. Because of this adoption, the effective interest rate on the exchangeable senior unsecured notes went from 11.1% to 4.8%. Additional paid-in-capital was reduced by $59.9 million and deferred tax liabilities were reduced by $15.8 million. Approximately $14.6 million of cumulative effect of adoption was recognized to the opening balance of retained earnings as of January 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following is a description of principal activities, separated by reportable segments </w:t>
      </w:r>
      <w:hyperlink w:anchor="page28">
        <w:r>
          <w:rPr>
            <w:rFonts w:ascii="Arial" w:cs="Arial" w:eastAsia="Arial" w:hAnsi="Arial"/>
            <w:sz w:val="16"/>
            <w:szCs w:val="16"/>
            <w:u w:val="single" w:color="auto"/>
            <w:color w:val="0000EE"/>
          </w:rPr>
          <w:t>(see 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from which the Company generates its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right="2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Leasing revenue represents the results from our leasing program, Uniti Leasing, which is engaged in the acquisition of mission-critical communications assets and leasing them to anchor customers on either an exclusive or shared-tenant basis. </w:t>
      </w:r>
      <w:hyperlink w:anchor="page14">
        <w:r>
          <w:rPr>
            <w:rFonts w:ascii="Arial" w:cs="Arial" w:eastAsia="Arial" w:hAnsi="Arial"/>
            <w:sz w:val="18"/>
            <w:szCs w:val="18"/>
            <w:u w:val="single" w:color="auto"/>
            <w:color w:val="auto"/>
          </w:rPr>
          <w:t>See Note 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-45085</wp:posOffset>
            </wp:positionV>
            <wp:extent cx="529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38" w:lineRule="exact"/>
        <w:rPr>
          <w:sz w:val="20"/>
          <w:szCs w:val="20"/>
          <w:color w:val="auto"/>
        </w:rPr>
      </w:pPr>
    </w:p>
    <w:p>
      <w:pPr>
        <w:ind w:left="880" w:right="2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78" w:lineRule="exact"/>
        <w:rPr>
          <w:rFonts w:ascii="Arial" w:cs="Arial" w:eastAsia="Arial" w:hAnsi="Arial"/>
          <w:sz w:val="18"/>
          <w:szCs w:val="18"/>
          <w:color w:val="auto"/>
        </w:rPr>
      </w:pPr>
    </w:p>
    <w:p>
      <w:pPr>
        <w:ind w:left="880" w:right="8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78" w:lineRule="exact"/>
        <w:rPr>
          <w:rFonts w:ascii="Arial" w:cs="Arial" w:eastAsia="Arial" w:hAnsi="Arial"/>
          <w:sz w:val="18"/>
          <w:szCs w:val="18"/>
          <w:color w:val="auto"/>
        </w:rPr>
      </w:pPr>
    </w:p>
    <w:p>
      <w:pPr>
        <w:ind w:left="880" w:hanging="508"/>
        <w:spacing w:after="0" w:line="25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79" w:lineRule="exact"/>
        <w:rPr>
          <w:rFonts w:ascii="Arial" w:cs="Arial" w:eastAsia="Arial" w:hAnsi="Arial"/>
          <w:sz w:val="18"/>
          <w:szCs w:val="18"/>
          <w:color w:val="auto"/>
        </w:rPr>
      </w:pPr>
    </w:p>
    <w:p>
      <w:pPr>
        <w:ind w:left="880" w:right="280" w:hanging="508"/>
        <w:spacing w:after="0" w:line="301"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49" w:lineRule="exact"/>
        <w:rPr>
          <w:rFonts w:ascii="Arial" w:cs="Arial" w:eastAsia="Arial" w:hAnsi="Arial"/>
          <w:sz w:val="16"/>
          <w:szCs w:val="16"/>
          <w:color w:val="auto"/>
        </w:rPr>
      </w:pPr>
    </w:p>
    <w:p>
      <w:pPr>
        <w:ind w:left="880" w:right="18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under ASC 842 and are outside the scope of Topic 606. When (a) a customer makes an advance payment or (b)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78" w:lineRule="exact"/>
        <w:rPr>
          <w:rFonts w:ascii="Arial" w:cs="Arial" w:eastAsia="Arial" w:hAnsi="Arial"/>
          <w:sz w:val="18"/>
          <w:szCs w:val="18"/>
          <w:color w:val="auto"/>
        </w:rPr>
      </w:pPr>
    </w:p>
    <w:p>
      <w:pPr>
        <w:ind w:left="880" w:right="120" w:hanging="508"/>
        <w:spacing w:after="0" w:line="241" w:lineRule="auto"/>
        <w:tabs>
          <w:tab w:leader="none" w:pos="8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880" w:right="140"/>
        <w:spacing w:after="0" w:line="277" w:lineRule="auto"/>
        <w:rPr>
          <w:sz w:val="20"/>
          <w:szCs w:val="20"/>
          <w:color w:val="auto"/>
        </w:rPr>
      </w:pPr>
      <w:r>
        <w:rPr>
          <w:rFonts w:ascii="Arial" w:cs="Arial" w:eastAsia="Arial" w:hAnsi="Arial"/>
          <w:sz w:val="18"/>
          <w:szCs w:val="18"/>
          <w:color w:val="auto"/>
        </w:rPr>
        <w:t>telecommunications services, including broadband, long distance, and enhanced services are recognized over time in a pattern that reflects the satisfaction of the service performance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Towers segment represents the operations of our former towers business, Uniti Towers, through which we acquired and constructed tower and tower-related real estate, which we then leased to our customers in the United States and Latin America. Revenue from our towers business qualifies as a lease under ASC 842 and is outside the scope of Topic 606. Starting in 2019, the Company completed a series of transactions to largely divest of its towers business: on April 2, 2019, May 23, 2019 and June 1, 2020, the Company completed the sales of its Latin American business, substantially all of its U.S. ground lease business, and its U.S. tower business,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Consumer CLEC segment represents the operations of Talk America Services (“Talk America”) through which we operated the Consumer CLEC Business, which provided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 As of the end of the second quarter of 2020, we substantially completed a wind down of our Consumer CLEC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Disaggregation of Revenue</w:t>
            </w:r>
          </w:p>
        </w:tc>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820" w:type="dxa"/>
            <w:vAlign w:val="bottom"/>
            <w:gridSpan w:val="2"/>
          </w:tcPr>
          <w:p>
            <w:pPr>
              <w:spacing w:after="0"/>
              <w:rPr>
                <w:sz w:val="20"/>
                <w:szCs w:val="20"/>
                <w:color w:val="auto"/>
              </w:rPr>
            </w:pPr>
            <w:r>
              <w:rPr>
                <w:rFonts w:ascii="Arial" w:cs="Arial" w:eastAsia="Arial" w:hAnsi="Arial"/>
                <w:sz w:val="18"/>
                <w:szCs w:val="18"/>
                <w:color w:val="auto"/>
              </w:rPr>
              <w:t>The following table presents our revenues disaggregated by revenue stream.</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9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Revenue from contracts with customers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Lit backhaul</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25,044</w:t>
            </w:r>
          </w:p>
        </w:tc>
        <w:tc>
          <w:tcPr>
            <w:tcW w:w="3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28,192</w:t>
            </w:r>
          </w:p>
        </w:tc>
        <w:tc>
          <w:tcPr>
            <w:tcW w:w="100" w:type="dxa"/>
            <w:vAlign w:val="bottom"/>
          </w:tcPr>
          <w:p>
            <w:pPr>
              <w:spacing w:after="0"/>
              <w:rPr>
                <w:sz w:val="19"/>
                <w:szCs w:val="19"/>
                <w:color w:val="auto"/>
              </w:rPr>
            </w:pPr>
          </w:p>
        </w:tc>
      </w:tr>
      <w:tr>
        <w:trPr>
          <w:trHeight w:val="229"/>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19,364</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19"/>
                <w:szCs w:val="19"/>
                <w:color w:val="auto"/>
              </w:rPr>
            </w:pPr>
          </w:p>
        </w:tc>
      </w:tr>
      <w:tr>
        <w:trPr>
          <w:trHeight w:val="230"/>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3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Fiber Infrastructure</w:t>
            </w:r>
          </w:p>
        </w:tc>
        <w:tc>
          <w:tcPr>
            <w:tcW w:w="2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66,224</w:t>
            </w:r>
          </w:p>
        </w:tc>
        <w:tc>
          <w:tcPr>
            <w:tcW w:w="3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68,935</w:t>
            </w:r>
          </w:p>
        </w:tc>
        <w:tc>
          <w:tcPr>
            <w:tcW w:w="100" w:type="dxa"/>
            <w:vAlign w:val="bottom"/>
          </w:tcPr>
          <w:p>
            <w:pPr>
              <w:spacing w:after="0"/>
              <w:rPr>
                <w:sz w:val="19"/>
                <w:szCs w:val="19"/>
                <w:color w:val="auto"/>
              </w:rPr>
            </w:pPr>
          </w:p>
        </w:tc>
      </w:tr>
      <w:tr>
        <w:trPr>
          <w:trHeight w:val="230"/>
        </w:trPr>
        <w:tc>
          <w:tcPr>
            <w:tcW w:w="6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Leasing</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67,391</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69,618</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205,195</w:t>
            </w: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196,544</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272,586</w:t>
            </w:r>
          </w:p>
        </w:tc>
        <w:tc>
          <w:tcPr>
            <w:tcW w:w="3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2021, and December 31, 2020, lease receivables were $19.1 million and $17.5 million, respectively, and receivables from contracts with customers were $32.2 million and $45.1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Contract assets primarily consist of unbilled construction revenue where we are utilizing our costs incurred as the measure of progress of satisfying our performance obligation, contract assets are reported within accounts receivable, net on our Consolidated Balance Sheet.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network and then are recognized as service revenues ratably over a period in which substantive services required under the revenue arrangement are expected to be performed, which is the initial term of the arrangement. During the three months ended March 31, 2021, we recognized revenues of $5.1 million, which was included in the December 31, 2020 contract liabilities balance.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 Liabilities</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March 31, 2021, our future revenues (i.e., transaction price related to remaining performance obligations) under contract accounted for under Topic 606 totaled $461.7 million, of which $396.4 million is related to contracts that are currently being invoiced and have an average remaining contract term of 1.8 years, while $65.3 million represents our backlog for sales bookings which have yet to be installed and have an average remaining contract term of 6.6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exclude from the transaction price any amounts collected from customers for sales taxes and therefore, such amounts are not included in 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lease communications towers, ground, colocation,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months ended March 31, 2021 and 2020, respectively,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4"/>
                <w:szCs w:val="14"/>
                <w:color w:val="auto"/>
              </w:rPr>
              <w:t>(Thousands)</w:t>
            </w:r>
          </w:p>
        </w:tc>
        <w:tc>
          <w:tcPr>
            <w:tcW w:w="4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jc w:val="right"/>
              <w:ind w:right="75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9"/>
                <w:szCs w:val="19"/>
                <w:color w:val="auto"/>
              </w:rPr>
            </w:pPr>
          </w:p>
        </w:tc>
      </w:tr>
      <w:tr>
        <w:trPr>
          <w:trHeight w:val="223"/>
        </w:trPr>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2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205,195</w:t>
            </w:r>
          </w:p>
        </w:tc>
        <w:tc>
          <w:tcPr>
            <w:tcW w:w="3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196,544</w:t>
            </w:r>
          </w:p>
        </w:tc>
        <w:tc>
          <w:tcPr>
            <w:tcW w:w="100" w:type="dxa"/>
            <w:vAlign w:val="bottom"/>
            <w:tcBorders>
              <w:top w:val="single" w:sz="8" w:color="CFF0FC"/>
            </w:tcBorders>
            <w:shd w:val="clear" w:color="auto" w:fill="CFF0FC"/>
          </w:tcPr>
          <w:p>
            <w:pPr>
              <w:spacing w:after="0"/>
              <w:rPr>
                <w:sz w:val="19"/>
                <w:szCs w:val="19"/>
                <w:color w:val="auto"/>
              </w:rPr>
            </w:pPr>
          </w:p>
        </w:tc>
      </w:tr>
      <w:tr>
        <w:trPr>
          <w:trHeight w:val="918"/>
        </w:trPr>
        <w:tc>
          <w:tcPr>
            <w:tcW w:w="3920" w:type="dxa"/>
            <w:vAlign w:val="bottom"/>
          </w:tcPr>
          <w:p>
            <w:pPr>
              <w:spacing w:after="0"/>
              <w:rPr>
                <w:sz w:val="24"/>
                <w:szCs w:val="24"/>
                <w:color w:val="auto"/>
              </w:rPr>
            </w:pPr>
          </w:p>
        </w:tc>
        <w:tc>
          <w:tcPr>
            <w:tcW w:w="2820" w:type="dxa"/>
            <w:vAlign w:val="bottom"/>
          </w:tcPr>
          <w:p>
            <w:pPr>
              <w:jc w:val="right"/>
              <w:ind w:right="939"/>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March 31, 2021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4"/>
                <w:szCs w:val="14"/>
                <w:color w:val="auto"/>
              </w:rPr>
            </w:pPr>
          </w:p>
        </w:tc>
        <w:tc>
          <w:tcPr>
            <w:tcW w:w="2200" w:type="dxa"/>
            <w:vAlign w:val="bottom"/>
            <w:gridSpan w:val="2"/>
          </w:tcPr>
          <w:p>
            <w:pPr>
              <w:ind w:left="280"/>
              <w:spacing w:after="0"/>
              <w:rPr>
                <w:sz w:val="20"/>
                <w:szCs w:val="20"/>
                <w:color w:val="auto"/>
              </w:rPr>
            </w:pPr>
            <w:r>
              <w:rPr>
                <w:rFonts w:ascii="Arial" w:cs="Arial" w:eastAsia="Arial" w:hAnsi="Arial"/>
                <w:sz w:val="14"/>
                <w:szCs w:val="14"/>
                <w:b w:val="1"/>
                <w:bCs w:val="1"/>
                <w:color w:val="auto"/>
              </w:rPr>
              <w:t xml:space="preserve">March 31, 2021 </w:t>
            </w:r>
            <w:r>
              <w:rPr>
                <w:rFonts w:ascii="Arial" w:cs="Arial" w:eastAsia="Arial" w:hAnsi="Arial"/>
                <w:sz w:val="12"/>
                <w:szCs w:val="12"/>
                <w:b w:val="1"/>
                <w:bCs w:val="1"/>
                <w:color w:val="auto"/>
              </w:rPr>
              <w:t>(1)</w:t>
            </w:r>
          </w:p>
        </w:tc>
      </w:tr>
      <w:tr>
        <w:trPr>
          <w:trHeight w:val="223"/>
        </w:trPr>
        <w:tc>
          <w:tcPr>
            <w:tcW w:w="8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551,099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748,612</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750,261</w:t>
            </w:r>
          </w:p>
        </w:tc>
        <w:tc>
          <w:tcPr>
            <w:tcW w:w="120" w:type="dxa"/>
            <w:vAlign w:val="bottom"/>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750,839</w:t>
            </w:r>
          </w:p>
        </w:tc>
        <w:tc>
          <w:tcPr>
            <w:tcW w:w="12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751,855</w:t>
            </w:r>
          </w:p>
        </w:tc>
        <w:tc>
          <w:tcPr>
            <w:tcW w:w="120" w:type="dxa"/>
            <w:vAlign w:val="bottom"/>
            <w:shd w:val="clear" w:color="auto" w:fill="CFF0FC"/>
          </w:tcPr>
          <w:p>
            <w:pPr>
              <w:spacing w:after="0"/>
              <w:rPr>
                <w:sz w:val="19"/>
                <w:szCs w:val="19"/>
                <w:color w:val="auto"/>
              </w:rPr>
            </w:pPr>
          </w:p>
        </w:tc>
      </w:tr>
      <w:tr>
        <w:trPr>
          <w:trHeight w:val="230"/>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3,651,772</w:t>
            </w:r>
          </w:p>
        </w:tc>
        <w:tc>
          <w:tcPr>
            <w:tcW w:w="120" w:type="dxa"/>
            <w:vAlign w:val="bottom"/>
            <w:tcBorders>
              <w:bottom w:val="single" w:sz="8" w:color="CFF0FC"/>
            </w:tcBorders>
          </w:tcPr>
          <w:p>
            <w:pPr>
              <w:spacing w:after="0"/>
              <w:rPr>
                <w:sz w:val="19"/>
                <w:szCs w:val="19"/>
                <w:color w:val="auto"/>
              </w:rPr>
            </w:pPr>
          </w:p>
        </w:tc>
      </w:tr>
      <w:tr>
        <w:trPr>
          <w:trHeight w:val="223"/>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7,204,438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3240" w:firstLine="8"/>
        <w:spacing w:after="0" w:line="602" w:lineRule="auto"/>
        <w:tabs>
          <w:tab w:leader="none" w:pos="223" w:val="left"/>
        </w:tabs>
        <w:numPr>
          <w:ilvl w:val="0"/>
          <w:numId w:val="6"/>
        </w:numPr>
        <w:rPr>
          <w:rFonts w:ascii="Arial" w:cs="Arial" w:eastAsia="Arial" w:hAnsi="Arial"/>
          <w:sz w:val="13"/>
          <w:szCs w:val="13"/>
          <w:color w:val="auto"/>
        </w:rPr>
      </w:pPr>
      <w:r>
        <w:rPr>
          <w:rFonts w:ascii="Arial" w:cs="Arial" w:eastAsia="Arial" w:hAnsi="Arial"/>
          <w:sz w:val="16"/>
          <w:szCs w:val="16"/>
          <w:color w:val="auto"/>
        </w:rPr>
        <w:t>Total future minimum lease payments to be received include $6.2 billion relating to the Windstream Leases. The underlying assets under operating leases where we are the lessor are summarized as follows:</w:t>
      </w: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335,534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335,495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Poles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Fiber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3,042,228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2,994,465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Copper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3,881,801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3,850,988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Conduit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Tower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7,691,193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7,608,978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(5,268,648)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(5,222,731)</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Underlying assets under operating leases, net</w:t>
            </w:r>
            <w:r>
              <w:rPr>
                <w:rFonts w:ascii="Arial" w:cs="Arial" w:eastAsia="Arial" w:hAnsi="Arial"/>
                <w:sz w:val="15"/>
                <w:szCs w:val="15"/>
                <w:color w:val="auto"/>
              </w:rPr>
              <w:t>(1)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2,422,545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2,386,247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5"/>
                <w:szCs w:val="15"/>
                <w:color w:val="auto"/>
                <w:w w:val="96"/>
              </w:rPr>
              <w:t>(1)</w:t>
            </w:r>
            <w:r>
              <w:rPr>
                <w:rFonts w:ascii="Arial" w:cs="Arial" w:eastAsia="Arial" w:hAnsi="Arial"/>
                <w:sz w:val="17"/>
                <w:szCs w:val="17"/>
                <w:color w:val="auto"/>
                <w:w w:val="96"/>
              </w:rPr>
              <w:t>Includes $4.5 million assets under operating leases in Held for Sale as of March 31, 2021.</w:t>
            </w: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months ended March 31, 2021 and 2020, respectively, is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jc w:val="right"/>
              <w:ind w:right="75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9"/>
                <w:szCs w:val="19"/>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 expense for underlying assets under operating leases</w:t>
            </w:r>
          </w:p>
        </w:tc>
        <w:tc>
          <w:tcPr>
            <w:tcW w:w="1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45,913</w:t>
            </w:r>
          </w:p>
        </w:tc>
        <w:tc>
          <w:tcPr>
            <w:tcW w:w="3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Lessee Accounting</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commitments under operating leases for communications towers, ground, colocation, dark fiber lease arrangements, and buildings. We also have finance leases for dark fiber lease arrangements and other communications equipment. Our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have short term lease commitments amounting to approximately $2.6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months ended March 31, 2021 and 2020, respectively, are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10"/>
          </w:tcPr>
          <w:p>
            <w:pPr>
              <w:jc w:val="right"/>
              <w:ind w:right="12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3020" w:type="dxa"/>
            <w:vAlign w:val="bottom"/>
            <w:gridSpan w:val="4"/>
          </w:tcPr>
          <w:p>
            <w:pPr>
              <w:jc w:val="right"/>
              <w:ind w:right="5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1,362</w:t>
            </w:r>
          </w:p>
        </w:tc>
        <w:tc>
          <w:tcPr>
            <w:tcW w:w="220" w:type="dxa"/>
            <w:vAlign w:val="bottom"/>
          </w:tcPr>
          <w:p>
            <w:pPr>
              <w:spacing w:after="0"/>
              <w:rPr>
                <w:sz w:val="19"/>
                <w:szCs w:val="19"/>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40"/>
              <w:spacing w:after="0"/>
              <w:rPr>
                <w:sz w:val="20"/>
                <w:szCs w:val="20"/>
                <w:color w:val="auto"/>
              </w:rPr>
            </w:pPr>
            <w:r>
              <w:rPr>
                <w:rFonts w:ascii="Arial" w:cs="Arial" w:eastAsia="Arial" w:hAnsi="Arial"/>
                <w:sz w:val="18"/>
                <w:szCs w:val="18"/>
                <w:color w:val="auto"/>
              </w:rPr>
              <w:t>Total finance lease cost</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Less sublease income</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gridSpan w:val="8"/>
          </w:tcPr>
          <w:p>
            <w:pPr>
              <w:spacing w:after="0"/>
              <w:rPr>
                <w:sz w:val="20"/>
                <w:szCs w:val="20"/>
                <w:color w:val="auto"/>
              </w:rPr>
            </w:pPr>
            <w:r>
              <w:rPr>
                <w:rFonts w:ascii="Arial" w:cs="Arial" w:eastAsia="Arial" w:hAnsi="Arial"/>
                <w:sz w:val="18"/>
                <w:szCs w:val="18"/>
                <w:color w:val="auto"/>
                <w:w w:val="92"/>
              </w:rPr>
              <w:t>Amounts reported in the Condensed Consolidated Balance Sheets for leases where we are the lessee were as follows:</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Location on Condensed Consolidated Balance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8"/>
              </w:rPr>
              <w:t>March 31, 2021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880" w:type="dxa"/>
            <w:vAlign w:val="bottom"/>
            <w:gridSpan w:val="3"/>
          </w:tcPr>
          <w:p>
            <w:pPr>
              <w:jc w:val="right"/>
              <w:ind w:right="1170"/>
              <w:spacing w:after="0"/>
              <w:rPr>
                <w:sz w:val="20"/>
                <w:szCs w:val="20"/>
                <w:color w:val="auto"/>
              </w:rPr>
            </w:pPr>
            <w:r>
              <w:rPr>
                <w:rFonts w:ascii="Arial" w:cs="Arial" w:eastAsia="Arial" w:hAnsi="Arial"/>
                <w:sz w:val="14"/>
                <w:szCs w:val="14"/>
                <w:b w:val="1"/>
                <w:bCs w:val="1"/>
                <w:color w:val="auto"/>
              </w:rPr>
              <w:t>Sheets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Operating leases</w:t>
            </w:r>
          </w:p>
        </w:tc>
        <w:tc>
          <w:tcPr>
            <w:tcW w:w="14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ROU assets, net</w:t>
            </w:r>
            <w:r>
              <w:rPr>
                <w:rFonts w:ascii="Arial" w:cs="Arial" w:eastAsia="Arial" w:hAnsi="Arial"/>
                <w:sz w:val="15"/>
                <w:szCs w:val="15"/>
                <w:color w:val="auto"/>
              </w:rPr>
              <w:t>(1)</w:t>
            </w:r>
          </w:p>
        </w:tc>
        <w:tc>
          <w:tcPr>
            <w:tcW w:w="3020" w:type="dxa"/>
            <w:vAlign w:val="bottom"/>
            <w:gridSpan w:val="4"/>
          </w:tcPr>
          <w:p>
            <w:pPr>
              <w:ind w:left="140"/>
              <w:spacing w:after="0"/>
              <w:rPr>
                <w:sz w:val="20"/>
                <w:szCs w:val="20"/>
                <w:color w:val="auto"/>
              </w:rPr>
            </w:pPr>
            <w:r>
              <w:rPr>
                <w:rFonts w:ascii="Arial" w:cs="Arial" w:eastAsia="Arial" w:hAnsi="Arial"/>
                <w:sz w:val="18"/>
                <w:szCs w:val="18"/>
                <w:color w:val="auto"/>
              </w:rPr>
              <w:t>Other assets, net</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94,210</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97,850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(2)</w:t>
            </w:r>
          </w:p>
        </w:tc>
        <w:tc>
          <w:tcPr>
            <w:tcW w:w="302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w w:val="95"/>
              </w:rPr>
              <w:t>Accounts payable, accrued expenses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68,379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71,483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60" w:type="dxa"/>
            <w:vAlign w:val="bottom"/>
            <w:shd w:val="clear" w:color="auto" w:fill="CFF0FC"/>
          </w:tcPr>
          <w:p>
            <w:pPr>
              <w:spacing w:after="0"/>
              <w:rPr>
                <w:sz w:val="10"/>
                <w:szCs w:val="10"/>
                <w:color w:val="auto"/>
              </w:rPr>
            </w:pPr>
          </w:p>
        </w:tc>
        <w:tc>
          <w:tcPr>
            <w:tcW w:w="3020" w:type="dxa"/>
            <w:vAlign w:val="bottom"/>
            <w:gridSpan w:val="4"/>
            <w:vMerge w:val="restart"/>
            <w:shd w:val="clear" w:color="auto" w:fill="CFF0FC"/>
          </w:tcPr>
          <w:p>
            <w:pPr>
              <w:ind w:left="140"/>
              <w:spacing w:after="0"/>
              <w:rPr>
                <w:sz w:val="20"/>
                <w:szCs w:val="20"/>
                <w:color w:val="auto"/>
              </w:rPr>
            </w:pPr>
            <w:r>
              <w:rPr>
                <w:rFonts w:ascii="Arial" w:cs="Arial" w:eastAsia="Arial" w:hAnsi="Arial"/>
                <w:sz w:val="18"/>
                <w:szCs w:val="18"/>
                <w:color w:val="auto"/>
              </w:rPr>
              <w:t>and other liabilities, net</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60" w:type="dxa"/>
            <w:vAlign w:val="bottom"/>
            <w:gridSpan w:val="4"/>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shd w:val="clear" w:color="auto" w:fill="CFF0FC"/>
          </w:tcPr>
          <w:p>
            <w:pPr>
              <w:spacing w:after="0"/>
              <w:rPr>
                <w:sz w:val="9"/>
                <w:szCs w:val="9"/>
                <w:color w:val="auto"/>
              </w:rPr>
            </w:pPr>
          </w:p>
        </w:tc>
        <w:tc>
          <w:tcPr>
            <w:tcW w:w="3020" w:type="dxa"/>
            <w:vAlign w:val="bottom"/>
            <w:gridSpan w:val="4"/>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Finance leases</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ROU asset, gross</w:t>
            </w:r>
            <w:r>
              <w:rPr>
                <w:rFonts w:ascii="Arial" w:cs="Arial" w:eastAsia="Arial" w:hAnsi="Arial"/>
                <w:sz w:val="15"/>
                <w:szCs w:val="15"/>
                <w:color w:val="auto"/>
              </w:rPr>
              <w:t>(3)</w:t>
            </w:r>
          </w:p>
        </w:tc>
        <w:tc>
          <w:tcPr>
            <w:tcW w:w="3020" w:type="dxa"/>
            <w:vAlign w:val="bottom"/>
            <w:gridSpan w:val="4"/>
          </w:tcPr>
          <w:p>
            <w:pPr>
              <w:ind w:left="1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125,313</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128,098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(4)</w:t>
            </w:r>
          </w:p>
        </w:tc>
        <w:tc>
          <w:tcPr>
            <w:tcW w:w="302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47,646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12.5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12.2 years</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5"/>
            <w:shd w:val="clear" w:color="auto" w:fill="CFF0FC"/>
          </w:tcPr>
          <w:p>
            <w:pPr>
              <w:jc w:val="right"/>
              <w:ind w:right="260"/>
              <w:spacing w:after="0"/>
              <w:rPr>
                <w:sz w:val="20"/>
                <w:szCs w:val="20"/>
                <w:color w:val="auto"/>
              </w:rPr>
            </w:pPr>
            <w:r>
              <w:rPr>
                <w:rFonts w:ascii="Arial" w:cs="Arial" w:eastAsia="Arial" w:hAnsi="Arial"/>
                <w:sz w:val="18"/>
                <w:szCs w:val="18"/>
                <w:color w:val="auto"/>
              </w:rPr>
              <w:t>13.2 years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13.3 years</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discount rate</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2"/>
              </w:rPr>
              <w:t>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ind w:left="240" w:hanging="232"/>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$18.5 million ROU assets in Held for Sale as of March 31, 2021</w:t>
      </w:r>
    </w:p>
    <w:p>
      <w:pPr>
        <w:spacing w:after="0" w:line="35" w:lineRule="exact"/>
        <w:rPr>
          <w:rFonts w:ascii="Arial" w:cs="Arial" w:eastAsia="Arial" w:hAnsi="Arial"/>
          <w:sz w:val="15"/>
          <w:szCs w:val="15"/>
          <w:color w:val="auto"/>
        </w:rPr>
      </w:pPr>
    </w:p>
    <w:p>
      <w:pPr>
        <w:ind w:left="240" w:hanging="232"/>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$16.9 million lease liabilities in Held for Sale as of March 31, 2021</w:t>
      </w:r>
    </w:p>
    <w:p>
      <w:pPr>
        <w:spacing w:after="0" w:line="36" w:lineRule="exact"/>
        <w:rPr>
          <w:rFonts w:ascii="Arial" w:cs="Arial" w:eastAsia="Arial" w:hAnsi="Arial"/>
          <w:sz w:val="15"/>
          <w:szCs w:val="15"/>
          <w:color w:val="auto"/>
        </w:rPr>
      </w:pPr>
    </w:p>
    <w:p>
      <w:pPr>
        <w:ind w:left="240" w:hanging="232"/>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$54.0 million finance lease assets in Held for Sale as of March 31, 2021</w:t>
      </w:r>
    </w:p>
    <w:p>
      <w:pPr>
        <w:spacing w:after="0" w:line="36" w:lineRule="exact"/>
        <w:rPr>
          <w:rFonts w:ascii="Arial" w:cs="Arial" w:eastAsia="Arial" w:hAnsi="Arial"/>
          <w:sz w:val="15"/>
          <w:szCs w:val="15"/>
          <w:color w:val="auto"/>
        </w:rPr>
      </w:pPr>
    </w:p>
    <w:p>
      <w:pPr>
        <w:ind w:left="240" w:hanging="232"/>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$32.8 million finance lease obligations in Held for Sale as of March 31,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as of March 31, 2021 and 2020, respectively,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910</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w:t>
            </w: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Non-cash items: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New operating leases and remeasurements, net</w:t>
            </w:r>
          </w:p>
        </w:tc>
        <w:tc>
          <w:tcPr>
            <w:tcW w:w="20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New finance leases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917"/>
        </w:trPr>
        <w:tc>
          <w:tcPr>
            <w:tcW w:w="5300" w:type="dxa"/>
            <w:vAlign w:val="bottom"/>
          </w:tcPr>
          <w:p>
            <w:pPr>
              <w:spacing w:after="0"/>
              <w:rPr>
                <w:sz w:val="24"/>
                <w:szCs w:val="24"/>
                <w:color w:val="auto"/>
              </w:rPr>
            </w:pPr>
          </w:p>
        </w:tc>
        <w:tc>
          <w:tcPr>
            <w:tcW w:w="1440" w:type="dxa"/>
            <w:vAlign w:val="bottom"/>
          </w:tcPr>
          <w:p>
            <w:pPr>
              <w:jc w:val="right"/>
              <w:ind w:right="9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non-cancellable leases as of March 31, 2021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Operating Leases</w:t>
            </w:r>
            <w:r>
              <w:rPr>
                <w:rFonts w:ascii="Arial" w:cs="Arial" w:eastAsia="Arial" w:hAnsi="Arial"/>
                <w:sz w:val="12"/>
                <w:szCs w:val="12"/>
                <w:b w:val="1"/>
                <w:bCs w:val="1"/>
                <w:color w:val="auto"/>
                <w:w w:val="99"/>
              </w:rPr>
              <w:t>(1)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Finance Leases</w:t>
            </w:r>
            <w:r>
              <w:rPr>
                <w:rFonts w:ascii="Arial" w:cs="Arial" w:eastAsia="Arial" w:hAnsi="Arial"/>
                <w:sz w:val="12"/>
                <w:szCs w:val="12"/>
                <w:b w:val="1"/>
                <w:bCs w:val="1"/>
                <w:color w:val="auto"/>
              </w:rPr>
              <w:t>(2)</w:t>
            </w: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45,114</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74,802</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(32,684)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(27,156)</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$16.9 million lease liabilities in Held for Sale as of March 31, 2021</w:t>
      </w:r>
    </w:p>
    <w:p>
      <w:pPr>
        <w:spacing w:after="0" w:line="35" w:lineRule="exact"/>
        <w:rPr>
          <w:rFonts w:ascii="Arial" w:cs="Arial" w:eastAsia="Arial" w:hAnsi="Arial"/>
          <w:sz w:val="15"/>
          <w:szCs w:val="15"/>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$32.8 million finance lease obligations in Held for Sale as of March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Future sublease rentals as of March 31, 2021 are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4"/>
                <w:szCs w:val="1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Sublease Rentals</w:t>
            </w:r>
          </w:p>
        </w:tc>
      </w:tr>
      <w:tr>
        <w:trPr>
          <w:trHeight w:val="223"/>
        </w:trPr>
        <w:tc>
          <w:tcPr>
            <w:tcW w:w="8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19"/>
                <w:szCs w:val="19"/>
                <w:color w:val="auto"/>
              </w:rPr>
            </w:pPr>
          </w:p>
        </w:tc>
      </w:tr>
      <w:tr>
        <w:trPr>
          <w:trHeight w:val="229"/>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w:t>
            </w:r>
          </w:p>
        </w:tc>
        <w:tc>
          <w:tcPr>
            <w:tcW w:w="120" w:type="dxa"/>
            <w:vAlign w:val="bottom"/>
            <w:shd w:val="clear" w:color="auto" w:fill="CFF0FC"/>
          </w:tcPr>
          <w:p>
            <w:pPr>
              <w:spacing w:after="0"/>
              <w:rPr>
                <w:sz w:val="19"/>
                <w:szCs w:val="19"/>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8,851</w:t>
            </w:r>
          </w:p>
        </w:tc>
        <w:tc>
          <w:tcPr>
            <w:tcW w:w="120" w:type="dxa"/>
            <w:vAlign w:val="bottom"/>
          </w:tcPr>
          <w:p>
            <w:pPr>
              <w:spacing w:after="0"/>
              <w:rPr>
                <w:sz w:val="19"/>
                <w:szCs w:val="19"/>
                <w:color w:val="auto"/>
              </w:rPr>
            </w:pPr>
          </w:p>
        </w:tc>
      </w:tr>
      <w:tr>
        <w:trPr>
          <w:trHeight w:val="229"/>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8,904</w:t>
            </w:r>
          </w:p>
        </w:tc>
        <w:tc>
          <w:tcPr>
            <w:tcW w:w="120" w:type="dxa"/>
            <w:vAlign w:val="bottom"/>
            <w:shd w:val="clear" w:color="auto" w:fill="CFF0FC"/>
          </w:tcPr>
          <w:p>
            <w:pPr>
              <w:spacing w:after="0"/>
              <w:rPr>
                <w:sz w:val="19"/>
                <w:szCs w:val="19"/>
                <w:color w:val="auto"/>
              </w:rPr>
            </w:pPr>
          </w:p>
        </w:tc>
      </w:tr>
      <w:tr>
        <w:trPr>
          <w:trHeight w:val="230"/>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124,715</w:t>
            </w:r>
          </w:p>
        </w:tc>
        <w:tc>
          <w:tcPr>
            <w:tcW w:w="120" w:type="dxa"/>
            <w:vAlign w:val="bottom"/>
            <w:tcBorders>
              <w:bottom w:val="single" w:sz="8" w:color="CFF0FC"/>
            </w:tcBorders>
          </w:tcPr>
          <w:p>
            <w:pPr>
              <w:spacing w:after="0"/>
              <w:rPr>
                <w:sz w:val="19"/>
                <w:szCs w:val="19"/>
                <w:color w:val="auto"/>
              </w:rPr>
            </w:pPr>
          </w:p>
        </w:tc>
      </w:tr>
      <w:tr>
        <w:trPr>
          <w:trHeight w:val="223"/>
        </w:trPr>
        <w:tc>
          <w:tcPr>
            <w:tcW w:w="8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Assets and Liabilities Held for Sale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October 2020, the Company entered into an OpCo-PropCo transaction with Everstream Solutions LLC (“Everstream”). As part of the transaction, Uniti will enter into two 20-year IRU lease agreements with Everstream on Uniti owned fiber. Concurrently, Uniti has agreed to sell its Uniti Fiber Northeast operations and certain dark fiber IRU contracts acquired as part of the Windstream settlement to Everstream. Total cash consideration, including upfront IRU payments, is approximately $135 million. In addition to the upfront proceeds, Uniti will receive fees of approximately $3 million annually from Everstream over the initial 20-year term of the IRU lease agreements, subject to an annual escalator of 2%. The transaction is subject to regulatory approval and other customary closing conditions and is expected to close in the second quarter of 2021.</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assets and liabilities associated with the Opco-Propco transaction with Everstream classified as held for sale as of March 31, 2021 and December 31,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Property, pant and equipment,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44,208</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44,150</w:t>
            </w:r>
          </w:p>
        </w:tc>
        <w:tc>
          <w:tcPr>
            <w:tcW w:w="100" w:type="dxa"/>
            <w:vAlign w:val="bottom"/>
          </w:tcPr>
          <w:p>
            <w:pPr>
              <w:spacing w:after="0"/>
              <w:rPr>
                <w:sz w:val="19"/>
                <w:szCs w:val="19"/>
                <w:color w:val="auto"/>
              </w:rPr>
            </w:pPr>
          </w:p>
        </w:tc>
      </w:tr>
      <w:tr>
        <w:trPr>
          <w:trHeight w:val="229"/>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17,794</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10,720</w:t>
            </w:r>
          </w:p>
        </w:tc>
        <w:tc>
          <w:tcPr>
            <w:tcW w:w="100" w:type="dxa"/>
            <w:vAlign w:val="bottom"/>
          </w:tcPr>
          <w:p>
            <w:pPr>
              <w:spacing w:after="0"/>
              <w:rPr>
                <w:sz w:val="19"/>
                <w:szCs w:val="19"/>
                <w:color w:val="auto"/>
              </w:rPr>
            </w:pPr>
          </w:p>
        </w:tc>
      </w:tr>
      <w:tr>
        <w:trPr>
          <w:trHeight w:val="229"/>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Right of use assets, net</w:t>
            </w: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20,679</w:t>
            </w:r>
          </w:p>
        </w:tc>
        <w:tc>
          <w:tcPr>
            <w:tcW w:w="100" w:type="dxa"/>
            <w:vAlign w:val="bottom"/>
            <w:shd w:val="clear" w:color="auto" w:fill="CFF0FC"/>
          </w:tcPr>
          <w:p>
            <w:pPr>
              <w:spacing w:after="0"/>
              <w:rPr>
                <w:sz w:val="19"/>
                <w:szCs w:val="19"/>
                <w:color w:val="auto"/>
              </w:rPr>
            </w:pPr>
          </w:p>
        </w:tc>
      </w:tr>
      <w:tr>
        <w:trPr>
          <w:trHeight w:val="263"/>
        </w:trPr>
        <w:tc>
          <w:tcPr>
            <w:tcW w:w="7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87,750</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93,343</w:t>
            </w:r>
          </w:p>
        </w:tc>
        <w:tc>
          <w:tcPr>
            <w:tcW w:w="100" w:type="dxa"/>
            <w:vAlign w:val="bottom"/>
            <w:tcBorders>
              <w:bottom w:val="single" w:sz="8" w:color="CFF0FC"/>
            </w:tcBorders>
          </w:tcPr>
          <w:p>
            <w:pPr>
              <w:spacing w:after="0"/>
              <w:rPr>
                <w:sz w:val="22"/>
                <w:szCs w:val="22"/>
                <w:color w:val="auto"/>
              </w:rPr>
            </w:pPr>
          </w:p>
        </w:tc>
      </w:tr>
      <w:tr>
        <w:trPr>
          <w:trHeight w:val="210"/>
        </w:trPr>
        <w:tc>
          <w:tcPr>
            <w:tcW w:w="7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gridSpan w:val="2"/>
          </w:tcPr>
          <w:p>
            <w:pPr>
              <w:ind w:left="260"/>
              <w:spacing w:after="0"/>
              <w:rPr>
                <w:sz w:val="20"/>
                <w:szCs w:val="20"/>
                <w:color w:val="auto"/>
              </w:rPr>
            </w:pPr>
            <w:r>
              <w:rPr>
                <w:rFonts w:ascii="Arial" w:cs="Arial" w:eastAsia="Arial" w:hAnsi="Arial"/>
                <w:sz w:val="18"/>
                <w:szCs w:val="18"/>
                <w:color w:val="auto"/>
              </w:rPr>
              <w:t>Intangible liabilities,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19"/>
                <w:szCs w:val="19"/>
                <w:color w:val="auto"/>
              </w:rPr>
            </w:pPr>
          </w:p>
        </w:tc>
      </w:tr>
      <w:tr>
        <w:trPr>
          <w:trHeight w:val="229"/>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33,256</w:t>
            </w:r>
          </w:p>
        </w:tc>
        <w:tc>
          <w:tcPr>
            <w:tcW w:w="100" w:type="dxa"/>
            <w:vAlign w:val="bottom"/>
            <w:shd w:val="clear" w:color="auto" w:fill="CFF0FC"/>
          </w:tcPr>
          <w:p>
            <w:pPr>
              <w:spacing w:after="0"/>
              <w:rPr>
                <w:sz w:val="19"/>
                <w:szCs w:val="19"/>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54,167</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55,752</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assets and liabilities associated with the Everstream transaction are included in the results of the Fiber Infrastructure segment. The sale does not represent a strategic shift that will have a major effect on operations and financial results and, therefore, did not qualify for presentation as a discontinued operation.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in Unconsolidated Entities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212529"/>
        </w:rPr>
        <w:t>As of March 31, 2021, the Company had an aggregate investment of $65.5 million in its equity method unconsolidated entities, which included a 42% interest in BB Fiber Holdings LLC (“Fiber Holdings”) and a 8% interest in Harmoni Towers LP (“Harmoni”).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Fiber Holdings </w:t>
      </w:r>
      <w:r>
        <w:rPr>
          <w:rFonts w:ascii="Arial" w:cs="Arial" w:eastAsia="Arial" w:hAnsi="Arial"/>
          <w:sz w:val="18"/>
          <w:szCs w:val="18"/>
          <w:color w:val="000000"/>
        </w:rPr>
        <w:t>was primarily established to develop fiber networks as real estate property for long-term investment. On July 1, 2020, the</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Company completed the sale of an ownership stake in the entity that controls the Company’s Midwest fiber network assets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8"/>
          <w:szCs w:val="18"/>
          <w:color w:val="212529"/>
        </w:rPr>
        <w:t>Fiber Holdings</w:t>
      </w:r>
      <w:r>
        <w:rPr>
          <w:rFonts w:ascii="Arial" w:cs="Arial" w:eastAsia="Arial" w:hAnsi="Arial"/>
          <w:sz w:val="18"/>
          <w:szCs w:val="18"/>
          <w:color w:val="auto"/>
        </w:rPr>
        <w:t xml:space="preserve"> was approximately $40.8 million as of March 31, 2021. The Company has not provided financial support to </w:t>
      </w:r>
      <w:r>
        <w:rPr>
          <w:rFonts w:ascii="Arial" w:cs="Arial" w:eastAsia="Arial" w:hAnsi="Arial"/>
          <w:sz w:val="18"/>
          <w:szCs w:val="18"/>
          <w:color w:val="212529"/>
        </w:rPr>
        <w:t>Fiber</w:t>
      </w:r>
      <w:r>
        <w:rPr>
          <w:rFonts w:ascii="Arial" w:cs="Arial" w:eastAsia="Arial" w:hAnsi="Arial"/>
          <w:sz w:val="18"/>
          <w:szCs w:val="18"/>
          <w:color w:val="auto"/>
        </w:rPr>
        <w:t xml:space="preserve"> </w:t>
      </w:r>
      <w:r>
        <w:rPr>
          <w:rFonts w:ascii="Arial" w:cs="Arial" w:eastAsia="Arial" w:hAnsi="Arial"/>
          <w:sz w:val="18"/>
          <w:szCs w:val="18"/>
          <w:color w:val="212529"/>
        </w:rPr>
        <w:t>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Harmoni was primarily established to develop wireless communication towers as real estate property for long-term investment. We concluded that Harmoni is a VIE; however, the Company determined that it was not the primary beneficiary of Harmoni because the Company lacks the power to direct the activities that most significantly impact its economic performance. The Company’s current investment and maximum exposure to loss as a result of its involvement with Harmoni was approximately $24.6 million as of March 31, 2021. The Company has not provided financial support to Harmoni.</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provide transition services to Harmoni in exchange for fees and reimbursements. Total transition service fees earned in connection with Harmoni for the three months ended March 31, 2021 were $0.1 million, which is included in operating expense on a net basis in our Consolidated Statements of Income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8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asset and liability, our outstanding notes and other debt,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March 31, 2021 and December 31,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5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March 31, 2021</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secured notes - 6.00% , due April 15, 2023</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558,938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558,938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2,421,563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2,421,563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58,966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58,966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617,250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unsecured notes - 6.50% , due February 15, 2029</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1,094,738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1,094,738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Exchangeable senior notes - 4.00%, due June 15, 2024</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409,946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409,946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4"/>
              </w:rPr>
              <w:t>Senior secured revolving credit facility, variable rate, due December 10, 2024</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Settlement payable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398,887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Derivative liability, net</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19,908</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5,740,196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5,740,196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55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5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Prices with Other</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2020</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561,000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2,410,313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2,410,313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1,112,775</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1,112,775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601,500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Exchangeable senior unsecured notes - 4.00%, due June 15, 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 payable</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418,840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Derivative liability,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5,666,340</w:t>
            </w:r>
          </w:p>
        </w:tc>
        <w:tc>
          <w:tcPr>
            <w:tcW w:w="100" w:type="dxa"/>
            <w:vAlign w:val="bottom"/>
          </w:tcPr>
          <w:p>
            <w:pPr>
              <w:spacing w:after="0"/>
              <w:rPr>
                <w:sz w:val="20"/>
                <w:szCs w:val="20"/>
                <w:color w:val="auto"/>
              </w:rPr>
            </w:pP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5,663,383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2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total principal balance of our outstanding notes and other debt was $5.07 billion at March 31, 2021, with a fair value of $5.32 billion. The estimated fair value of our outstanding notes and other debt was based on available external pricing data and current market rates for similar debt instruments, among </w:t>
      </w:r>
      <w:hyperlink w:anchor="page21">
        <w:r>
          <w:rPr>
            <w:rFonts w:ascii="Arial" w:cs="Arial" w:eastAsia="Arial" w:hAnsi="Arial"/>
            <w:sz w:val="17"/>
            <w:szCs w:val="17"/>
            <w:color w:val="auto"/>
          </w:rPr>
          <w:t xml:space="preserve">other factors, which are classified as Level 2 inputs within the fair value hierarchy. Derivative assets and liabilities are carried at fair value. </w:t>
        </w:r>
        <w:r>
          <w:rPr>
            <w:rFonts w:ascii="Arial" w:cs="Arial" w:eastAsia="Arial" w:hAnsi="Arial"/>
            <w:sz w:val="17"/>
            <w:szCs w:val="17"/>
            <w:u w:val="single" w:color="auto"/>
            <w:color w:val="0000EE"/>
          </w:rPr>
          <w:t>See Note 9. The</w:t>
        </w:r>
      </w:hyperlink>
      <w:r>
        <w:rPr>
          <w:rFonts w:ascii="Arial" w:cs="Arial" w:eastAsia="Arial" w:hAnsi="Arial"/>
          <w:sz w:val="17"/>
          <w:szCs w:val="17"/>
          <w:color w:val="auto"/>
        </w:rPr>
        <w:t xml:space="preserve"> </w:t>
      </w:r>
      <w:hyperlink w:anchor="page21">
        <w:r>
          <w:rPr>
            <w:rFonts w:ascii="Arial" w:cs="Arial" w:eastAsia="Arial" w:hAnsi="Arial"/>
            <w:sz w:val="17"/>
            <w:szCs w:val="17"/>
            <w:u w:val="single" w:color="auto"/>
            <w:color w:val="0000EE"/>
          </w:rPr>
          <w:t>fair value of an interest rate swap is determined based on the present value of expected future cash flows using observable, quoted LIBOR swap rates for</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the full term of the swap and also incorporate credit valuation adjustments to appropriately reflect both Uniti’s own non-performance risk and non-</w:t>
        </w:r>
      </w:hyperlink>
      <w:hyperlink w:anchor="page21">
        <w:r>
          <w:rPr>
            <w:rFonts w:ascii="Arial" w:cs="Arial" w:eastAsia="Arial" w:hAnsi="Arial"/>
            <w:sz w:val="17"/>
            <w:szCs w:val="17"/>
            <w:u w:val="single" w:color="auto"/>
            <w:color w:val="0000EE"/>
          </w:rPr>
          <w:t>performance risk of the respective counterparties. The Company has determined that the majority of the inputs used to value its derivative assets and</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liabilities fall within Level 2 of the fair value hierarchy; however, the associated credit valuation adjustments utilized Level 3 inputs, such as estimates of</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credit spreads, to evaluate the likelihood of default by the Company and its counterparties. As of March 31, 2021, the Company has assessed the</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significance of the impact of the credit valuation adjustments on the overall valuation of its derivative positions and has determined that the credit valuation</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adjustment is not significant to the overall value of the derivatives. As such, the Company classifies its derivative assets and liabilities valuation in Level 2</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of the fair value hierarchy</w:t>
        </w:r>
        <w:r>
          <w:rPr>
            <w:rFonts w:ascii="Arial" w:cs="Arial" w:eastAsia="Arial" w:hAnsi="Arial"/>
            <w:sz w:val="17"/>
            <w:szCs w:val="17"/>
            <w:color w:val="000000"/>
          </w:rPr>
          <w:t>.</w:t>
        </w:r>
      </w:hyperlink>
    </w:p>
    <w:p>
      <w:pPr>
        <w:spacing w:after="0" w:line="182" w:lineRule="exact"/>
        <w:rPr>
          <w:rFonts w:ascii="Arial" w:cs="Arial" w:eastAsia="Arial" w:hAnsi="Arial"/>
          <w:sz w:val="17"/>
          <w:szCs w:val="17"/>
          <w:u w:val="single" w:color="auto"/>
          <w:color w:val="0000EE"/>
        </w:rPr>
      </w:pPr>
    </w:p>
    <w:p>
      <w:pPr>
        <w:ind w:right="40"/>
        <w:spacing w:after="0" w:line="311"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24">
        <w:r>
          <w:rPr>
            <w:rFonts w:ascii="Arial" w:cs="Arial" w:eastAsia="Arial" w:hAnsi="Arial"/>
            <w:sz w:val="16"/>
            <w:szCs w:val="16"/>
            <w:u w:val="single" w:color="auto"/>
            <w:color w:val="0000EE"/>
          </w:rPr>
          <w:t>see Note 11</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Uniti is required to make a $490.1 million cash payment to Windstream in equal installments over 20 consecutive quarters beginning the first month after</w:t>
      </w:r>
    </w:p>
    <w:p>
      <w:pPr>
        <w:spacing w:after="0" w:line="46"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Windstream’s emergence (the “Settlement Payable”) (</w:t>
      </w:r>
      <w:r>
        <w:rPr>
          <w:rFonts w:ascii="Arial" w:cs="Arial" w:eastAsia="Arial" w:hAnsi="Arial"/>
          <w:sz w:val="16"/>
          <w:szCs w:val="16"/>
          <w:u w:val="single" w:color="auto"/>
          <w:color w:val="auto"/>
        </w:rPr>
        <w:t>see Note 14</w:t>
      </w:r>
      <w:r>
        <w:rPr>
          <w:rFonts w:ascii="Arial" w:cs="Arial" w:eastAsia="Arial" w:hAnsi="Arial"/>
          <w:sz w:val="16"/>
          <w:szCs w:val="16"/>
          <w:color w:val="auto"/>
          <w:highlight w:val="white"/>
        </w:rPr>
        <w:t>). The Settlement Payable was initially recorded at fair value, using the present value of</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expected future cash flows, and is being amortized using the effective interest method and is classified as Level 2 inputs within the fair value</w:t>
      </w:r>
    </w:p>
    <w:p>
      <w:pPr>
        <w:spacing w:after="0" w:line="9"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6"/>
          <w:szCs w:val="16"/>
          <w:color w:val="auto"/>
        </w:rPr>
        <w:t>hierarchy. The fair value of the Settlement Payable is $398.9 million and is reported as settlement payable on our Condensed Consolidated Balance Sheet</w:t>
      </w:r>
    </w:p>
    <w:p>
      <w:pPr>
        <w:spacing w:after="0" w:line="32"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at March 31, 2021.</w:t>
      </w:r>
    </w:p>
    <w:p>
      <w:pPr>
        <w:spacing w:after="0" w:line="211" w:lineRule="exact"/>
        <w:rPr>
          <w:rFonts w:ascii="Arial" w:cs="Arial" w:eastAsia="Arial" w:hAnsi="Arial"/>
          <w:sz w:val="17"/>
          <w:szCs w:val="17"/>
          <w:u w:val="single" w:color="auto"/>
          <w:color w:val="0000EE"/>
        </w:rPr>
      </w:pPr>
    </w:p>
    <w:p>
      <w:pPr>
        <w:ind w:right="40"/>
        <w:spacing w:after="0" w:line="257" w:lineRule="auto"/>
        <w:rPr>
          <w:sz w:val="20"/>
          <w:szCs w:val="20"/>
          <w:color w:val="auto"/>
        </w:rPr>
      </w:pPr>
      <w:r>
        <w:rPr>
          <w:rFonts w:ascii="Arial" w:cs="Arial" w:eastAsia="Arial" w:hAnsi="Arial"/>
          <w:sz w:val="18"/>
          <w:szCs w:val="18"/>
          <w:color w:val="auto"/>
        </w:rPr>
        <w:t>We acquired Tower Cloud, Inc. (“Tower Cloud”) on August 31, 2016. As part of the Tower Cloud acquisition, we were obligated to pay contingent consideration upon achievement of certain defined operational and financial milestones from the date of acquisition through December 31, 2021. During the three months ended March 31, 2021, the Company paid $3.0 million for the achievement of the final remaining milestone in accordance with the Tower Cloud merger agreement. During the three months ended March 31, 2020, we paid $7.1 million for the achievement of certain milestones in accordance with the Tower Cloud merger agreement.</w:t>
      </w:r>
    </w:p>
    <w:p>
      <w:pPr>
        <w:spacing w:after="0" w:line="188" w:lineRule="exact"/>
        <w:rPr>
          <w:rFonts w:ascii="Arial" w:cs="Arial" w:eastAsia="Arial" w:hAnsi="Arial"/>
          <w:sz w:val="17"/>
          <w:szCs w:val="17"/>
          <w:u w:val="single" w:color="auto"/>
          <w:color w:val="0000EE"/>
        </w:rPr>
      </w:pPr>
    </w:p>
    <w:p>
      <w:pPr>
        <w:ind w:right="80"/>
        <w:spacing w:after="0" w:line="259" w:lineRule="auto"/>
        <w:rPr>
          <w:sz w:val="20"/>
          <w:szCs w:val="20"/>
          <w:color w:val="auto"/>
        </w:rPr>
      </w:pPr>
      <w:r>
        <w:rPr>
          <w:rFonts w:ascii="Arial" w:cs="Arial" w:eastAsia="Arial" w:hAnsi="Arial"/>
          <w:sz w:val="18"/>
          <w:szCs w:val="18"/>
          <w:color w:val="auto"/>
        </w:rPr>
        <w:t>Changes in the fair value of contingent consideration arrangements are recorded in our Condensed Consolidated Statements of Income (Loss) in the period in which the change occurs. For the three months ended March 31, 2021 and 2020, there was less than a $0.1 million and $1.5 million, respectively, increase in the fair value of the contingent consideration that was recorded in Other (income) expense on the Condensed Consolidated Statements of Income (Loss).</w:t>
      </w:r>
    </w:p>
    <w:p>
      <w:pPr>
        <w:sectPr>
          <w:pgSz w:w="11900" w:h="16838" w:orient="portrait"/>
          <w:cols w:equalWidth="0" w:num="1">
            <w:col w:w="11240"/>
          </w:cols>
          <w:pgMar w:left="320" w:top="125" w:right="339" w:bottom="1440" w:gutter="0" w:footer="0" w:header="0"/>
        </w:sectPr>
      </w:pPr>
    </w:p>
    <w:p>
      <w:pPr>
        <w:spacing w:after="0" w:line="200" w:lineRule="exact"/>
        <w:rPr>
          <w:rFonts w:ascii="Arial" w:cs="Arial" w:eastAsia="Arial" w:hAnsi="Arial"/>
          <w:sz w:val="17"/>
          <w:szCs w:val="17"/>
          <w:u w:val="single" w:color="auto"/>
          <w:color w:val="0000EE"/>
        </w:rPr>
      </w:pPr>
    </w:p>
    <w:p>
      <w:pPr>
        <w:spacing w:after="0" w:line="230"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(Gain)/Loss included in</w:t>
            </w:r>
          </w:p>
        </w:tc>
        <w:tc>
          <w:tcPr>
            <w:tcW w:w="240" w:type="dxa"/>
            <w:vAlign w:val="bottom"/>
          </w:tcPr>
          <w:p>
            <w:pPr>
              <w:spacing w:after="0"/>
              <w:rPr>
                <w:sz w:val="14"/>
                <w:szCs w:val="14"/>
                <w:color w:val="auto"/>
              </w:rPr>
            </w:pPr>
          </w:p>
        </w:tc>
        <w:tc>
          <w:tcPr>
            <w:tcW w:w="15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Settlements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Transfers into Level 3</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4"/>
              </w:rPr>
              <w:t>(2,979)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92"/>
              </w:rPr>
              <w:t>Note 8. Property, Plant and Equipment</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7"/>
          </w:tcPr>
          <w:p>
            <w:pPr>
              <w:spacing w:after="0"/>
              <w:rPr>
                <w:sz w:val="20"/>
                <w:szCs w:val="20"/>
                <w:color w:val="auto"/>
              </w:rPr>
            </w:pPr>
            <w:r>
              <w:rPr>
                <w:rFonts w:ascii="Arial" w:cs="Arial" w:eastAsia="Arial" w:hAnsi="Arial"/>
                <w:sz w:val="18"/>
                <w:szCs w:val="18"/>
                <w:color w:val="auto"/>
                <w:w w:val="98"/>
              </w:rPr>
              <w:t>The carrying value of property, plant and equipment is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Depreciable Lives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3 - 40 years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351,351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Poles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270,102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Fiber</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3,796,553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3,737,372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5 - 7 years</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306,931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Copper</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3,881,801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3,850,987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Conduit</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89,776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Tower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71,318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15 - 20 years</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3 - 7 years</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13,628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gridSpan w:val="4"/>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68,719</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8,897,361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8,776,840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(5,568,122)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(5,503,487)</w:t>
            </w: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3,329,239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3,273,353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2021 and 2020 was $66.2 million and $77.8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Instruments and Hedging Activities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2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$2.02 billion and mature on October 24, 2022. </w:t>
      </w:r>
      <w:r>
        <w:rPr>
          <w:rFonts w:ascii="Arial" w:cs="Arial" w:eastAsia="Arial" w:hAnsi="Arial"/>
          <w:sz w:val="18"/>
          <w:szCs w:val="18"/>
          <w:color w:val="1F2322"/>
        </w:rPr>
        <w:t>As result of the repayment of the Company’s senior secured term loan B facility in February 2020, the Company entered into receive-fixed interest rate swaps to offset 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Condensed Consolidated Balance Sheets. The following tables present the gross amounts of our derivative instruments subject to master netting arrangements with the same counterparty as of March 31,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Gross Amounts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Gross Amounts Offset 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the Condensed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9"/>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Recognized Assets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Sheets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March 31, 2021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(23,602)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23,602</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(23,602)</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(23,602)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(23,602)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Gross Amounts of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Gross Amounts Offset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the Condensed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8"/>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Recognized Assets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Sheets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(27,869)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27,869</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(27,869)</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(27,869)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(27,869)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Location on Condensed</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260" w:type="dxa"/>
            <w:vAlign w:val="bottom"/>
          </w:tcPr>
          <w:p>
            <w:pPr>
              <w:spacing w:after="0"/>
              <w:rPr>
                <w:sz w:val="12"/>
                <w:szCs w:val="12"/>
                <w:color w:val="auto"/>
              </w:rPr>
            </w:pPr>
          </w:p>
        </w:tc>
        <w:tc>
          <w:tcPr>
            <w:tcW w:w="1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1"/>
        </w:trPr>
        <w:tc>
          <w:tcPr>
            <w:tcW w:w="4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Sheets</w:t>
            </w:r>
          </w:p>
        </w:tc>
        <w:tc>
          <w:tcPr>
            <w:tcW w:w="2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Derivative liability, net</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As of March 31, 2021, all of the interest rate swaps were valued in net unrealized loss positions and recognized as liability balances within the derivative liability, net in our Condensed Consolidated Balance Sheets. As hedge accounting is no longer applied beginning in February 2020, the unrealized loss amounts are now being recorded directly to earnings. The amount reclassified out of other comprehensive income into interest expense on our Condensed Consolidated Statements of Loss for the three months ended March 31, 2021 and 2020 was $2.8 million and $1.7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During the next twelve months, beginning April 1, 2021, we estimate that $11.3 million will be reclassified as an increase to interest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52"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On June 25, 2019, concurrently with the pricing of the Exchangeable Notes (</w:t>
      </w:r>
      <w:hyperlink w:anchor="page24">
        <w:r>
          <w:rPr>
            <w:rFonts w:ascii="Arial" w:cs="Arial" w:eastAsia="Arial" w:hAnsi="Arial"/>
            <w:sz w:val="18"/>
            <w:szCs w:val="18"/>
            <w:u w:val="single" w:color="auto"/>
            <w:color w:val="auto"/>
          </w:rPr>
          <w:t>see Note 11</w:t>
        </w:r>
      </w:hyperlink>
      <w:r>
        <w:rPr>
          <w:rFonts w:ascii="Arial" w:cs="Arial" w:eastAsia="Arial" w:hAnsi="Arial"/>
          <w:sz w:val="18"/>
          <w:szCs w:val="18"/>
          <w:color w:val="auto"/>
        </w:rPr>
        <w:t>), and on June 27, 2019, concurrently with the exercise by the initial purchasers involved in the offering of the Exchangeable Notes (the “Initial Purchasers”) of their option to purchase additional Exchangeable Notes, Uniti Fiber, the issuer of the Exchangeable Notes, entered into exchangeable note hedge transactions with respect to the Company’s common stock (the “Note Hedge Transactions”) with certain of the Initial Purchasers or their respective affiliates (collectively, the “Counterparties”) of the Counterparties. The Note Hedge Transactions cover,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-582295</wp:posOffset>
            </wp:positionV>
            <wp:extent cx="535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53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 and Liabilities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the carrying amount of goodwill occurring during the three months ended March 31, 2021. The balance of Goodwill recorded in our Fiber Infrastructure segment as of March 31, 2021 and December 31, 2020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20" w:type="dxa"/>
            <w:vAlign w:val="bottom"/>
          </w:tcPr>
          <w:p>
            <w:pPr>
              <w:spacing w:after="0"/>
              <w:rPr>
                <w:sz w:val="20"/>
                <w:szCs w:val="20"/>
                <w:color w:val="auto"/>
              </w:rPr>
            </w:pPr>
            <w:r>
              <w:rPr>
                <w:rFonts w:ascii="Arial" w:cs="Arial" w:eastAsia="Arial" w:hAnsi="Arial"/>
                <w:sz w:val="14"/>
                <w:szCs w:val="14"/>
                <w:color w:val="auto"/>
              </w:rPr>
              <w:t>(Thousands)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76"/>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2020</w:t>
            </w:r>
          </w:p>
        </w:tc>
        <w:tc>
          <w:tcPr>
            <w:tcW w:w="2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Goodwill at March 31, 2021</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3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320" w:type="dxa"/>
            <w:vAlign w:val="bottom"/>
            <w:vMerge w:val="restart"/>
          </w:tcPr>
          <w:p>
            <w:pPr>
              <w:jc w:val="right"/>
              <w:ind w:right="43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right"/>
              <w:ind w:right="860"/>
              <w:spacing w:after="0" w:line="133" w:lineRule="exact"/>
              <w:rPr>
                <w:sz w:val="20"/>
                <w:szCs w:val="20"/>
                <w:color w:val="auto"/>
              </w:rPr>
            </w:pPr>
            <w:r>
              <w:rPr>
                <w:rFonts w:ascii="Arial" w:cs="Arial" w:eastAsia="Arial" w:hAnsi="Arial"/>
                <w:sz w:val="14"/>
                <w:szCs w:val="14"/>
                <w:b w:val="1"/>
                <w:bCs w:val="1"/>
                <w:color w:val="auto"/>
              </w:rPr>
              <w:t>Original</w:t>
            </w:r>
          </w:p>
        </w:tc>
        <w:tc>
          <w:tcPr>
            <w:tcW w:w="3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Original</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ind w:left="160"/>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Finite life intangible assets:</w:t>
            </w:r>
          </w:p>
        </w:tc>
        <w:tc>
          <w:tcPr>
            <w:tcW w:w="1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Customer lists</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416,104</w:t>
            </w:r>
          </w:p>
        </w:tc>
        <w:tc>
          <w:tcPr>
            <w:tcW w:w="24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(88,666)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416,104</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(82,989)</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Contracts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(3,283)</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Underlying Rights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479,137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474,870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(92,124)</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(84,145)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intangible assets, net</w:t>
            </w: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40" w:type="dxa"/>
            <w:vAlign w:val="bottom"/>
            <w:vMerge w:val="continue"/>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387,013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390,725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Below-market leases</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191,154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(5,347)</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190,086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Below-market leases</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191,154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190,086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(5,347)</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intangible liabilities, net</w:t>
            </w: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vMerge w:val="continue"/>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185,807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187,886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As of March 31, 2021, the remaining weighted average amortization period of the Company’s intangible assets and liabilities was 15.5 years and 18.6 years, respectively. Amortization expense for the three months ended March 31, 2021 and 2020 was $4.8 million and $8.3 million, respectively.</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is estimated to be $19.1 million for the full year of 2021, $19.1 million in 2022, $19.1 million in 2023, $19.0 million in 2024, and $19.0 million for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36"/>
        </w:trPr>
        <w:tc>
          <w:tcPr>
            <w:tcW w:w="6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8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5,073,819</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28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(84,929)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(148,476)</w:t>
            </w:r>
          </w:p>
        </w:tc>
        <w:tc>
          <w:tcPr>
            <w:tcW w:w="0" w:type="dxa"/>
            <w:vAlign w:val="bottom"/>
          </w:tcPr>
          <w:p>
            <w:pPr>
              <w:spacing w:after="0"/>
              <w:rPr>
                <w:sz w:val="1"/>
                <w:szCs w:val="1"/>
                <w:color w:val="auto"/>
              </w:rPr>
            </w:pPr>
          </w:p>
        </w:tc>
      </w:tr>
      <w:tr>
        <w:trPr>
          <w:trHeight w:val="237"/>
        </w:trPr>
        <w:tc>
          <w:tcPr>
            <w:tcW w:w="7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4,988,890</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4,816,524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55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March 31, 2021 and December 31, 2020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4"/>
                <w:szCs w:val="14"/>
                <w:color w:val="auto"/>
              </w:rPr>
            </w:pPr>
          </w:p>
        </w:tc>
        <w:tc>
          <w:tcPr>
            <w:tcW w:w="28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w w:val="96"/>
              </w:rPr>
              <w:t>Unamortized</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Discount,</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22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Senior secured notes - 7.875%, due February 15, 2025</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8.38%)</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(37,808)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(39,852)</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- 6.50%, due February 24, 2029</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6.83%)</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(22,263)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6.49%)</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(3,642)</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7.38%)</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(5,057)</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- 4.00%, due June 15, 2024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4.77%)</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(7,935)</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(69,608)</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Senior secured revolving credit facility, variable rate, due December</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10, 2024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(7,082)</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5,073,819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(84,929)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4,965,000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(148,476)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At March 31, 2021, notes and other debt included the following: (i) $160.0 million under the Revolving Credit Facility (as defined below) pursuant to the credit agreement by and among Uniti Group LP, Uniti Group Finance 2019 Inc. and CSL Capital, LLC (the “Borrowers”), the guarantors and lenders party thereto and Bank of America, N.A., as administrative agent and collateral agent (the “Credit Agreement”); (ii) $2.25 billion aggregate principal amount of 7.875% senior secured notes due 2025 (the “2025 Secured Notes”); (iii) $550.0 million aggregate principal amount of 6.00% Senior Secured Notes due April 15, 2023 (the “2023 Secured Notes”); (iv) $58.8 million aggregate principal amount of 8.25% Senior Unsecured Notes due October 15, 2023 (the “2023 Notes”); (v) $600.0 million aggregate principal amount of 7.125% Senior Unsecured Notes due December 15, 2024 (the “2024 Notes”); (v) $1.11 billion aggregate principal amount of 6.50% Senior Notes due February 15, 2029 (the “2029 Notes”); and (vi) $345.0 million aggregate principal amount of 4.00% Exchangeable Senior Notes due June 15, 2024 (the “Exchangeable Notes” and, collectively with the 2025 Secured Notes, 2023 Secured Notes, 2023 Notes, 2024 Notes and 2029 Notes, the Notes). Until our net leverage ratio is below 5.75 : 1.00, our 2025 Secured Notes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w:t>
      </w:r>
    </w:p>
    <w:p>
      <w:pPr>
        <w:spacing w:after="0" w:line="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gains. Except as disclosed below with respect to the 2029 Notes and the 2028 Secured Notes (as defined below), the terms of the Notes are as described in the Company’s Annual Report.</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February 2, 2021, the Borrowers, as co-issuers, issued $1.11 billion aggregate principal of the 2029 Notes and used the net proceeds to fund the tender offer of substantially all outstanding 2023 Notes, of which $58.8 million remained outstanding as of March 31, 2021. On April 15, 2021, the Borrowers redeemed the remaining outstanding principal amount of the 2023 Notes. During the three months ended March 31, 2021, we recognized a $38.0 million loss on the tendered 2023 Notes within interest expense, net on the Condensed Consolidated States of Income (loss), which included $20.4 million of non-cash interest expense for the write off of the unamortized discount and deferred financing costs and $17.6 million of cash interest expense for the tender premium. The remaining unamortized discount and deferred financing costs of $1.1 million will be written off during April 2021.</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2029 Notes were issued at an issue price of 100% of their principal amount pursuant to an indenture, dated as of February 2, 2021 (the “2029 Indenture”), among the Borrowers, the guarantors named therein and Deutsche Bank Trust Company Americas, as trustee (the “Trustee”). The 2029 Notes mature on February 15, 2029 and bear interest at a rate of 6.50% per year. Interest on the 2029 Notes is payable on February 15 and August 15 of each year, beginning on August 15, 2021.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Borrowers may redeem the 2029 Notes, in whole or in part, at any time prior to February 15, 2024 at a redemption price equal to 100% of the principal amount of the 2029 Notes redeemed plus accrued and unpaid interest on the 2029 Notes, if any, to, but not including the redemption date, plus an applicable “make whole” premium described in the 2029 Indenture. Thereafter, the Borrowers may redeem the 2029 Notes in whole or in part, at the redemption prices set forth in the 2029 Indenture. In addition, at any time on or prior to February 15, 2024, up to 40% of the aggregate principal amount of the 2029 Notes may be redeemed with the net cash proceeds of certain equity offerings, at a redemption price of 106.500% of the principal amount, plus accrued and unpaid interest, if any, to, but excluding, the redemption date; provided that at least 60% of aggregate principal amount of the originally issued 2029 Notes remains outstanding. Further, if certain changes of control of Uniti Group LP occur, holders of the 2029 Notes will have the right to require the Borrowers to offer to repurchase their 2029 Notes at 101% of their principal amount plus accrued and unpaid interest, if any, to, but excluding, the repurchase date.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2029 Notes are fully and unconditionally guaranteed, jointly and severally, on a senior unsecured basis by the Company and by each of Uniti Group LP’s existing and future domestic restricted subsidiaries (other than the Borrowers) that guarantees indebtedness under the Company’s senior secured credit facilities. The guarantees are subject to release under specified circumstances, including certain circumstances in which such guarantees may be automatically released without the consent of the holders of the 2029 Notes.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2029 Indenture contains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of the Borrowers and their restricted subsidiaries to pay dividends or other amounts to the Borrowers. These covenants are subject to a number of limitations, qualifications and exceptions. The 2029 Indenture also contains customary events of default.</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20, 2021, the Borrowers issued $570 million aggregate principal amount of 4.750% Senior Secured Notes due 2028 (the “2028 Secured Notes”) and will use the net proceeds from the offering to fund the redemption in full of the 2023 Secured Notes on May 6, 2021. On April 20, 2021, the Borrowers deposited amounts sufficient to fund the redemption of the 2023 Secured Notes with the trustee and satisfied and discharged their respective obligations under the indenture governing the 2023 Secured Notes. See Note 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Borrowers are party to the Credit Agreement, which after the Seventh Amendment (as defined below) as of March 31, 2021, provided for a $60.5 million non-extended revolving credit facility that matures on April 24, 2022 (the “Non-Extended Revolving Credit Facility”) and a $500 million revolving credit facility extended that will mature on December 10, 2024 (the “Extended Revolving Credit Facility” and together with Non-Extended Revolving Credit facility, the “Revolving Credit Facility”), which provide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2021, the Borrowers were in compliance with all of the covenants under the Credit Agreement.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10, 2020, we entered into an amendment (the “Seventh Amendment”) to our Credit Agreement. Pursuant to the Seventh Amendment, commitments from new and existing lenders under the Revolving Credit Facility have increased to $500 million and the maturity date of such commitments has been extended to December 10, 2024. Certain non-extending lender commitments of $60.5 million will mature on April 24, 2022 and will continue to bear interest at rates previously in effect. Prior to the expiration of these commitments, the aggregate size of the Revolving Credit Facility will be $560.5 million from all lenders.</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Borrowings under (a) the Non-Extended Revolving Credit Facility bear interest at a rate equal to either a base rate plus an applicable margin ranging from 3.75% to 4.25% or a eurodollar rate plus an applicable margin ranging from 4.75% to 5.25% and (b) effective April 17, 2021, following the receipt of certain routine regulatory approvals, the Extended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(Loss). For the three months ended March 31, 2021 and 2020, we recognized $4.1 million and $3.0 million, respectively, of non-cash interest expense related to the amortization of deferred financing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46"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The dilutive effect of the Exchangeable Notes (</w:t>
      </w:r>
      <w:hyperlink w:anchor="page24">
        <w:r>
          <w:rPr>
            <w:rFonts w:ascii="Arial" w:cs="Arial" w:eastAsia="Arial" w:hAnsi="Arial"/>
            <w:sz w:val="17"/>
            <w:szCs w:val="17"/>
            <w:u w:val="single" w:color="auto"/>
            <w:color w:val="0000EE"/>
          </w:rPr>
          <w:t>see Note 11</w:t>
        </w:r>
      </w:hyperlink>
      <w:r>
        <w:rPr>
          <w:rFonts w:ascii="Arial" w:cs="Arial" w:eastAsia="Arial" w:hAnsi="Arial"/>
          <w:sz w:val="17"/>
          <w:szCs w:val="17"/>
          <w:color w:val="auto"/>
        </w:rPr>
        <w:t>)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page21">
        <w:r>
          <w:rPr>
            <w:rFonts w:ascii="Arial" w:cs="Arial" w:eastAsia="Arial" w:hAnsi="Arial"/>
            <w:sz w:val="17"/>
            <w:szCs w:val="17"/>
            <w:u w:val="single" w:color="auto"/>
            <w:color w:val="0000EE"/>
          </w:rPr>
          <w:t>see Note 9</w:t>
        </w:r>
      </w:hyperlink>
      <w:r>
        <w:rPr>
          <w:rFonts w:ascii="Arial" w:cs="Arial" w:eastAsia="Arial" w:hAnsi="Arial"/>
          <w:sz w:val="17"/>
          <w:szCs w:val="17"/>
          <w:color w:val="auto"/>
        </w:rPr>
        <w:t>) is calculated using the treasury-stock method. During the three months ended March 31, 2021 and 2020, the Warrants were excluded from diluted shares outstanding because the exercise price exceeded the average market price of our common stock for the reporting period.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ind w:right="79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jc w:val="right"/>
              <w:ind w:right="81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attributable to shareholders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(4,438)</w:t>
            </w:r>
          </w:p>
        </w:tc>
        <w:tc>
          <w:tcPr>
            <w:tcW w:w="98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(78,853)</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50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5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common shares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5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7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ind w:right="79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jc w:val="right"/>
              <w:ind w:right="81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attributable to shareholders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(4,438)</w:t>
            </w:r>
          </w:p>
        </w:tc>
        <w:tc>
          <w:tcPr>
            <w:tcW w:w="98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(78,853)</w:t>
            </w:r>
          </w:p>
        </w:tc>
        <w:tc>
          <w:tcPr>
            <w:tcW w:w="0" w:type="dxa"/>
            <w:vAlign w:val="bottom"/>
          </w:tcPr>
          <w:p>
            <w:pPr>
              <w:spacing w:after="0"/>
              <w:rPr>
                <w:sz w:val="1"/>
                <w:szCs w:val="1"/>
                <w:color w:val="auto"/>
              </w:rPr>
            </w:pPr>
          </w:p>
        </w:tc>
      </w:tr>
      <w:tr>
        <w:trPr>
          <w:trHeight w:val="230"/>
        </w:trPr>
        <w:tc>
          <w:tcPr>
            <w:tcW w:w="67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50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5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gridSpan w:val="2"/>
          </w:tcPr>
          <w:p>
            <w:pPr>
              <w:ind w:left="620"/>
              <w:spacing w:after="0"/>
              <w:rPr>
                <w:sz w:val="20"/>
                <w:szCs w:val="20"/>
                <w:color w:val="auto"/>
              </w:rPr>
            </w:pPr>
            <w:r>
              <w:rPr>
                <w:rFonts w:ascii="Arial" w:cs="Arial" w:eastAsia="Arial" w:hAnsi="Arial"/>
                <w:sz w:val="18"/>
                <w:szCs w:val="18"/>
                <w:color w:val="auto"/>
              </w:rPr>
              <w:t>Impact on if-converted dilutive securities</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attributable to common shares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Impact on if-converted dilutive securities</w:t>
            </w: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Weighted-average shares for dilutive earnings per common share</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Dilutive earnings (loss) per common share</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three months ended March 31, 2021, 30,052,433 potential common shares related to the Exchangeable Notes and 762,355 non-participating securities were excluded from the computation of earnings per share, as their effect would have been anti-dilutive. For the three months ended March 31, 2020, 28,867,703 potential common shares related to the Exchangeable Notes and 747,274 non-participating securities were excluded from the computation of earnings per share, as their effect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Historically our management, including our chief executive officer, who is our chief operating decision maker, managed our operations as the four reportable segments, in addition to our corporate operations, as described below. Due to the sale of our towers business and wind down of the Consumer CLEC business, effective January 1, 2021, we manage our operations focused on our two primary businesses, Leasing and Fiber Infrastructure.</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business,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former towers business, Uniti Towers, through which we acquired and constructed tower and tower-related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and leased space on communications towers to wireless service providers and other tenants in the United States and Latin America. Starting in 2019, the Company completed a series of transactions to largely divest of its towers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April 2, 2019, May 23, 2019 and June 1, 2020, the Company completed the sales of its Latin American business, substantially all of its U.S. ground lease business, and its U.S. tower business, respectively.</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operated the Consumer CLEC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Uniti’s separation and spin-off from Windstream (the “Spin-Off”) was reported as an integrated operation within Windstream. Talk America provided local telephone, high-speed internet and long-distance services to customers in the eastern and central United States. As of the end of the second quarter of 2020, we substantially completed a wind down of our Consumer CLEC business.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determined in accordance with GAAP, before interest expense, provision for income taxes, depreciation and amortization, stock-based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and the impact, which may be recurring in nature, of transaction and integration related costs, costs associated with Windstream’s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bankruptcy, costs associated with litigation claims made against us, costs associated with the implementation of our enterprise resource planning system,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costs related to the settlement with Windstream, amortization of non-cash rights-of-use, the write off of unamortized deferred financing costs,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incurred as a result of the early repayment of debt, including early tender premiums and costs associated with the termination of related hedging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dispositions, changes in the fair value of contingent consideration and financial instruments, and other similar or infrequent items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(although we may not have had such charges in the periods presented). Adjusted EBITDA includes adjustments to reflect the Company’s share of Adjusted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EBITDA from unconsolidated entities. The Company believes that net income, as defined by GAAP, is the most appropriate earnings metric; however,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 that Adjusted EBITDA serves as a useful supplement to net income because it allows investors, analysts and management to evaluate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performance of our segments in a manner that is comparable period over period. Adjusted EBITDA should not be considered as an alternative to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 as determined in accordance with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months ended March 31,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Fiber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Infrastructure</w:t>
            </w: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CLEC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272,586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191,497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29,721</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ind w:left="500"/>
              <w:spacing w:after="0"/>
              <w:rPr>
                <w:sz w:val="20"/>
                <w:szCs w:val="20"/>
                <w:color w:val="auto"/>
              </w:rPr>
            </w:pPr>
            <w:r>
              <w:rPr>
                <w:rFonts w:ascii="Arial" w:cs="Arial" w:eastAsia="Arial" w:hAnsi="Arial"/>
                <w:sz w:val="18"/>
                <w:szCs w:val="18"/>
                <w:color w:val="auto"/>
              </w:rPr>
              <w:t>-   $</w:t>
            </w:r>
          </w:p>
        </w:tc>
        <w:tc>
          <w:tcPr>
            <w:tcW w:w="1220" w:type="dxa"/>
            <w:vAlign w:val="bottom"/>
          </w:tcPr>
          <w:p>
            <w:pPr>
              <w:ind w:left="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(6,970)</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214,248</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140,581</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42,226</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28,670</w:t>
            </w:r>
          </w:p>
        </w:tc>
        <w:tc>
          <w:tcPr>
            <w:tcW w:w="72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Arial" w:cs="Arial" w:eastAsia="Arial" w:hAnsi="Arial"/>
                <w:sz w:val="18"/>
                <w:szCs w:val="18"/>
                <w:color w:val="auto"/>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70,964</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4,137</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3,335</w:t>
            </w:r>
          </w:p>
        </w:tc>
        <w:tc>
          <w:tcPr>
            <w:tcW w:w="6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(2,557)</w:t>
            </w:r>
          </w:p>
        </w:tc>
      </w:tr>
      <w:tr>
        <w:trPr>
          <w:trHeight w:val="445"/>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-1748155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-1319530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20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5"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Fiber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Consumer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Leasing</w:t>
            </w: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Infrastructure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Towers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184,352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27,541</w:t>
            </w:r>
          </w:p>
        </w:tc>
        <w:tc>
          <w:tcPr>
            <w:tcW w:w="4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54,622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30,061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Commitments</w:t>
      </w:r>
    </w:p>
    <w:p>
      <w:pPr>
        <w:spacing w:after="0" w:line="22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Following consummation of our settlement agreement with Windstream, including entry into the Windstream Leases, we are obligated to make $490.1 million of cash payments to Windstream in equal installments over 20 consecutive quarters beginning in October 2020. As of the date of this Quarterly Report on Form 10-Q, the Company made the first three quarterly payments totaling $73.5 million.</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 we are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 2020. Accordingly, because we funded $84.7 million of the $125 million limit in 2020, we are committed to fund up to $265.3 million of Growth Capital Improvements in 2021, of which we funded $42.7 million as of March 31, 2021.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$1.0 million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reported within other assets on our Consolidated Balance Sheet as of March 31, 2021, will be amortized against revenue over the initial term of the Windstream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a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 On December 1, 2020, SLF filed a notice of appeal to the United States Court of Appeals for the Third Circuit from the district court’s dismissal order. The appeal is scheduled to be fully briefed by July 22, 2021. We have evaluated this matter under the guidance provided by ASC 450-20,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w:t>
      </w:r>
    </w:p>
    <w:p>
      <w:pPr>
        <w:spacing w:after="0" w:line="18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Beginning on October 25, 2019, several purported shareholders filed separate putative class actions in the U.S. District Court for the Eastern District of Arkansas against the Company and certain of our officers, alleging violations of the federal securities laws (the “Shareholder Actions”), based on claims similar to those asserted in the SLF Action. On March 12, 2020, the U.S. District Court for the Eastern District of Arkansas consolidated the Shareholder Actions and appointed lead plaintiffs and lead counsel in the consolidated cases under the caption In re Uniti Group Inc. Securities Litigation. On May 11, 2020, lead plaintiffs filed a consolidated amended complaint in the consolidated Shareholder Actions. The consolidated amended complaint seeks to represent investors who acquired the Company’s securities between April 20, 2015 and February 15, 2019. The Shareholder Actions assert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a “true lease.” The Shareholder Actions seek class certification, unspecified monetary damages, costs and attorneys’ fees and other relief. On July 10, 2020, defendants moved to dismiss the consolidated amended complaint. On April 1, 2021, the court issued an order denying Defendants’ motion to dismiss. On April 15, 2021, Defendants filed a motion for reconsideration of the order or, in the alternative, for certification of an appeal of the decision to the Eighth Circuit. Plaintiffs formally opposed this motion on April 29, 2021. We intend to defend this matter vigorously, and, because it is still in its preliminary stages, we have not yet determined what effect this lawsuit will have, if any, on our financial position or results of operations. We have evaluated this matter under the guidance provided by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 maintain insurance policies that would provide coverage to various degrees for potential liabilities arising from legal proceedings described above.</w:t>
      </w:r>
    </w:p>
    <w:p>
      <w:pPr>
        <w:spacing w:after="0" w:line="24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w:t>
      </w:r>
    </w:p>
    <w:p>
      <w:pPr>
        <w:spacing w:after="0" w:line="4"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the probability of us incurring obligations under the Tax Matters Agreement are remote; and therefore, we have recorded no such liabilities in our Condensed Consolidated Balance Sheet as of March 31, 2021.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income by component is as follows for the three months ended March 31, 2021 and 2020: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71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6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flow hedge changes in fair value (loss) gain:</w:t>
            </w: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(30,353)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(23,442)</w:t>
            </w:r>
          </w:p>
        </w:tc>
      </w:tr>
      <w:tr>
        <w:trPr>
          <w:trHeight w:val="230"/>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(7,713)</w:t>
            </w:r>
          </w:p>
        </w:tc>
      </w:tr>
      <w:tr>
        <w:trPr>
          <w:trHeight w:val="229"/>
        </w:trPr>
        <w:tc>
          <w:tcPr>
            <w:tcW w:w="71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(30,478)</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Less: Other comprehensive loss attributable to noncontrolling interest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23"/>
        </w:trPr>
        <w:tc>
          <w:tcPr>
            <w:tcW w:w="714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140" w:type="dxa"/>
            <w:vAlign w:val="bottom"/>
            <w:gridSpan w:val="2"/>
          </w:tcPr>
          <w:p>
            <w:pPr>
              <w:spacing w:after="0"/>
              <w:rPr>
                <w:sz w:val="20"/>
                <w:szCs w:val="20"/>
                <w:color w:val="auto"/>
              </w:rPr>
            </w:pPr>
            <w:r>
              <w:rPr>
                <w:rFonts w:ascii="Arial" w:cs="Arial" w:eastAsia="Arial" w:hAnsi="Arial"/>
                <w:sz w:val="18"/>
                <w:szCs w:val="18"/>
                <w:color w:val="auto"/>
              </w:rPr>
              <w:t>Interest rate swap termination:</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Less: Other comprehensive (loss) income attributable to noncontrolling interest</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12,773</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at end of period</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(17,580)</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(28,717)</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2028 Secured Notes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20, 2021, the Borrowers issued $570 million aggregate principal amount of the 2028 Secured Notes and will use the net proceeds from the offering to fund the redemption in full of the 2023 Secured Notes on May 6, 2021. On April 20, 2021, the Borrowers deposited amounts sufficient to fund the redemption of the 2023 Secured Notes with the trustee and satisfied and discharged their respective obligations under the indenture governing the 2023 Secured Notes.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2028 Secured Notes were issued at an issue price of 100% of their principal amount pursuant to an Indenture, dated as of April 20, 2021 (the “Indenture”), among the Borrowers, the guarantors named therein (collectively, the “Guarantors”) and Deutsche Bank Trust Company Americas, as trustee (in such capacity, the “Trustee”) and as collateral agent. The 2028 Secured Notes mature on April 15, 2028 and bear interest at a rate of 4.750% per year. Interest on the 2028 Secured Notes is payable on April 15 and October 15 of each year, beginning on October 15, 2021.</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Borrowers may redeem the 2028 Secured Notes, in whole or in part, at any time prior to April 15, 2024 at a redemption price equal to 100% of the principal amount of the 2028 Secured Notes redeemed plus accrued and unpaid interest on the 2028 Secured Notes, if any, to, but not including, the redemption date, plus an applicable “make whole” premium described in the Indenture. Thereafter, the Borrowers may redeem the 2028 Secured Notes in whole or in part, at the redemption prices set forth in the Indenture. In addition, prior to April 15, 2024, the Borrowers may redeem up to 10% of the aggregate principal amount of the 2028 Secured Notes in any twelve month period at a redemption price equal to 103% of the principal amount thereof plus accrued and unpaid interest thereon, if any, to, but not including, the applicable redemption date. Further, at any time on or prior to April 15, 2024, up to 40% of the aggregate principal amount of the 2028 Secured Notes may be redeemed with the net cash proceeds of certain equity offerings at a redemption price of 104.750% of the principal amount plus accrued and unpaid interest, if any, to, but not including, the applicable redemption date; provided that at least 60% of aggregate principal amount of the originally issued 2028 Secured Notes remains outstanding. If certain changes of control of Uniti Group LP occur, holders of the 2028 Secured Notes will have the right to require the Borrowers to offer to repurchase their Notes at 101% of their principal amount plus accrued and unpaid interest, if any, to, but not including, the repurchase 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The 2028 Secured Notes are fully and unconditionally guaranteed, jointly and severally, on a senior unsecured basis by the Company and on a senior secured basis by each of Uniti Group LP’s existing and future domestic restricted subsidiaries (other than the Borrowers) that guarantees indebtedness under the senior secured credit facilities (the “Subsidiary Guarantors”). In addition, the Borrowers will use commercially reasonable efforts to obtain necessary regulatory approval to allow certain non-guarantor subsidiaries of the Company to guarantee the 2028 Secured Notes, including by making filings to obtain such approval within 60 days of the issuance of the 2028 Secured Notes. The guarantees are subject to release under specified circumstances, including certain circumstances in which such guarantees may be automatically released without the consent of the holders of the 2028 Secured Notes.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2028 Secured Notes and the related guarantees are the Borrowers’ and the Subsidiary Guarantors’ senior secured obligations and the Company’s senior unsecured obligations and rank equal in right of payment with all of the Borrowers’ and the Subsidiary Guarantors’ existing and future senior unsubordinated obligations; effectively senior to all unsecured indebtedness of the Borrowers and the Subsidiary Guarantors, including the Borrowers’ existing senior unsecured notes, to the extent of the value of the collateral securing the 2028 Secured Notes; effectively equal with all of the Borrowers’ and the Subsidiary Guarantors’ existing and future indebtedness that is secured by first-priority liens on the collateral (including indebtedness under the senior secured credit facilities and existing secured notes); senior in right of payment to any of the Borrowers’ and Subsidiary Guarantors’ future subordinated indebtedness; and structurally subordinated to all existing and future liabilities (including trade payables) of the Company’s subsidiaries (other than the Borrowers) that do not guarantee the 2028 Secured Notes. The 2028 Secured Notes and the related guarantees will also be effectively subordinated to any existing or future indebtedness that is secured by liens on assets that do not constitute a part of the collateral securing the 2028 Secured Notes to the extent of the value of such assets.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2028 Secured Notes and the related guarantees will be secured by liens on substantially all of the assets of the Borrowers and the Subsidiary Guarantors, which assets also ratably secure obligations under the existing secured notes and senior secured credit facilities, in each case, subject to certain exceptions and permitted liens. The collateral will not include real property (below a specified threshold of value), but will include certain fixtures and other equipment as well as cash that we receive pursuant the Windstream Leases.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Indenture contains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of the Issuers and their restricted subsidiaries to pay dividends or other amounts to the Borrowers. These covenants are subject to a number of limitations, qualifications and exceptions. The Indenture also contains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7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our operations, financial condition, and changes in financial condition for the three months ended March 31, 2021.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March 5, 2021, as amended by Amendment No. 1 thereto filed on Form 10-K/A with the SEC on March 30, 2021 (the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8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former towers business,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March 31, 2021, we are the sole general partner of the Operating Partnership and own approximately 98.5% of the partnership interests in the Operating Partnership.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right="80" w:firstLine="8"/>
        <w:spacing w:after="0" w:line="252"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historically managed our operations as the four reportable business segments listed below (in addition to our corporate operations), but due to the sale of our towers business and wind down of the Consumer CLEC Business, effective January 1, 2021, we manage our operations focused on our two primary businesses, Leasing and Fiber Infrastructure:</w:t>
      </w:r>
    </w:p>
    <w:p>
      <w:pPr>
        <w:spacing w:after="0" w:line="1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u w:val="single" w:color="auto"/>
          <w:color w:val="auto"/>
        </w:rPr>
        <w:t>Leasing Segment</w:t>
      </w:r>
      <w:r>
        <w:rPr>
          <w:rFonts w:ascii="Arial" w:cs="Arial" w:eastAsia="Arial" w:hAnsi="Arial"/>
          <w:sz w:val="16"/>
          <w:szCs w:val="16"/>
          <w:color w:val="auto"/>
        </w:rPr>
        <w:t>: Represents the results from our leasing business, Uniti Leasing, which is engaged in the acquisition of mission-critical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leasing them to anchor customers on either an exclusive or shared-tenant basis. Uniti Leasing is a component of our REIT operations.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u w:val="single" w:color="auto"/>
          <w:color w:val="auto"/>
        </w:rPr>
        <w:t>Towers Segment</w:t>
      </w:r>
      <w:r>
        <w:rPr>
          <w:rFonts w:ascii="Arial" w:cs="Arial" w:eastAsia="Arial" w:hAnsi="Arial"/>
          <w:sz w:val="16"/>
          <w:szCs w:val="16"/>
          <w:color w:val="auto"/>
        </w:rPr>
        <w:t>: Represents the operations of our former towers business, Uniti Towers, through which we acquired and constructed tower and tower-related real estate and leased space on communications towers to wireless service providers and other tenants in the United States. Starting in 2019, the Company completed a series of transactions to largely divest of its towers business: on April 2, 2019, May 23, 2019 and June 1, 2020, the Company completed the sales of its Latin American business, substantially all of its U.S. ground lease business, and its U.S. tower business, respectively. Portions of our former towers business were a component of our REIT operations, while the remainder were owned and operated by our TRSs.</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operated the Consumer CLEC Business that, prior to the Spin-Off, was reported as an integrated operation within Windstream. Talk America provided local telephone, high-speed internet and long-distance services to customers in the eastern and central United States. As of the end of the second quarter of 2020, we substantially completed a wind down of our Consumer CLEC Business.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costs related to the settlement with Windstream, amortization of non-cash rights-of-use, the write off of unamortized deferred financing costs, costs incurred as a result of the early repayment of debt, including early tender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13 to our accompanying Condensed Consolidated Financial Statements contained in Part I, Item 1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u w:val="single" w:color="auto"/>
          <w:color w:val="auto"/>
        </w:rPr>
        <w:t>Unsecured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highlight w:val="white"/>
        </w:rPr>
        <w:t>Notes Offering, Tender and Redemption.</w:t>
      </w:r>
      <w:r>
        <w:rPr>
          <w:rFonts w:ascii="Arial" w:cs="Arial" w:eastAsia="Arial" w:hAnsi="Arial"/>
          <w:sz w:val="18"/>
          <w:szCs w:val="18"/>
          <w:i w:val="1"/>
          <w:iCs w:val="1"/>
          <w:color w:val="auto"/>
        </w:rPr>
        <w:t xml:space="preserve"> </w:t>
      </w:r>
      <w:r>
        <w:rPr>
          <w:rFonts w:ascii="Arial" w:cs="Arial" w:eastAsia="Arial" w:hAnsi="Arial"/>
          <w:sz w:val="18"/>
          <w:szCs w:val="18"/>
          <w:color w:val="auto"/>
          <w:highlight w:val="white"/>
        </w:rPr>
        <w:t>On February 2, 2021, the Operating Partnership, Uniti Group Finance 2019 Inc. and CSL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LLC, as co-issuers and, collectively, the “Issuers,” issued $1.11 billion aggregate principal amount of 6.50% Senior Notes due 2029 (the “2029 Notes”). The Issuers used the net proceeds from the offering to fund the tender offer of substantially all $1.11 billion principal amount of their 8.25% Senior Notes due 2023 (the “2023 Notes”), of which $58.8 million remained outstanding as of March 31, 2021. On April 15, 2021, the Issuers redeemed the remaining outstanding principal amount of the 2023 Notes.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Secured Notes Offering and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20, 2021, the Issuers issued $570 million aggregate principal amount of 4.750% Senior Secured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due 2028 (the “2028 Secured Notes”) and will use the net proceeds from the offering to fund the redemption in full of their outstanding 6.00% Senior Secured Notes due 2023 (the “2023 Secured Notes”) on May 6, 2021. On April 20, 2021, the Issuers deposited amounts sufficient to fund the redemption of the 2023 Secured Notes with the trustee and satisfied and discharged their respective obligations under the indenture governing the 2023 Secured Notes. See Note 16 – Subsequent Events to our Condensed Consolidated Financial Statements, included in this report at Part I, Item 1-Financial Statements for additional information.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b w:val="1"/>
                <w:bCs w:val="1"/>
                <w:color w:val="auto"/>
                <w:w w:val="96"/>
              </w:rPr>
              <w:t>Three Months Ended March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194,936</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71.5%</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184,352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69.2%</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28.5%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29.1%</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1.4%</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0.3%</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266,162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r>
      <w:tr>
        <w:trPr>
          <w:trHeight w:val="237"/>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140,581</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51.5%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178,393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67.0%</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70,964</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26.0%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86,121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32.4%</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25,823</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10.2%</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38,084</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14.0%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40,310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15.1%</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6.0%</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0.2%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1.2%</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102.7%</w:t>
            </w:r>
          </w:p>
        </w:tc>
        <w:tc>
          <w:tcPr>
            <w:tcW w:w="3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351,004</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131.9%</w:t>
            </w:r>
          </w:p>
        </w:tc>
        <w:tc>
          <w:tcPr>
            <w:tcW w:w="120" w:type="dxa"/>
            <w:vAlign w:val="bottom"/>
            <w:tcBorders>
              <w:bottom w:val="single" w:sz="8" w:color="CFF0FC"/>
            </w:tcBorders>
          </w:tcPr>
          <w:p>
            <w:pPr>
              <w:spacing w:after="0"/>
              <w:rPr>
                <w:sz w:val="19"/>
                <w:szCs w:val="19"/>
                <w:color w:val="auto"/>
              </w:rPr>
            </w:pPr>
          </w:p>
        </w:tc>
      </w:tr>
      <w:tr>
        <w:trPr>
          <w:trHeight w:val="205"/>
        </w:trPr>
        <w:tc>
          <w:tcPr>
            <w:tcW w:w="55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1"/>
              </w:rPr>
              <w:t>Loss before income taxes and equity in earnings from unconsolidated</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entities</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(7,457)</w:t>
            </w: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(2.7%)</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(84,842)</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5"/>
              </w:rPr>
              <w:t>(31.9%)</w:t>
            </w:r>
          </w:p>
        </w:tc>
        <w:tc>
          <w:tcPr>
            <w:tcW w:w="120" w:type="dxa"/>
            <w:vAlign w:val="bottom"/>
            <w:shd w:val="clear" w:color="auto" w:fill="CFF0FC"/>
          </w:tcPr>
          <w:p>
            <w:pPr>
              <w:spacing w:after="0"/>
              <w:rPr>
                <w:sz w:val="20"/>
                <w:szCs w:val="20"/>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2,557</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1.7%</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0.1%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(1.7%)</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(80,266)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5"/>
              </w:rPr>
              <w:t>(30.2%)</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(0.6%)</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Net loss attributable to shareholders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(1.6%)</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(78,853)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5"/>
              </w:rPr>
              <w:t>(29.6%)</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(248)</w:t>
            </w: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(0.1%)</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(0.0%)</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5"/>
              </w:rPr>
              <w:t>(29.7%)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5500" w:type="dxa"/>
            <w:vAlign w:val="bottom"/>
          </w:tcPr>
          <w:p>
            <w:pPr>
              <w:spacing w:after="0"/>
              <w:rPr>
                <w:sz w:val="24"/>
                <w:szCs w:val="24"/>
                <w:color w:val="auto"/>
              </w:rPr>
            </w:pP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36</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set forth, for the three months ended March 31, 2021 and 2020, revenues, Adjusted EBITDA and net (loss) income of our reportable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Fiber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Infrastructure</w:t>
            </w: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CLEC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272,586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191,497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29,721</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ind w:left="500"/>
              <w:spacing w:after="0"/>
              <w:rPr>
                <w:sz w:val="20"/>
                <w:szCs w:val="20"/>
                <w:color w:val="auto"/>
              </w:rPr>
            </w:pPr>
            <w:r>
              <w:rPr>
                <w:rFonts w:ascii="Arial" w:cs="Arial" w:eastAsia="Arial" w:hAnsi="Arial"/>
                <w:sz w:val="18"/>
                <w:szCs w:val="18"/>
                <w:color w:val="auto"/>
              </w:rPr>
              <w:t>-   $</w:t>
            </w:r>
          </w:p>
        </w:tc>
        <w:tc>
          <w:tcPr>
            <w:tcW w:w="1220" w:type="dxa"/>
            <w:vAlign w:val="bottom"/>
          </w:tcPr>
          <w:p>
            <w:pPr>
              <w:ind w:left="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(6,970)</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214,248</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140,581</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42,226</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28,670</w:t>
            </w:r>
          </w:p>
        </w:tc>
        <w:tc>
          <w:tcPr>
            <w:tcW w:w="72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Arial" w:cs="Arial" w:eastAsia="Arial" w:hAnsi="Arial"/>
                <w:sz w:val="18"/>
                <w:szCs w:val="18"/>
                <w:color w:val="auto"/>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70,964</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4,137</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3,335</w:t>
            </w:r>
          </w:p>
        </w:tc>
        <w:tc>
          <w:tcPr>
            <w:tcW w:w="6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(2,557)</w:t>
            </w:r>
          </w:p>
        </w:tc>
      </w:tr>
      <w:tr>
        <w:trPr>
          <w:trHeight w:val="446"/>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-1748155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-1319530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5"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Fiber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Consumer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Leasing</w:t>
            </w: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Infrastructure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Towers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184,352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27,541</w:t>
            </w:r>
          </w:p>
        </w:tc>
        <w:tc>
          <w:tcPr>
            <w:tcW w:w="480" w:type="dxa"/>
            <w:vAlign w:val="bottom"/>
            <w:gridSpan w:val="3"/>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54,622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30,061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86,121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89"/>
              </w:rPr>
              <w:t>37</w:t>
            </w: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4"/>
        </w:trPr>
        <w:tc>
          <w:tcPr>
            <w:tcW w:w="5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Summary of Operating Metrics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Operating Metrics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1"/>
              </w:rPr>
              <w:t>As of March 31,</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2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2"/>
              </w:rPr>
              <w:t>% Increase /</w:t>
            </w:r>
          </w:p>
        </w:tc>
        <w:tc>
          <w:tcPr>
            <w:tcW w:w="10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42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5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Operating metrics:</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Fiber strand miles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4,550,000</w:t>
            </w:r>
          </w:p>
        </w:tc>
        <w:tc>
          <w:tcPr>
            <w:tcW w:w="12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4,300,000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5.8%</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Copper strand miles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230,000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19"/>
                <w:szCs w:val="19"/>
                <w:color w:val="auto"/>
              </w:rPr>
            </w:pPr>
          </w:p>
        </w:tc>
      </w:tr>
      <w:tr>
        <w:trPr>
          <w:trHeight w:val="229"/>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Fiber strand miles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2,490,000</w:t>
            </w:r>
          </w:p>
        </w:tc>
        <w:tc>
          <w:tcPr>
            <w:tcW w:w="12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2,050,000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21.5%</w:t>
            </w:r>
          </w:p>
        </w:tc>
        <w:tc>
          <w:tcPr>
            <w:tcW w:w="100" w:type="dxa"/>
            <w:vAlign w:val="bottom"/>
          </w:tcPr>
          <w:p>
            <w:pPr>
              <w:spacing w:after="0"/>
              <w:rPr>
                <w:sz w:val="19"/>
                <w:szCs w:val="19"/>
                <w:color w:val="auto"/>
              </w:rPr>
            </w:pPr>
          </w:p>
        </w:tc>
      </w:tr>
      <w:tr>
        <w:trPr>
          <w:trHeight w:val="229"/>
        </w:trPr>
        <w:tc>
          <w:tcPr>
            <w:tcW w:w="58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18.7%</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United States towers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(100.0%)</w:t>
            </w:r>
          </w:p>
        </w:tc>
        <w:tc>
          <w:tcPr>
            <w:tcW w:w="100" w:type="dxa"/>
            <w:vAlign w:val="bottom"/>
            <w:shd w:val="clear" w:color="auto" w:fill="CFF0FC"/>
          </w:tcPr>
          <w:p>
            <w:pPr>
              <w:spacing w:after="0"/>
              <w:rPr>
                <w:sz w:val="19"/>
                <w:szCs w:val="19"/>
                <w:color w:val="auto"/>
              </w:rPr>
            </w:pPr>
          </w:p>
        </w:tc>
      </w:tr>
      <w:tr>
        <w:trPr>
          <w:trHeight w:val="432"/>
        </w:trPr>
        <w:tc>
          <w:tcPr>
            <w:tcW w:w="5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w w:val="97"/>
              </w:rPr>
              <w:t>Three Months Ended March 31,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5"/>
        </w:trPr>
        <w:tc>
          <w:tcPr>
            <w:tcW w:w="12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8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5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194,936</w:t>
            </w:r>
          </w:p>
        </w:tc>
        <w:tc>
          <w:tcPr>
            <w:tcW w:w="260" w:type="dxa"/>
            <w:vAlign w:val="bottom"/>
          </w:tcPr>
          <w:p>
            <w:pPr>
              <w:spacing w:after="0"/>
              <w:rPr>
                <w:sz w:val="19"/>
                <w:szCs w:val="19"/>
                <w:color w:val="auto"/>
              </w:rPr>
            </w:pP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90"/>
              </w:rPr>
              <w:t>71.5%</w:t>
            </w: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184,352</w:t>
            </w:r>
          </w:p>
        </w:tc>
        <w:tc>
          <w:tcPr>
            <w:tcW w:w="40" w:type="dxa"/>
            <w:vAlign w:val="bottom"/>
          </w:tcPr>
          <w:p>
            <w:pPr>
              <w:spacing w:after="0"/>
              <w:rPr>
                <w:sz w:val="19"/>
                <w:szCs w:val="19"/>
                <w:color w:val="auto"/>
              </w:rPr>
            </w:pP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69.2%</w:t>
            </w:r>
          </w:p>
        </w:tc>
        <w:tc>
          <w:tcPr>
            <w:tcW w:w="100" w:type="dxa"/>
            <w:vAlign w:val="bottom"/>
          </w:tcPr>
          <w:p>
            <w:pPr>
              <w:spacing w:after="0"/>
              <w:rPr>
                <w:sz w:val="19"/>
                <w:szCs w:val="19"/>
                <w:color w:val="auto"/>
              </w:rPr>
            </w:pPr>
          </w:p>
        </w:tc>
      </w:tr>
      <w:tr>
        <w:trPr>
          <w:trHeight w:val="229"/>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77,650</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0"/>
              </w:rPr>
              <w:t>28.5%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0"/>
              </w:rPr>
              <w:t>29.1%</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40" w:type="dxa"/>
            <w:vAlign w:val="bottom"/>
          </w:tcPr>
          <w:p>
            <w:pPr>
              <w:spacing w:after="0"/>
              <w:rPr>
                <w:sz w:val="19"/>
                <w:szCs w:val="19"/>
                <w:color w:val="auto"/>
              </w:rPr>
            </w:pP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1.4%</w:t>
            </w: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272,586</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266,162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our Distribution Systems to Windstream pursuant to the Windstream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The aggregate initial annual rent under the Windstream Leases is $663 million, equal to the annual rent under the Master Lease previously in effect, and is subject to annual escalation at a rate of 0.5%.</w:t>
      </w:r>
    </w:p>
    <w:p>
      <w:pPr>
        <w:spacing w:after="0" w:line="1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Pursuant to the Windstream Leases, Windstream (or any successor tenant under a Windstream Lease) has the right to cause Uniti to reimburse up to an aggregate $1.75 billion for certain growth capital improvements in long-term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Accordingly, because we funded $84.7 million of the $125 million limit in 2020, we are committed to fund up to $265.3 million of Growth Capital Improvements in 2021.</w:t>
      </w:r>
    </w:p>
    <w:p>
      <w:pPr>
        <w:spacing w:after="0" w:line="192" w:lineRule="exact"/>
        <w:rPr>
          <w:sz w:val="20"/>
          <w:szCs w:val="20"/>
          <w:color w:val="auto"/>
        </w:rPr>
      </w:pPr>
    </w:p>
    <w:p>
      <w:pPr>
        <w:jc w:val="both"/>
        <w:ind w:right="560"/>
        <w:spacing w:after="0" w:line="29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5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were made to Windstream during quarter ended March 31, 2021.</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three months ended March 31, 2021, Uniti reimbursed $42.7 million of Growth Capital Improvements, of which $27.5 million, as allowed for under the Settlement, represented the reimbursement of capital improvements completed in 2020 that were previously classified as TCIs.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$1.0 million and reported within other assets on our Condensed Consolidated Balance Sheet as of March 31, 2021, will be amortized against revenue over the initial term of the Windstream Leases. Subsequent to March 31, 2021, Windstream requested, and we reimbursed $14.9 million of qualifying Growth Capital Improvements. As of the date of this Quarterly Report on Form 10-Q, we have reimbursed a total of $142.3 million of Growth Capital Improvements.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93"/>
        </w:trPr>
        <w:tc>
          <w:tcPr>
            <w:tcW w:w="128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2"/>
              </w:rPr>
              <w:t>Three Months Ended March 31,</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1"/>
                <w:szCs w:val="21"/>
                <w:color w:val="auto"/>
              </w:rPr>
            </w:pPr>
          </w:p>
        </w:tc>
      </w:tr>
      <w:tr>
        <w:trPr>
          <w:trHeight w:val="205"/>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00" w:type="dxa"/>
            <w:vAlign w:val="bottom"/>
          </w:tcPr>
          <w:p>
            <w:pPr>
              <w:spacing w:after="0"/>
              <w:rPr>
                <w:sz w:val="17"/>
                <w:szCs w:val="17"/>
                <w:color w:val="auto"/>
              </w:rPr>
            </w:pPr>
          </w:p>
        </w:tc>
      </w:tr>
      <w:tr>
        <w:trPr>
          <w:trHeight w:val="234"/>
        </w:trPr>
        <w:tc>
          <w:tcPr>
            <w:tcW w:w="53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3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Windstream Leases: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rent</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85.1%</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4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0"/>
              </w:rPr>
              <w:t>89.5%</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Non-cash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TCI revenue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4.7%</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4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4.5%</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gridSpan w:val="2"/>
          </w:tcPr>
          <w:p>
            <w:pPr>
              <w:ind w:left="500"/>
              <w:spacing w:after="0"/>
              <w:rPr>
                <w:sz w:val="20"/>
                <w:szCs w:val="20"/>
                <w:color w:val="auto"/>
              </w:rPr>
            </w:pPr>
            <w:r>
              <w:rPr>
                <w:rFonts w:ascii="Arial" w:cs="Arial" w:eastAsia="Arial" w:hAnsi="Arial"/>
                <w:sz w:val="18"/>
                <w:szCs w:val="18"/>
                <w:color w:val="auto"/>
              </w:rPr>
              <w:t>Straight-line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19"/>
                <w:szCs w:val="19"/>
                <w:color w:val="auto"/>
              </w:rPr>
            </w:pPr>
          </w:p>
        </w:tc>
      </w:tr>
      <w:tr>
        <w:trPr>
          <w:trHeight w:val="223"/>
        </w:trPr>
        <w:tc>
          <w:tcPr>
            <w:tcW w:w="5380" w:type="dxa"/>
            <w:vAlign w:val="bottom"/>
            <w:tcBorders>
              <w:top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non-cash revenue</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7.6%</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80" w:type="dxa"/>
            <w:vAlign w:val="bottom"/>
            <w:gridSpan w:val="2"/>
          </w:tcPr>
          <w:p>
            <w:pPr>
              <w:ind w:left="260"/>
              <w:spacing w:after="0"/>
              <w:rPr>
                <w:sz w:val="20"/>
                <w:szCs w:val="20"/>
                <w:color w:val="auto"/>
              </w:rPr>
            </w:pPr>
            <w:r>
              <w:rPr>
                <w:rFonts w:ascii="Arial" w:cs="Arial" w:eastAsia="Arial" w:hAnsi="Arial"/>
                <w:sz w:val="18"/>
                <w:szCs w:val="18"/>
                <w:color w:val="auto"/>
              </w:rPr>
              <w:t>Total Windstream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92.7%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173.3</w:t>
            </w:r>
          </w:p>
        </w:tc>
        <w:tc>
          <w:tcPr>
            <w:tcW w:w="2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94.0%</w:t>
            </w:r>
          </w:p>
        </w:tc>
        <w:tc>
          <w:tcPr>
            <w:tcW w:w="100" w:type="dxa"/>
            <w:vAlign w:val="bottom"/>
          </w:tcPr>
          <w:p>
            <w:pPr>
              <w:spacing w:after="0"/>
              <w:rPr>
                <w:sz w:val="19"/>
                <w:szCs w:val="19"/>
                <w:color w:val="auto"/>
              </w:rPr>
            </w:pPr>
          </w:p>
        </w:tc>
      </w:tr>
      <w:tr>
        <w:trPr>
          <w:trHeight w:val="229"/>
        </w:trPr>
        <w:tc>
          <w:tcPr>
            <w:tcW w:w="5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triple-net leasing and dark fiber IRU</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7.3%</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6.0%</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Total Leasing revenues</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2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TCI revenue is attributable to continued investment by Windstream, where Windstream invested $62.9 million of TCIs during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2021. The total amount invested in TCIs by Windstream since the inception of the Windstream Leases and Master Lease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$909.6 million as of March 31, 2021. For the three months ended March 31, 2021, we recognized $14.2 million of leasing revenues from non-Windstream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triple-net leasing and dark fiber indefeasible rights of use (“IRU”) arrangements. For the three months ended March 31, 2020, we recognized $11.1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non-Windstream triple-net leasing and dark fiber IRU arrangements.</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Prior to its emergence from bankruptcy on September 21, 2020, Windstream was a publicly traded company and was subject to the periodic filing requirements of the Securities Exchange Act of 1934, as amended (the “Exchange Act”). Windstream’s historic filings through their quarter ended June 30, 2020 can be found at www.sec.gov. On September 22, 2020, Windstream filed a Form 15 to terminate all filing obligations under Section 12(g) and 15(d) under the Exchange Act. Windstream filings are not incorporated by reference in this Quarterly Report on Form 10-Q.</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In order to assist us in our continuing assessment of Windstream’s creditworthiness, we receive certain confidential financial information and metrics from Windstream.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March 31, 2021 and 2020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4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4"/>
              </w:rPr>
              <w:t>Three Months Ended March 31,</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20" w:type="dxa"/>
            <w:vAlign w:val="bottom"/>
          </w:tcPr>
          <w:p>
            <w:pPr>
              <w:spacing w:after="0"/>
              <w:rPr>
                <w:sz w:val="17"/>
                <w:szCs w:val="17"/>
                <w:color w:val="auto"/>
              </w:rPr>
            </w:pP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54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25,044</w:t>
            </w:r>
          </w:p>
        </w:tc>
        <w:tc>
          <w:tcPr>
            <w:tcW w:w="2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32.3%</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28,192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36.5%</w:t>
            </w:r>
          </w:p>
        </w:tc>
        <w:tc>
          <w:tcPr>
            <w:tcW w:w="120" w:type="dxa"/>
            <w:vAlign w:val="bottom"/>
          </w:tcPr>
          <w:p>
            <w:pPr>
              <w:spacing w:after="0"/>
              <w:rPr>
                <w:sz w:val="19"/>
                <w:szCs w:val="19"/>
                <w:color w:val="auto"/>
              </w:rPr>
            </w:pPr>
          </w:p>
        </w:tc>
      </w:tr>
      <w:tr>
        <w:trPr>
          <w:trHeight w:val="229"/>
        </w:trPr>
        <w:tc>
          <w:tcPr>
            <w:tcW w:w="5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19,258</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24.9%</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19,364</w:t>
            </w:r>
          </w:p>
        </w:tc>
        <w:tc>
          <w:tcPr>
            <w:tcW w:w="2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24.9%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20,937</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27.0%</w:t>
            </w:r>
          </w:p>
        </w:tc>
        <w:tc>
          <w:tcPr>
            <w:tcW w:w="120" w:type="dxa"/>
            <w:vAlign w:val="bottom"/>
          </w:tcPr>
          <w:p>
            <w:pPr>
              <w:spacing w:after="0"/>
              <w:rPr>
                <w:sz w:val="19"/>
                <w:szCs w:val="19"/>
                <w:color w:val="auto"/>
              </w:rPr>
            </w:pPr>
          </w:p>
        </w:tc>
      </w:tr>
      <w:tr>
        <w:trPr>
          <w:trHeight w:val="229"/>
        </w:trPr>
        <w:tc>
          <w:tcPr>
            <w:tcW w:w="5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11,426</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10.9%</w:t>
            </w:r>
          </w:p>
        </w:tc>
        <w:tc>
          <w:tcPr>
            <w:tcW w:w="120" w:type="dxa"/>
            <w:vAlign w:val="bottom"/>
            <w:shd w:val="clear" w:color="auto" w:fill="CFF0FC"/>
          </w:tcPr>
          <w:p>
            <w:pPr>
              <w:spacing w:after="0"/>
              <w:rPr>
                <w:sz w:val="19"/>
                <w:szCs w:val="19"/>
                <w:color w:val="auto"/>
              </w:rPr>
            </w:pPr>
          </w:p>
        </w:tc>
      </w:tr>
      <w:tr>
        <w:trPr>
          <w:trHeight w:val="229"/>
        </w:trPr>
        <w:tc>
          <w:tcPr>
            <w:tcW w:w="54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 services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2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1.1%</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2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77,407</w:t>
            </w:r>
          </w:p>
        </w:tc>
        <w:tc>
          <w:tcPr>
            <w:tcW w:w="3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the three months ended March 31, 2021, Fiber Infrastructure revenues totaled $77.7 million as compared to $77.4 million for the three months ended March 31, 2020. At March 31, 2021 we had approximately 26,315 customer connections, up from 22,175 customer connections at March 31, 2020.</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March 31, 2021, we recognized no revenue from the Towers business, as we completed the sale of our U.S. tower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on June 1, 2020.</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March 31, 2021, we recognized no revenue from the Consumer CLEC Business,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50"/>
              <w:spacing w:after="0" w:line="205" w:lineRule="exact"/>
              <w:rPr>
                <w:sz w:val="20"/>
                <w:szCs w:val="20"/>
                <w:color w:val="auto"/>
              </w:rPr>
            </w:pPr>
            <w:r>
              <w:rPr>
                <w:rFonts w:ascii="Arial" w:cs="Arial" w:eastAsia="Arial" w:hAnsi="Arial"/>
                <w:sz w:val="18"/>
                <w:szCs w:val="18"/>
                <w:b w:val="1"/>
                <w:bCs w:val="1"/>
                <w:color w:val="auto"/>
                <w:w w:val="96"/>
              </w:rPr>
              <w:t>Increase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60"/>
              <w:spacing w:after="0"/>
              <w:rPr>
                <w:sz w:val="20"/>
                <w:szCs w:val="20"/>
                <w:color w:val="auto"/>
              </w:rPr>
            </w:pPr>
            <w:r>
              <w:rPr>
                <w:rFonts w:ascii="Arial" w:cs="Arial" w:eastAsia="Arial" w:hAnsi="Arial"/>
                <w:sz w:val="18"/>
                <w:szCs w:val="18"/>
                <w:b w:val="1"/>
                <w:bCs w:val="1"/>
                <w:color w:val="auto"/>
              </w:rPr>
              <w:t>Cash:</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17,400</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30"/>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Senior secured notes - 6.00% and 7.875%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Senior unsecured notes - 4.00%, 7.125%, 6.50% and 8.25%</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Tender premium payment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cash interest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60"/>
              <w:spacing w:after="0"/>
              <w:rPr>
                <w:sz w:val="20"/>
                <w:szCs w:val="20"/>
                <w:color w:val="auto"/>
              </w:rPr>
            </w:pPr>
            <w:r>
              <w:rPr>
                <w:rFonts w:ascii="Arial" w:cs="Arial" w:eastAsia="Arial" w:hAnsi="Arial"/>
                <w:sz w:val="18"/>
                <w:szCs w:val="18"/>
                <w:b w:val="1"/>
                <w:bCs w:val="1"/>
                <w:color w:val="auto"/>
              </w:rPr>
              <w:t>Non-cash:</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30"/>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Write off of deferred financing costs and debt discount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(53,480)</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Accretion of settlement payable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Capitalized Interest</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non-cash interest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82,897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620"/>
              <w:spacing w:after="0"/>
              <w:rPr>
                <w:sz w:val="20"/>
                <w:szCs w:val="20"/>
                <w:color w:val="auto"/>
              </w:rPr>
            </w:pPr>
            <w:r>
              <w:rPr>
                <w:rFonts w:ascii="Arial" w:cs="Arial" w:eastAsia="Arial" w:hAnsi="Arial"/>
                <w:sz w:val="18"/>
                <w:szCs w:val="18"/>
                <w:color w:val="auto"/>
              </w:rPr>
              <w:t>Total interest expense, net</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Swapped to fixed rate. See Note 9</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Interest expense for the three months ended March 31, 2021 decreased $37.8 million compared to the three months ended March 31, 2020. The decrease is primarily due to the decrease in debt extinguishment loss of $73.9 million on the senior secured term loan B during the three months ended March 31, 2020 as compared to the debt extinguishment loss of $38.0 million on the 2023 Notes during the three months ended March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2"/>
        </w:trPr>
        <w:tc>
          <w:tcPr>
            <w:tcW w:w="1280" w:type="dxa"/>
            <w:vAlign w:val="bottom"/>
            <w:tcBorders>
              <w:top w:val="single" w:sz="8" w:color="0000EE"/>
            </w:tcBorders>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9"/>
          </w:tcPr>
          <w:p>
            <w:pPr>
              <w:jc w:val="right"/>
              <w:ind w:right="920"/>
              <w:spacing w:after="0"/>
              <w:rPr>
                <w:sz w:val="20"/>
                <w:szCs w:val="20"/>
                <w:color w:val="auto"/>
              </w:rPr>
            </w:pPr>
            <w:r>
              <w:rPr>
                <w:rFonts w:ascii="Arial" w:cs="Arial" w:eastAsia="Arial" w:hAnsi="Arial"/>
                <w:sz w:val="18"/>
                <w:szCs w:val="18"/>
                <w:b w:val="1"/>
                <w:bCs w:val="1"/>
                <w:color w:val="auto"/>
              </w:rPr>
              <w:t>Three Months Ended March 31,</w:t>
            </w:r>
          </w:p>
        </w:tc>
      </w:tr>
      <w:tr>
        <w:trPr>
          <w:trHeight w:val="205"/>
        </w:trPr>
        <w:tc>
          <w:tcPr>
            <w:tcW w:w="12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1"/>
              </w:rPr>
              <w:t>Increase /</w:t>
            </w:r>
          </w:p>
        </w:tc>
        <w:tc>
          <w:tcPr>
            <w:tcW w:w="100" w:type="dxa"/>
            <w:vAlign w:val="bottom"/>
          </w:tcPr>
          <w:p>
            <w:pPr>
              <w:spacing w:after="0"/>
              <w:rPr>
                <w:sz w:val="17"/>
                <w:szCs w:val="17"/>
                <w:color w:val="auto"/>
              </w:rPr>
            </w:pPr>
          </w:p>
        </w:tc>
      </w:tr>
      <w:tr>
        <w:trPr>
          <w:trHeight w:val="234"/>
        </w:trPr>
        <w:tc>
          <w:tcPr>
            <w:tcW w:w="54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54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Leasing</w:t>
            </w:r>
          </w:p>
        </w:tc>
        <w:tc>
          <w:tcPr>
            <w:tcW w:w="4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52,924</w:t>
            </w:r>
          </w:p>
        </w:tc>
        <w:tc>
          <w:tcPr>
            <w:tcW w:w="2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(9,754)</w:t>
            </w:r>
          </w:p>
        </w:tc>
      </w:tr>
      <w:tr>
        <w:trPr>
          <w:trHeight w:val="229"/>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(1,139)</w:t>
            </w:r>
          </w:p>
        </w:tc>
      </w:tr>
      <w:tr>
        <w:trPr>
          <w:trHeight w:val="230"/>
        </w:trPr>
        <w:tc>
          <w:tcPr>
            <w:tcW w:w="5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9"/>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(769)</w:t>
            </w:r>
          </w:p>
        </w:tc>
      </w:tr>
      <w:tr>
        <w:trPr>
          <w:trHeight w:val="229"/>
        </w:trPr>
        <w:tc>
          <w:tcPr>
            <w:tcW w:w="5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Total depreciation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66,190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77,859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(11,669)</w:t>
            </w:r>
          </w:p>
        </w:tc>
        <w:tc>
          <w:tcPr>
            <w:tcW w:w="100" w:type="dxa"/>
            <w:vAlign w:val="bottom"/>
          </w:tcPr>
          <w:p>
            <w:pPr>
              <w:spacing w:after="0"/>
              <w:rPr>
                <w:sz w:val="19"/>
                <w:szCs w:val="19"/>
                <w:color w:val="auto"/>
              </w:rPr>
            </w:pPr>
          </w:p>
        </w:tc>
      </w:tr>
      <w:tr>
        <w:trPr>
          <w:trHeight w:val="229"/>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Leasing</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(2,642)</w:t>
            </w:r>
          </w:p>
        </w:tc>
      </w:tr>
      <w:tr>
        <w:trPr>
          <w:trHeight w:val="229"/>
        </w:trPr>
        <w:tc>
          <w:tcPr>
            <w:tcW w:w="5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w:t>
            </w:r>
          </w:p>
        </w:tc>
      </w:tr>
      <w:tr>
        <w:trPr>
          <w:trHeight w:val="229"/>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Towers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Consumer CLEC</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r>
      <w:tr>
        <w:trPr>
          <w:trHeight w:val="223"/>
        </w:trPr>
        <w:tc>
          <w:tcPr>
            <w:tcW w:w="54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amortization expense</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Total depreciation and amortization expense</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70,964</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86,121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(15,157)</w:t>
            </w: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three months ended March 31, 2021 totaled $71.0 million, which included $66.2 million of depreciation expense and $4.8 million of amortization expense. Charges for depreciation and amortization for the three months ended March 31, 2020 totaled $86.1 million, which included $77.9 million of depreciation expense and $8.3 million of amortization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2"/>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05"/>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13,836</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5.1%</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13,855</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5.3%</w:t>
            </w:r>
          </w:p>
        </w:tc>
        <w:tc>
          <w:tcPr>
            <w:tcW w:w="120" w:type="dxa"/>
            <w:vAlign w:val="bottom"/>
          </w:tcPr>
          <w:p>
            <w:pPr>
              <w:spacing w:after="0"/>
              <w:rPr>
                <w:sz w:val="19"/>
                <w:szCs w:val="19"/>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3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9,417</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3.5%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9,882</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120" w:type="dxa"/>
            <w:vAlign w:val="bottom"/>
          </w:tcPr>
          <w:p>
            <w:pPr>
              <w:spacing w:after="0"/>
              <w:rPr>
                <w:sz w:val="19"/>
                <w:szCs w:val="19"/>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r>
      <w:tr>
        <w:trPr>
          <w:trHeight w:val="223"/>
        </w:trPr>
        <w:tc>
          <w:tcPr>
            <w:tcW w:w="598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three months ended March 31, 2021, general and administrative costs totaled $25.8 million, which includes $3.3 million of stock-based compensation. For the three months ended March 31, 2020, general and administrative costs totaled $27.1 million, which included $3.0 million of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Operating expense for the three months ended March 31, 2021 decreased from the three months ended March 31, 2020, which was primarily attributable to decreases in Fiber Infrastructure, Towers and Consumer CLEC Business operating expenses offset by an increase in Leasing operating expenses discussed below. Operating expense for our reportable segments for the three months ended March 31, 2021 and 2020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w w:val="96"/>
              </w:rPr>
              <w:t>Three Months Ended March 31,</w:t>
            </w: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12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Consolidated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52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9"/>
              </w:rPr>
              <w:t>Amount</w:t>
            </w: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Revenues</w:t>
            </w:r>
          </w:p>
        </w:tc>
        <w:tc>
          <w:tcPr>
            <w:tcW w:w="160" w:type="dxa"/>
            <w:vAlign w:val="bottom"/>
          </w:tcPr>
          <w:p>
            <w:pPr>
              <w:spacing w:after="0"/>
              <w:rPr>
                <w:sz w:val="20"/>
                <w:szCs w:val="20"/>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3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gridSpan w:val="3"/>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34,855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12.8%</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36,586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0"/>
              </w:rPr>
              <w:t>13.7%</w:t>
            </w:r>
          </w:p>
        </w:tc>
        <w:tc>
          <w:tcPr>
            <w:tcW w:w="120" w:type="dxa"/>
            <w:vAlign w:val="bottom"/>
          </w:tcPr>
          <w:p>
            <w:pPr>
              <w:spacing w:after="0"/>
              <w:rPr>
                <w:sz w:val="19"/>
                <w:szCs w:val="19"/>
                <w:color w:val="auto"/>
              </w:rPr>
            </w:pPr>
          </w:p>
        </w:tc>
      </w:tr>
      <w:tr>
        <w:trPr>
          <w:trHeight w:val="229"/>
        </w:trPr>
        <w:tc>
          <w:tcPr>
            <w:tcW w:w="55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2"/>
              </w:rPr>
              <w:t>0.3%</w:t>
            </w:r>
          </w:p>
        </w:tc>
        <w:tc>
          <w:tcPr>
            <w:tcW w:w="120" w:type="dxa"/>
            <w:vAlign w:val="bottom"/>
            <w:shd w:val="clear" w:color="auto" w:fill="CFF0FC"/>
          </w:tcPr>
          <w:p>
            <w:pPr>
              <w:spacing w:after="0"/>
              <w:rPr>
                <w:sz w:val="19"/>
                <w:szCs w:val="19"/>
                <w:color w:val="auto"/>
              </w:rPr>
            </w:pPr>
          </w:p>
        </w:tc>
      </w:tr>
      <w:tr>
        <w:trPr>
          <w:trHeight w:val="229"/>
        </w:trPr>
        <w:tc>
          <w:tcPr>
            <w:tcW w:w="5520" w:type="dxa"/>
            <w:vAlign w:val="bottom"/>
            <w:gridSpan w:val="3"/>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2"/>
              </w:rPr>
              <w:t>0.9%</w:t>
            </w:r>
          </w:p>
        </w:tc>
        <w:tc>
          <w:tcPr>
            <w:tcW w:w="120" w:type="dxa"/>
            <w:vAlign w:val="bottom"/>
          </w:tcPr>
          <w:p>
            <w:pPr>
              <w:spacing w:after="0"/>
              <w:rPr>
                <w:sz w:val="19"/>
                <w:szCs w:val="19"/>
                <w:color w:val="auto"/>
              </w:rPr>
            </w:pPr>
          </w:p>
        </w:tc>
      </w:tr>
      <w:tr>
        <w:trPr>
          <w:trHeight w:val="230"/>
        </w:trPr>
        <w:tc>
          <w:tcPr>
            <w:tcW w:w="55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CLEC</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FF0FC"/>
          </w:tcPr>
          <w:p>
            <w:pPr>
              <w:spacing w:after="0"/>
              <w:rPr>
                <w:sz w:val="19"/>
                <w:szCs w:val="19"/>
                <w:color w:val="auto"/>
              </w:rPr>
            </w:pPr>
          </w:p>
        </w:tc>
      </w:tr>
      <w:tr>
        <w:trPr>
          <w:trHeight w:val="223"/>
        </w:trPr>
        <w:tc>
          <w:tcPr>
            <w:tcW w:w="5520" w:type="dxa"/>
            <w:vAlign w:val="bottom"/>
            <w:gridSpan w:val="3"/>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38,084</w:t>
            </w: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14.0%</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15.1%</w:t>
            </w:r>
          </w:p>
        </w:tc>
        <w:tc>
          <w:tcPr>
            <w:tcW w:w="1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2021, Fiber Infrastructure operating expenses totaled $34.9 million as compared to $36.6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2020. Operating expense consists of network related costs, such as dark fiber and tower rents, and lit service and maintenance expense. In addition, costs associated with our construction activities are presented within operating expenses. The decrease in operating expenses is primarily attributable to a decrease of $5.8 million in construction related expenses, partially offset by increased personnel expense of $1.7 million.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was $3.2 million and $0.8 million for the three months ended March 31, 2021 and 2020, respectively. The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$2.2 million increase in network expenses due to the asset purchase agreement the Company entered into with Windstream which was completed in the third quarter of 2020.</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March 31, 2021, Towers operating expenses were not incurred as the U.S. tower business sale was completed on June</w:t>
      </w:r>
      <w:r>
        <w:rPr>
          <w:rFonts w:ascii="Arial" w:cs="Arial" w:eastAsia="Arial" w:hAnsi="Arial"/>
          <w:sz w:val="18"/>
          <w:szCs w:val="18"/>
          <w:i w:val="1"/>
          <w:iCs w:val="1"/>
          <w:color w:val="auto"/>
        </w:rPr>
        <w:t xml:space="preserve"> </w:t>
      </w:r>
      <w:r>
        <w:rPr>
          <w:rFonts w:ascii="Arial" w:cs="Arial" w:eastAsia="Arial" w:hAnsi="Arial"/>
          <w:sz w:val="18"/>
          <w:szCs w:val="18"/>
          <w:color w:val="auto"/>
        </w:rPr>
        <w:t>1, 2020. Towers operating expense was $2.3 million for the three months ended March 31, 2020.</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March 31, 2021, Consumer CLEC Business operating expenses were not incurred,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three months ended March 31, 2021, we incurred $4.1 million of transaction related and other costs, compared to $16.0 million of such costs during the three months ended March 31, 2020. The decrease is primarily related to incurring $13.0 million of total costs related to the Windstream bankruptcy for the three months ended March 31, 2020, as compared to $1.3 million for the three months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recorded for the three months ended March 31, 2021 and 2020, respectively, is related to the tax impact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(3,058)</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(4,584)</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 and local taxes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income tax benefit</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amortization of non-cash rights-of-use, the write off of unamortized deferred financing costs, costs incurred as a result of the early repayment of debt, including early tender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and accretion on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premium and costs associated with the termination of related hedging activities,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Arial" w:cs="Arial" w:eastAsia="Arial" w:hAnsi="Arial"/>
          <w:sz w:val="19"/>
          <w:szCs w:val="19"/>
          <w:color w:val="auto"/>
        </w:rPr>
        <w:t>.</w:t>
      </w:r>
    </w:p>
    <w:p>
      <w:pPr>
        <w:spacing w:after="0" w:line="38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(loss) income to EBITDA and Adjusted EBITDA and of our net (loss) income attributable to common shareholders to FFO and AFFO for the three months ended March 31, 2021 and 2020 is as follows:</w:t>
      </w:r>
    </w:p>
    <w:p>
      <w:pPr>
        <w:spacing w:after="0" w:line="180"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(80,266)</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70,964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86,121</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178,393</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Income tax benefit</w:t>
            </w:r>
          </w:p>
        </w:tc>
        <w:tc>
          <w:tcPr>
            <w:tcW w:w="4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(4,576)</w:t>
            </w: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and other costs</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15,972</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Other expense</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equity in earnings from unconsolidated entities</w:t>
            </w:r>
          </w:p>
        </w:tc>
        <w:tc>
          <w:tcPr>
            <w:tcW w:w="4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214,248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201,714</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(79,056)</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53,377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63,952</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Participating securities share in FFO</w:t>
            </w:r>
          </w:p>
        </w:tc>
        <w:tc>
          <w:tcPr>
            <w:tcW w:w="4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29"/>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Real estate depreciation and amortization from unconsolidated entities</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4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(1,132)</w:t>
            </w: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15,972</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Amortization of deferred financing costs and debt discount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9,708</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 off of deferred financing costs and debt discount</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Payment of tender premium</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based compensation</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22,169</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Straight-line revenues</w:t>
            </w:r>
          </w:p>
        </w:tc>
        <w:tc>
          <w:tcPr>
            <w:tcW w:w="4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(6,906)</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4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(1,976)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(1,108)</w:t>
            </w: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4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(3,970)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(10,454)</w:t>
            </w: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Adjustments for equity in earnings from unconsolidated entities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4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(818)</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(2,022)</w:t>
            </w: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103,102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96,580</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to make $490.1 million of cash payments to Windstream in equal installments over 20 consecutive quarters beginning in October 2020 and to reimburse Windstream for up to an aggregate of $1.75 billion for Growth Capital Improvements in long-term fiber and related assets made by Windstream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2020. Accordingly, because we funded $84.7 million of the $125 million limit in 2020, we are committed to fund up to $265.3 million of Growth Capital Improvements in 2021.</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and lenders party thereto and Bank of America, N.A., as administrative agent and collateral agent (the “Credit Agreement”), and proceeds from the issuance of debt and equity securities.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As of March 31, 2021, we had cash and cash equivalents of $122.5 million and approximately $400.0 million of borrowing availability under our Revolving Credit Facility. Subsequent to March 31, 2021, other than the redemption of the remaining 2023 Notes as described below, and $14.9 million of Growth Capital Improvements (see </w:t>
      </w:r>
      <w:r>
        <w:rPr>
          <w:rFonts w:ascii="Arial" w:cs="Arial" w:eastAsia="Arial" w:hAnsi="Arial"/>
          <w:sz w:val="17"/>
          <w:szCs w:val="17"/>
          <w:i w:val="1"/>
          <w:iCs w:val="1"/>
          <w:color w:val="auto"/>
        </w:rPr>
        <w:t>“Result of Operations—Revenues”</w:t>
      </w:r>
      <w:r>
        <w:rPr>
          <w:rFonts w:ascii="Arial" w:cs="Arial" w:eastAsia="Arial" w:hAnsi="Arial"/>
          <w:sz w:val="17"/>
          <w:szCs w:val="17"/>
          <w:color w:val="auto"/>
        </w:rPr>
        <w:t xml:space="preserve"> above), 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126,664</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132,272</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provided by operating activities was $126.7 million and $132.3 million for the three months ended March 31, 2021 and 2020, respectively. Cash provided by operating activities is primarily attributable to our leasing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(84,377)</w:t>
            </w:r>
          </w:p>
        </w:tc>
        <w:tc>
          <w:tcPr>
            <w:tcW w:w="38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w w:val="98"/>
              </w:rPr>
              <w:t>(75,093)</w:t>
            </w:r>
          </w:p>
        </w:tc>
      </w:tr>
      <w:tr>
        <w:trPr>
          <w:trHeight w:val="223"/>
        </w:trPr>
        <w:tc>
          <w:tcPr>
            <w:tcW w:w="72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0"/>
              </w:rPr>
              <w:t>(84,377)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0"/>
              </w:rPr>
              <w:t>(75,093)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used in investing activities was $84.4 million and $75.1 million for the three months ended March 31, 2021 and 2020, respectively, and is driven by capital expenditures, primarily related to our Uniti Fiber and Uniti Leasing business for deployment of network assets</w:t>
      </w:r>
      <w:r>
        <w:rPr>
          <w:rFonts w:ascii="Arial" w:cs="Arial" w:eastAsia="Arial" w:hAnsi="Arial"/>
          <w:sz w:val="18"/>
          <w:szCs w:val="18"/>
          <w:color w:val="212529"/>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Repayment of debt</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(1,051,181)</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(2,044,728)</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(34,961)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(42,519)</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settlement obligation</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(24,505)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(7,086)</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(762)</w:t>
            </w: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(196,700)</w:t>
            </w: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Finance lease payments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financing costs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(22,931)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(47,775)</w:t>
            </w: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Payment of tender premium</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(17,550)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program</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r>
      <w:tr>
        <w:trPr>
          <w:trHeight w:val="223"/>
        </w:trPr>
        <w:tc>
          <w:tcPr>
            <w:tcW w:w="72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Cash provided by financing activities was $2.6 million for the three months ended March 31, 2021, which was </w:t>
      </w:r>
      <w:r>
        <w:rPr>
          <w:rFonts w:ascii="Arial" w:cs="Arial" w:eastAsia="Arial" w:hAnsi="Arial"/>
          <w:sz w:val="17"/>
          <w:szCs w:val="17"/>
          <w:color w:val="212529"/>
        </w:rPr>
        <w:t>primarily driven by proceeds from the</w:t>
      </w:r>
      <w:r>
        <w:rPr>
          <w:rFonts w:ascii="Arial" w:cs="Arial" w:eastAsia="Arial" w:hAnsi="Arial"/>
          <w:sz w:val="17"/>
          <w:szCs w:val="17"/>
          <w:color w:val="auto"/>
        </w:rPr>
        <w:t xml:space="preserve"> </w:t>
      </w:r>
      <w:r>
        <w:rPr>
          <w:rFonts w:ascii="Arial" w:cs="Arial" w:eastAsia="Arial" w:hAnsi="Arial"/>
          <w:sz w:val="17"/>
          <w:szCs w:val="17"/>
          <w:color w:val="212529"/>
        </w:rPr>
        <w:t xml:space="preserve">issuance of the 2029 Notes ($1.11 billion) and net borrowings under the Revolving Credit Facility ($50.0 million), partially offset by the repayment of the 2023 Notes ($1.05 billion), dividend payments ($35.0 million), payments for financing costs ($22.9 million), payment of settlement obligation ($24.5 million), 2023 Notes tender premium payment ($17.6 million) and contingent consideration payments ($3.0 million). </w:t>
      </w:r>
      <w:r>
        <w:rPr>
          <w:rFonts w:ascii="Arial" w:cs="Arial" w:eastAsia="Arial" w:hAnsi="Arial"/>
          <w:sz w:val="17"/>
          <w:szCs w:val="17"/>
          <w:color w:val="000000"/>
        </w:rPr>
        <w:t>Cash used in financing activities was</w:t>
      </w:r>
      <w:r>
        <w:rPr>
          <w:rFonts w:ascii="Arial" w:cs="Arial" w:eastAsia="Arial" w:hAnsi="Arial"/>
          <w:sz w:val="17"/>
          <w:szCs w:val="17"/>
          <w:color w:val="212529"/>
        </w:rPr>
        <w:t xml:space="preserve"> </w:t>
      </w:r>
      <w:r>
        <w:rPr>
          <w:rFonts w:ascii="Arial" w:cs="Arial" w:eastAsia="Arial" w:hAnsi="Arial"/>
          <w:sz w:val="17"/>
          <w:szCs w:val="17"/>
          <w:color w:val="000000"/>
        </w:rPr>
        <w:t xml:space="preserve">$90.7 million for the three months ended March 31, 2020, which was </w:t>
      </w:r>
      <w:r>
        <w:rPr>
          <w:rFonts w:ascii="Arial" w:cs="Arial" w:eastAsia="Arial" w:hAnsi="Arial"/>
          <w:sz w:val="17"/>
          <w:szCs w:val="17"/>
          <w:color w:val="212529"/>
        </w:rPr>
        <w:t>primarily driven by the repayment of senior secured term loan B ($2.04 billion), net</w:t>
      </w:r>
      <w:r>
        <w:rPr>
          <w:rFonts w:ascii="Arial" w:cs="Arial" w:eastAsia="Arial" w:hAnsi="Arial"/>
          <w:sz w:val="17"/>
          <w:szCs w:val="17"/>
          <w:color w:val="000000"/>
        </w:rPr>
        <w:t xml:space="preserve"> </w:t>
      </w:r>
      <w:r>
        <w:rPr>
          <w:rFonts w:ascii="Arial" w:cs="Arial" w:eastAsia="Arial" w:hAnsi="Arial"/>
          <w:sz w:val="17"/>
          <w:szCs w:val="17"/>
          <w:color w:val="212529"/>
        </w:rPr>
        <w:t>payments under the Revolving Credit Facility ($196.7 million), dividend payments ($42.5 million) and payments for financing costs ($47.8 million)</w:t>
      </w:r>
      <w:r>
        <w:rPr>
          <w:rFonts w:ascii="Arial" w:cs="Arial" w:eastAsia="Arial" w:hAnsi="Arial"/>
          <w:sz w:val="17"/>
          <w:szCs w:val="17"/>
          <w:color w:val="000000"/>
        </w:rPr>
        <w:t>,</w:t>
      </w:r>
      <w:r>
        <w:rPr>
          <w:rFonts w:ascii="Arial" w:cs="Arial" w:eastAsia="Arial" w:hAnsi="Arial"/>
          <w:sz w:val="17"/>
          <w:szCs w:val="17"/>
          <w:color w:val="212529"/>
        </w:rPr>
        <w:t xml:space="preserve"> </w:t>
      </w:r>
      <w:r>
        <w:rPr>
          <w:rFonts w:ascii="Arial" w:cs="Arial" w:eastAsia="Arial" w:hAnsi="Arial"/>
          <w:sz w:val="17"/>
          <w:szCs w:val="17"/>
          <w:color w:val="000000"/>
        </w:rPr>
        <w:t xml:space="preserve">partially offset by </w:t>
      </w:r>
      <w:r>
        <w:rPr>
          <w:rFonts w:ascii="Arial" w:cs="Arial" w:eastAsia="Arial" w:hAnsi="Arial"/>
          <w:sz w:val="17"/>
          <w:szCs w:val="17"/>
          <w:color w:val="212529"/>
        </w:rPr>
        <w:t>the proceeds from the issuance of the 2025 Secured Notes ($2.25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February 2, 2021, Uniti Group LP, Uniti Group Finance 2019 Inc. and CSL Capital, LLC (the “Issuers”), as co-issuers, issued $1.11 billion aggregate principal of the 2029 Notes and used the net proceeds to fund the tender offer of substantially all outstanding 2023 Notes, of which $58.8 million remained outstanding as of March 31, 2021. On April 15, 2021, the Issuers redeemed the remaining outstanding principal amount of the 2023 Notes.</w:t>
      </w:r>
    </w:p>
    <w:p>
      <w:pPr>
        <w:spacing w:after="0" w:line="14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2029 Notes were issued at an issue price of 100% of their principal amount pursuant to an indenture, dated as of February 2, 2021 (the “2029 Notes Indenture”), among the Issuers, the guarantors named therein and Deutsche Bank Trust Company Americas, as trustee (the “Trustee”). The 2029 Notes mature on February 15, 2029 and bear interest at a rate of 6.500% per year. Interest on the 2029 Notes is payable on February 15 and August 15 of each year, beginning on August 15, 2021.</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Issuers may redeem the 2029 Notes, in whole or in part, at any time prior to February 15, 2024 at a redemption price equal to 100% of the principal amount of the 2029 Notes redeemed plus accrued and unpaid interest on the 2029 Notes, if any, to, but not including the redemption date, plus an applicable “make whole” premium described in the 2029 Indenture. Thereafter, the Issuers may redeem the 2029 Notes in whole or in part, at the redemption prices set forth in the 2029 Indenture. In addition, at any time on or prior to February 15, 2024, up to 40% of the aggregate principal amount of the 2029 Notes may be redeemed with the net cash proceeds of certain equity offerings, at a redemption price of 106.500% of the principal amount, plus accrued and unpaid interest, if any, to, but excluding, the redemption date; provided that at least 60% of aggregate principal amount of the originally issued 2029 Notes remains outstanding. Further, if certain changes of control of Uniti Group LP occur, holders of the 2029 Notes will have the right to require the Issuers to offer to repurchase their 2029 Notes at 101% of their principal amount plus accrued and unpaid interest, if any, to, but excluding, the repurchase date.</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2029 Notes are fully and unconditionally guaranteed, jointly and severally, on a senior unsecured basis by the Company and by each of Uniti Group LP’s existing and future domestic restricted subsidiaries (other than the Borrowers) that guarantees indebtedness under the Company’s senior secured credit facilities. The guarantees are subject to release under specified circumstances, including certain circumstances in which such guarantees may be automatically released without the consent of the holders of the 2029 Notes.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2029 Indenture contains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limitations, qualifications and exceptions. The 2029 Indenture also contains customary events of default.</w:t>
      </w:r>
    </w:p>
    <w:p>
      <w:pPr>
        <w:spacing w:after="0" w:line="1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April 20, 2021, the Issuers issued $570 million aggregate principal amount of 4.750% Senior Secured Notes due 2028 (the “New Notes”) and will use the net proceeds from the offering to fund the redemption in full of their outstanding 6.00% Senior Secured Notes due 2023 (the “2023 Secured Notes”) on May 6, 2021. On April 20, 2021, the Issuers deposited amounts sufficient to fund the redemption of the 2023 Secured Notes with the trustee and satisfied and discharged their respective obligations under the indenture governing the 2023 Secured Notes. See Note 16 – Subsequent Events to our Condensed Consolidated Financial Statements, included in this report at Part I, Item 1-Financial Statements for additional information.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Common Stock Offering Program</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 million. During the quarter ended March 31, 2021, we did not make any sales under the ATM Program.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March 31, 2021, we had $400.0 million in borrowing availability under our Revolving Credit Facility,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may also issue equity securities to repay debt and reduce our leverage ratio to be below 5.75 to 1.0 to obtain additional flexibility under our debt covenants, as described under “—Dividends.” In light of the COVID-19 pandemic and its effects on the global economy and capital markets, we are closely monitoring the equity and debt markets and may seek to access them promptly if and when we determine market conditions are appropriate. Our debt covenants currently do not permit us to incur material additional debt.</w:t>
      </w:r>
    </w:p>
    <w:p>
      <w:pPr>
        <w:spacing w:after="0" w:line="18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amount, nature and timing of any capital markets transactions will depend on: the impact the COVID-19 pandemic has on the global economy and capital markets, our operating performance and other circumstances; our then-current commitments and obligations; the amount, nature and timing of our capital requirements; and any limitations imposed by our current credit arrangements.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04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Success Based</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Maintenance</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Integration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Network</w:t>
            </w: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Leasing</w:t>
            </w:r>
          </w:p>
        </w:tc>
        <w:tc>
          <w:tcPr>
            <w:tcW w:w="50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5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Growth capital improvements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42,725</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38,788</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41,180</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81,985</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right, but not the obligation (except for Growth Capital Improvements), to reimburse growth capital expenditures in certain of our lease arrangements where we are the lessor.</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Uniti’s total annual reimbursement commitments to Windstream for the Growth Capital Improvements under the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 2020. Accordingly, because we funded $84.7 million of the $125 million limit in 2020, we are committed to fund up to $265.3 million of Growth Capital Improvements in 2021.</w:t>
      </w:r>
    </w:p>
    <w:p>
      <w:pPr>
        <w:spacing w:after="0" w:line="16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 We continually assess our capital expenditure plans in light of developments the impact COVID-19 has on our business and that of our tenants and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Subject to the restrictions imposed by our 7.875% senior secured notes due 2025 (the “2025 Secured Notes”),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Record Date</w:t>
            </w:r>
          </w:p>
        </w:tc>
      </w:tr>
      <w:tr>
        <w:trPr>
          <w:trHeight w:val="223"/>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2020 - December 31, 2020</w:t>
            </w:r>
          </w:p>
        </w:tc>
        <w:tc>
          <w:tcPr>
            <w:tcW w:w="12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January 4, 2021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15, 2020</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January 1, 2021 - March 31, 2021</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April 16, 2021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April 1, 2021</w:t>
            </w:r>
          </w:p>
        </w:tc>
      </w:tr>
    </w:tbl>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 In addition, until such time our consolidated net leverage ratio (as defined in the indenture governing the 2025 Secured Notes) is no greater than 5.75 to 1.0, our 2025 Secured Notes generally limit our ability to pay cash dividends in excess of 90% of our REIT taxable income, determined without regard to the dividends paid deduction and excluding any net capital gains.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March 31, 2021, there has been no material change to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information reported under Item 7A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March 31, 2021, and based on this evaluation, our principal executive officer and principal financial officer concluded that our disclosure controls and procedures were not effective as of March 31, 2021, due to the material weakness in our internal control over financial reporting that was disclosed in our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disclosed in “</w:t>
      </w:r>
      <w:r>
        <w:rPr>
          <w:rFonts w:ascii="Arial" w:cs="Arial" w:eastAsia="Arial" w:hAnsi="Arial"/>
          <w:sz w:val="18"/>
          <w:szCs w:val="18"/>
          <w:i w:val="1"/>
          <w:iCs w:val="1"/>
          <w:color w:val="auto"/>
        </w:rPr>
        <w:t>Part II. Item 9A. Controls and Procedures</w:t>
      </w:r>
      <w:r>
        <w:rPr>
          <w:rFonts w:ascii="Arial" w:cs="Arial" w:eastAsia="Arial" w:hAnsi="Arial"/>
          <w:sz w:val="18"/>
          <w:szCs w:val="18"/>
          <w:color w:val="auto"/>
        </w:rPr>
        <w:t>” in our Annual Report, during the fourth quarter of 2020, we identified a material weakness in our internal control over financial reporting due to ineffective controls over the annual goodwill impairment assessment, specifically, the control activities over the determination of the carrying value to be used in the assessment of goodwill impairment did not operate effectively due to an insufficient complement of qualified personnel. As of March 31, 2021, management is continuing to implement the remediation plan as disclosed in “</w:t>
      </w:r>
      <w:r>
        <w:rPr>
          <w:rFonts w:ascii="Arial" w:cs="Arial" w:eastAsia="Arial" w:hAnsi="Arial"/>
          <w:sz w:val="18"/>
          <w:szCs w:val="18"/>
          <w:i w:val="1"/>
          <w:iCs w:val="1"/>
          <w:color w:val="auto"/>
        </w:rPr>
        <w:t>Part II. Item 9A.</w:t>
      </w:r>
      <w:r>
        <w:rPr>
          <w:rFonts w:ascii="Arial" w:cs="Arial" w:eastAsia="Arial" w:hAnsi="Arial"/>
          <w:sz w:val="18"/>
          <w:szCs w:val="18"/>
          <w:color w:val="auto"/>
        </w:rPr>
        <w:t xml:space="preserve"> </w:t>
      </w:r>
      <w:r>
        <w:rPr>
          <w:rFonts w:ascii="Arial" w:cs="Arial" w:eastAsia="Arial" w:hAnsi="Arial"/>
          <w:sz w:val="18"/>
          <w:szCs w:val="18"/>
          <w:i w:val="1"/>
          <w:iCs w:val="1"/>
          <w:color w:val="auto"/>
        </w:rPr>
        <w:t>Controls and Procedures</w:t>
      </w:r>
      <w:r>
        <w:rPr>
          <w:rFonts w:ascii="Arial" w:cs="Arial" w:eastAsia="Arial" w:hAnsi="Arial"/>
          <w:sz w:val="18"/>
          <w:szCs w:val="18"/>
          <w:color w:val="auto"/>
        </w:rPr>
        <w:t>” in our Annual Report, which is described below.</w:t>
      </w:r>
    </w:p>
    <w:p>
      <w:pPr>
        <w:spacing w:after="0" w:line="188"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that occurred during the quarter ended March 31, 2021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Management is continuing to implement the remediation plan as disclosed in “</w:t>
      </w:r>
      <w:r>
        <w:rPr>
          <w:rFonts w:ascii="Arial" w:cs="Arial" w:eastAsia="Arial" w:hAnsi="Arial"/>
          <w:sz w:val="17"/>
          <w:szCs w:val="17"/>
          <w:i w:val="1"/>
          <w:iCs w:val="1"/>
          <w:color w:val="auto"/>
        </w:rPr>
        <w:t>Part II. Item 9A. Controls and Procedures</w:t>
      </w:r>
      <w:r>
        <w:rPr>
          <w:rFonts w:ascii="Arial" w:cs="Arial" w:eastAsia="Arial" w:hAnsi="Arial"/>
          <w:sz w:val="17"/>
          <w:szCs w:val="17"/>
          <w:color w:val="auto"/>
        </w:rPr>
        <w:t>” in our Annual Report, to ensure that the deficiency contributing to the material weakness is remediated such that this control will operate effectively. We believe that these actions, and the improvements we expect to achieve as a result, will effectively remediate the material weakness. However, the material weakness in our internal control over financial reporting will not be considered remediated until management has concluded, through testing, that this control is designed effectively. We expect that the remediation of this material weakness will be completed later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description of legal proceedings can be found in Note 14 - Commitments and Contingencies to our Condensed Consolidated Financial Statements, included in this report at Part I, Item 1-Financial Statements, and is incorporated by reference into this Item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affecting our business that were discussed in Part I, “Item 1A. Risk Factors” in our Annual Report.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Maximum Number of</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Average Price 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Pr>
          <w:p>
            <w:pPr>
              <w:spacing w:after="0"/>
              <w:rPr>
                <w:sz w:val="14"/>
                <w:szCs w:val="1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2021 to January 31, 2021</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February 1, 2021 to February 28, 2021</w:t>
            </w:r>
          </w:p>
        </w:tc>
        <w:tc>
          <w:tcPr>
            <w:tcW w:w="940" w:type="dxa"/>
            <w:vAlign w:val="bottom"/>
          </w:tcPr>
          <w:p>
            <w:pPr>
              <w:jc w:val="right"/>
              <w:spacing w:after="0"/>
              <w:rPr>
                <w:sz w:val="20"/>
                <w:szCs w:val="20"/>
                <w:color w:val="auto"/>
              </w:rPr>
            </w:pPr>
            <w:r>
              <w:rPr>
                <w:rFonts w:ascii="Arial" w:cs="Arial" w:eastAsia="Arial" w:hAnsi="Arial"/>
                <w:sz w:val="18"/>
                <w:szCs w:val="18"/>
                <w:color w:val="auto"/>
              </w:rPr>
              <w:t>79,169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1640" w:type="dxa"/>
            <w:vAlign w:val="bottom"/>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8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2021 to March 31, 2021</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89,874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8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8"/>
        <w:spacing w:after="0" w:line="297" w:lineRule="auto"/>
        <w:tabs>
          <w:tab w:leader="none" w:pos="166" w:val="left"/>
        </w:tabs>
        <w:numPr>
          <w:ilvl w:val="0"/>
          <w:numId w:val="10"/>
        </w:numPr>
        <w:rPr>
          <w:rFonts w:ascii="Arial" w:cs="Arial" w:eastAsia="Arial" w:hAnsi="Arial"/>
          <w:sz w:val="19"/>
          <w:szCs w:val="19"/>
          <w:color w:val="auto"/>
          <w:vertAlign w:val="superscript"/>
        </w:rPr>
      </w:pPr>
      <w:r>
        <w:rPr>
          <w:rFonts w:ascii="Arial" w:cs="Arial" w:eastAsia="Arial" w:hAnsi="Arial"/>
          <w:sz w:val="16"/>
          <w:szCs w:val="16"/>
          <w:color w:val="auto"/>
        </w:rPr>
        <w:t>The average price paid per share is the weighted average of the fair market prices at which we calculated the number of shares withheld to cover tax withholdings for the employees.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previously disclosed on March 30, 2021, Blake Schuhmacher informed the Company of his intention to resign from his position as Senior Vice President - Chief Accounting Officer of the Company. Mr. Schuhmacher’s resignation will be effective May 11, 2021.</w:t>
      </w:r>
    </w:p>
    <w:p>
      <w:pPr>
        <w:spacing w:after="0" w:line="170"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On May 4, 2021, the Board of Directors (the “Board”) of the Company appointed Travis Black to serve, effective upon Mr. Schuhmacher’s resignation, as the Company’s interim principal accounting officer, as such term is used in the Securities Exchange Act of 1934, as amended, and the rules and regulations promulgated thereunder. Mr. Black, 39, has served as the Company’s Director of Accounting and SEC Reporting since July 2015. Mr. Black is a Certified Public Accountant and holds a BS in Accounting from the University of Tennessee and an MBA from the University of Memphis.</w:t>
      </w:r>
    </w:p>
    <w:p>
      <w:pPr>
        <w:spacing w:after="0" w:line="15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There is no arrangement or understanding between Mr. Black and any other person pursuant to which Mr. Black was selected as an officer, nor is he party to any related party transactions required to be reported pursuant to Item 404(a) of Regulation S-K. Mr. Black has no family relationships with any of the Company’s directors or executive officers.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Mr. Black will retain his present title and continue to serve in his present position during his tenure as the interim principal accounting officer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540" w:type="dxa"/>
            <w:vAlign w:val="bottom"/>
            <w:gridSpan w:val="18"/>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54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800" w:type="dxa"/>
            <w:vAlign w:val="bottom"/>
            <w:tcBorders>
              <w:top w:val="single" w:sz="8" w:color="auto"/>
              <w:bottom w:val="single" w:sz="8" w:color="0000EE"/>
            </w:tcBorders>
            <w:gridSpan w:val="17"/>
          </w:tcPr>
          <w:p>
            <w:pPr>
              <w:ind w:left="20"/>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Indenture, dated February 2, 2021, by and among Uniti Group LP, Uniti Group Finance 2019 Inc. and CSL Capital, LLC, as Issuers, the</w:t>
              </w:r>
            </w:hyperlink>
          </w:p>
        </w:tc>
        <w:tc>
          <w:tcPr>
            <w:tcW w:w="20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w w:val="97"/>
              </w:rPr>
            </w:pPr>
            <w:hyperlink r:id="rId88">
              <w:r>
                <w:rPr>
                  <w:rFonts w:ascii="Arial" w:cs="Arial" w:eastAsia="Arial" w:hAnsi="Arial"/>
                  <w:sz w:val="18"/>
                  <w:szCs w:val="18"/>
                  <w:color w:val="0000EE"/>
                  <w:w w:val="97"/>
                </w:rPr>
                <w:t>guarantors party thereto and Deutsche Bank Trust Company Americas, as trustee, governing the 6.500% Senior Notes due 2029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EE"/>
            </w:tcBorders>
            <w:gridSpan w:val="16"/>
          </w:tcPr>
          <w:p>
            <w:pPr>
              <w:ind w:left="20"/>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(incorporated by reference to Exhibit 4.1 to the Company’s Current Report on Form 8-K dated and filed with the SEC as of February 2,</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2021 (File No. 001-36708))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9600" w:type="dxa"/>
            <w:vAlign w:val="bottom"/>
            <w:tcBorders>
              <w:bottom w:val="single" w:sz="8" w:color="0000EE"/>
            </w:tcBorders>
            <w:gridSpan w:val="12"/>
          </w:tcPr>
          <w:p>
            <w:pPr>
              <w:ind w:left="20"/>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6.500% Senior Notes due 2029 (included in Exhibit 4.1) (incorporated by reference to Exhibit 4.2 to the Company’s Current</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Report on Form 8-K dated and filed with the SEC as of February 2, 2021 (File No. 001-36708))</w:t>
              </w:r>
            </w:hyperlink>
          </w:p>
        </w:tc>
        <w:tc>
          <w:tcPr>
            <w:tcW w:w="30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9660" w:type="dxa"/>
            <w:vAlign w:val="bottom"/>
            <w:tcBorders>
              <w:bottom w:val="single" w:sz="8" w:color="0000EE"/>
            </w:tcBorders>
            <w:gridSpan w:val="15"/>
          </w:tcPr>
          <w:p>
            <w:pPr>
              <w:ind w:left="20"/>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Fifteenth Supplemental Indenture, dated February 2, 2021, to the Indenture dated April 24, 2015 by and among Uniti Group LP, Uniti</w:t>
              </w:r>
            </w:hyperlink>
          </w:p>
        </w:tc>
        <w:tc>
          <w:tcPr>
            <w:tcW w:w="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Group Finance 2019 Inc. and CSL Capital, LLC, as Issuers, the guarantors party thereto and Deutsche Bank Trust Company Americas,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bottom w:val="single" w:sz="8" w:color="0000EE"/>
            </w:tcBorders>
            <w:gridSpan w:val="18"/>
          </w:tcPr>
          <w:p>
            <w:pPr>
              <w:ind w:left="20"/>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trustee, governing the 8.25% Senior Notes due 2023 (incorporated by reference to Exhibit 4.3 to the Company’s Current Report on Form</w:t>
              </w:r>
            </w:hyperlink>
          </w:p>
        </w:tc>
        <w:tc>
          <w:tcPr>
            <w:tcW w:w="60" w:type="dxa"/>
            <w:vAlign w:val="bottom"/>
            <w:tcBorders>
              <w:top w:val="single" w:sz="8" w:color="0000EE"/>
            </w:tcBorders>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2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8-K dated and filed with the SEC as of February 2, 2021 (File No. 001-36708))</w:t>
              </w:r>
            </w:hyperlink>
          </w:p>
        </w:tc>
        <w:tc>
          <w:tcPr>
            <w:tcW w:w="42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9620" w:type="dxa"/>
            <w:vAlign w:val="bottom"/>
            <w:tcBorders>
              <w:bottom w:val="single" w:sz="8" w:color="0000EE"/>
            </w:tcBorders>
            <w:gridSpan w:val="13"/>
          </w:tcPr>
          <w:p>
            <w:pPr>
              <w:ind w:left="20"/>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Indenture, dated April 20, 2021, by and among Uniti Group LP, Uniti Group Finance 2019 Inc. and CSL Capital, LLC, as Issuers, the</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guarantors party thereto and Deutsche Bank Trust Company Americas, as trustee and collateral agent, governing the 4.750% Senior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Secured Notes due 2028. (incorporated by reference to Exhibit 4.1 to the Company’s Current Report on Form 8-K dated and filed with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top w:val="single" w:sz="8" w:color="0000EE"/>
            </w:tcBorders>
            <w:gridSpan w:val="20"/>
          </w:tcPr>
          <w:p>
            <w:pPr>
              <w:ind w:left="20"/>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SEC as of April 20, 2021 (File No. 001-36708))</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9640" w:type="dxa"/>
            <w:vAlign w:val="bottom"/>
            <w:tcBorders>
              <w:bottom w:val="single" w:sz="8" w:color="0000EE"/>
            </w:tcBorders>
            <w:gridSpan w:val="14"/>
          </w:tcPr>
          <w:p>
            <w:pPr>
              <w:ind w:left="20"/>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4.750% Senior Secured Notes due 2028 (included in Exhibit 4.4) (incorporated by reference to Exhibit 4.2 to the Company’s</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Current Report on Form 8-K dated and filed with the SEC as of April 20, 2021 (File No. 001-36708))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640" w:type="dxa"/>
            <w:vAlign w:val="bottom"/>
            <w:tcBorders>
              <w:bottom w:val="single" w:sz="8" w:color="0000EE"/>
            </w:tcBorders>
            <w:gridSpan w:val="14"/>
          </w:tcPr>
          <w:p>
            <w:pPr>
              <w:ind w:left="20"/>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Adopted Pursuant to Section 302 of the Sarbanes-Oxley Act of 2002.</w:t>
              </w:r>
            </w:hyperlink>
          </w:p>
        </w:tc>
        <w:tc>
          <w:tcPr>
            <w:tcW w:w="50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Adopted Pursuant to Section 302 of the Sarbanes-Oxley Act of 2002.</w:t>
              </w:r>
            </w:hyperlink>
          </w:p>
        </w:tc>
        <w:tc>
          <w:tcPr>
            <w:tcW w:w="50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620" w:type="dxa"/>
            <w:vAlign w:val="bottom"/>
            <w:tcBorders>
              <w:bottom w:val="single" w:sz="8" w:color="0000EE"/>
            </w:tcBorders>
            <w:gridSpan w:val="13"/>
          </w:tcPr>
          <w:p>
            <w:pPr>
              <w:ind w:left="20"/>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0000EE"/>
            </w:tcBorders>
          </w:tcPr>
          <w:p>
            <w:pPr>
              <w:ind w:left="20"/>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Oxley Act of 2002.</w:t>
              </w:r>
            </w:hyperlink>
          </w:p>
        </w:tc>
        <w:tc>
          <w:tcPr>
            <w:tcW w:w="86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00" w:type="dxa"/>
            <w:vAlign w:val="bottom"/>
            <w:gridSpan w:val="21"/>
          </w:tcPr>
          <w:p>
            <w:pPr>
              <w:ind w:left="20"/>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Oxley Act of 2002.</w:t>
              </w:r>
            </w:hyperlink>
          </w:p>
        </w:tc>
        <w:tc>
          <w:tcPr>
            <w:tcW w:w="8160" w:type="dxa"/>
            <w:vAlign w:val="bottom"/>
            <w:tcBorders>
              <w:top w:val="single" w:sz="8" w:color="0000EE"/>
            </w:tcBorders>
            <w:gridSpan w:val="9"/>
          </w:tcPr>
          <w:p>
            <w:pPr>
              <w:spacing w:after="0"/>
              <w:rPr>
                <w:sz w:val="17"/>
                <w:szCs w:val="17"/>
                <w:color w:val="auto"/>
              </w:rPr>
            </w:pPr>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hanging="125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28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c>
          <w:tcPr>
            <w:tcW w:w="58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UNITI GROUP INC.</w:t>
            </w: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May 10, 2021</w:t>
            </w:r>
          </w:p>
        </w:tc>
        <w:tc>
          <w:tcPr>
            <w:tcW w:w="8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 Mark A. Wallace</w:t>
            </w:r>
          </w:p>
        </w:tc>
      </w:tr>
      <w:tr>
        <w:trPr>
          <w:trHeight w:val="205"/>
        </w:trPr>
        <w:tc>
          <w:tcPr>
            <w:tcW w:w="980" w:type="dxa"/>
            <w:vAlign w:val="bottom"/>
            <w:tcBorders>
              <w:left w:val="single" w:sz="8" w:color="auto"/>
              <w:right w:val="single" w:sz="8" w:color="auto"/>
            </w:tcBorders>
          </w:tcPr>
          <w:p>
            <w:pPr>
              <w:spacing w:after="0"/>
              <w:rPr>
                <w:sz w:val="17"/>
                <w:szCs w:val="17"/>
                <w:color w:val="auto"/>
              </w:rPr>
            </w:pPr>
          </w:p>
        </w:tc>
        <w:tc>
          <w:tcPr>
            <w:tcW w:w="42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860" w:type="dxa"/>
            <w:vAlign w:val="bottom"/>
            <w:tcBorders>
              <w:right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Mark A. Wallace</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4"/>
        </w:trPr>
        <w:tc>
          <w:tcPr>
            <w:tcW w:w="980" w:type="dxa"/>
            <w:vAlign w:val="bottom"/>
            <w:tcBorders>
              <w:left w:val="single" w:sz="8" w:color="auto"/>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216"/>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May 10, 2021</w:t>
            </w:r>
          </w:p>
        </w:tc>
        <w:tc>
          <w:tcPr>
            <w:tcW w:w="8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 Blake Schuhmacher</w:t>
            </w:r>
          </w:p>
        </w:tc>
      </w:tr>
      <w:tr>
        <w:trPr>
          <w:trHeight w:val="191"/>
        </w:trPr>
        <w:tc>
          <w:tcPr>
            <w:tcW w:w="980" w:type="dxa"/>
            <w:vAlign w:val="bottom"/>
            <w:tcBorders>
              <w:left w:val="single" w:sz="8" w:color="auto"/>
              <w:right w:val="single" w:sz="8" w:color="auto"/>
            </w:tcBorders>
          </w:tcPr>
          <w:p>
            <w:pPr>
              <w:spacing w:after="0"/>
              <w:rPr>
                <w:sz w:val="16"/>
                <w:szCs w:val="16"/>
                <w:color w:val="auto"/>
              </w:rPr>
            </w:pPr>
          </w:p>
        </w:tc>
        <w:tc>
          <w:tcPr>
            <w:tcW w:w="42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Blake Schuhmacher</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Senior Vice President – Chief Accounting Officer</w:t>
            </w:r>
          </w:p>
        </w:tc>
      </w:tr>
      <w:tr>
        <w:trPr>
          <w:trHeight w:val="234"/>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25"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50"/>
        <w:spacing w:after="0" w:line="277" w:lineRule="auto"/>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4800" w:val="left"/>
          <w:tab w:leader="none" w:pos="72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25"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00" w:right="4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Mark A. Wallace</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5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March 31, 2021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March 31, 2021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9090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4"/>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88" Type="http://schemas.openxmlformats.org/officeDocument/2006/relationships/hyperlink" Target="http://www.sec.gov/Archives/edgar/data/1620280/000095010321001633/dp145509_ex0401.htm" TargetMode="External"/><Relationship Id="rId89" Type="http://schemas.openxmlformats.org/officeDocument/2006/relationships/hyperlink" Target="http://www.sec.gov/Archives/edgar/data/1620280/000095010321001633/dp145509_ex0403.htm" TargetMode="External"/><Relationship Id="rId90" Type="http://schemas.openxmlformats.org/officeDocument/2006/relationships/hyperlink" Target="http://www.sec.gov/Archives/edgar/data/1620280/000095010321005826/dp149654_ex0401.htm" TargetMode="External"/><Relationship Id="rId91" Type="http://schemas.openxmlformats.org/officeDocument/2006/relationships/hyperlink" Target="http://www.sec.gov/Archives/edgar/data/0001620280/000095010321005826/dp149654_ex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2021-05-10T15:21:18Z</dcterms:created>
  <dcterms:modified xsi:type="dcterms:W3CDTF">2021-05-10T15:21:18Z</dcterms:modified>
</cp:coreProperties>
</file>