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Uniti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96"/>
              </w:rPr>
              <w:t>Maryland</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6220" w:type="dxa"/>
            <w:vAlign w:val="bottom"/>
          </w:tcPr>
          <w:p>
            <w:pPr>
              <w:jc w:val="center"/>
              <w:ind w:right="37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779"/>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6220" w:type="dxa"/>
            <w:vAlign w:val="bottom"/>
          </w:tcPr>
          <w:p>
            <w:pPr>
              <w:jc w:val="center"/>
              <w:ind w:right="3759"/>
              <w:spacing w:after="0"/>
              <w:rPr>
                <w:sz w:val="20"/>
                <w:szCs w:val="20"/>
                <w:color w:val="auto"/>
              </w:rPr>
            </w:pPr>
            <w:r>
              <w:rPr>
                <w:rFonts w:ascii="Arial" w:cs="Arial" w:eastAsia="Arial" w:hAnsi="Arial"/>
                <w:sz w:val="18"/>
                <w:szCs w:val="18"/>
                <w:b w:val="1"/>
                <w:bCs w:val="1"/>
                <w:color w:val="auto"/>
                <w:w w:val="91"/>
              </w:rPr>
              <w:t>10802 Executive Center Drive</w:t>
            </w:r>
          </w:p>
        </w:tc>
        <w:tc>
          <w:tcPr>
            <w:tcW w:w="1240" w:type="dxa"/>
            <w:vAlign w:val="bottom"/>
          </w:tcPr>
          <w:p>
            <w:pPr>
              <w:spacing w:after="0"/>
              <w:rPr>
                <w:sz w:val="22"/>
                <w:szCs w:val="22"/>
                <w:color w:val="auto"/>
              </w:rPr>
            </w:pPr>
          </w:p>
        </w:tc>
      </w:tr>
      <w:tr>
        <w:trPr>
          <w:trHeight w:val="216"/>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89"/>
              </w:rPr>
              <w:t>Benton Building Suite 300</w:t>
            </w:r>
          </w:p>
        </w:tc>
        <w:tc>
          <w:tcPr>
            <w:tcW w:w="1240" w:type="dxa"/>
            <w:vAlign w:val="bottom"/>
          </w:tcPr>
          <w:p>
            <w:pPr>
              <w:spacing w:after="0"/>
              <w:rPr>
                <w:sz w:val="18"/>
                <w:szCs w:val="18"/>
                <w:color w:val="auto"/>
              </w:rPr>
            </w:pPr>
          </w:p>
        </w:tc>
      </w:tr>
      <w:tr>
        <w:trPr>
          <w:trHeight w:val="212"/>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91"/>
              </w:rPr>
              <w:t>Little Rock, Arkansas</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72211</w:t>
            </w:r>
          </w:p>
        </w:tc>
      </w:tr>
      <w:tr>
        <w:trPr>
          <w:trHeight w:val="186"/>
        </w:trPr>
        <w:tc>
          <w:tcPr>
            <w:tcW w:w="6220" w:type="dxa"/>
            <w:vAlign w:val="bottom"/>
          </w:tcPr>
          <w:p>
            <w:pPr>
              <w:jc w:val="center"/>
              <w:ind w:right="3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6220" w:type="dxa"/>
            <w:vAlign w:val="bottom"/>
          </w:tcPr>
          <w:p>
            <w:pPr>
              <w:ind w:left="1960"/>
              <w:spacing w:after="0"/>
              <w:rPr>
                <w:sz w:val="20"/>
                <w:szCs w:val="20"/>
                <w:color w:val="auto"/>
              </w:rPr>
            </w:pPr>
            <w:r>
              <w:rPr>
                <w:rFonts w:ascii="Arial" w:cs="Arial" w:eastAsia="Arial" w:hAnsi="Arial"/>
                <w:sz w:val="14"/>
                <w:szCs w:val="14"/>
                <w:b w:val="1"/>
                <w:bCs w:val="1"/>
                <w:color w:val="auto"/>
                <w:w w:val="94"/>
              </w:rPr>
              <w:t>Registrant’s telephone number, including area code: (501) 850-0820</w:t>
            </w:r>
          </w:p>
        </w:tc>
        <w:tc>
          <w:tcPr>
            <w:tcW w:w="1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538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48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0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280" w:firstLine="518"/>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3, 2018, the registrant had 175,686,990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185420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ind w:firstLine="360"/>
        <w:spacing w:after="0" w:line="281"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future growth and demand of the telecommunication industry; future financing plans, business strategies, growth prospects and operating and financial performance; expectations regarding the impact and integration of Hunt Telecommunications, LLC ("Hunt") and Southern Light, LLC ("Southern Light"), including expectations regarding operational synergies with Uniti Towers and Uniti Fiber; expectations regarding settling conversion of our 3% convertible preferred stock in cash upon conversion; expectations regarding the probability of our obligation to pay contingent consideration upon Tower Cloud, Inc.'s ("Tower Cloud") or Hunt's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the reclassification of accumulated other comprehensive income (loss) related to derivatives to interest expense; expectations regarding the amortization of intangible assets; expectations regarding the U.S. TelePacific Holdings Corp (“TPx”) and CableSouth Media, LLC (“CableSouth”) transactions; and expectations regarding the payment of dividends.</w:t>
      </w:r>
    </w:p>
    <w:p>
      <w:pPr>
        <w:spacing w:after="0" w:line="7" w:lineRule="exact"/>
        <w:rPr>
          <w:sz w:val="20"/>
          <w:szCs w:val="20"/>
          <w:color w:val="auto"/>
        </w:rPr>
      </w:pPr>
    </w:p>
    <w:p>
      <w:pPr>
        <w:ind w:right="180" w:firstLine="357"/>
        <w:spacing w:after="0" w:line="270"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1" w:lineRule="exact"/>
        <w:rPr>
          <w:sz w:val="20"/>
          <w:szCs w:val="20"/>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recently enacted U.S. tax reform legislation;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10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the TPx or CableSouth transaction agreements may be modified or terminated prior to expiration or that the conditions to the TPx or CableSouth transactions may not be satisfied; and</w:t>
      </w:r>
    </w:p>
    <w:p>
      <w:pPr>
        <w:spacing w:after="0" w:line="62" w:lineRule="exact"/>
        <w:rPr>
          <w:rFonts w:ascii="Arial" w:cs="Arial" w:eastAsia="Arial" w:hAnsi="Arial"/>
          <w:sz w:val="18"/>
          <w:szCs w:val="18"/>
          <w:color w:val="auto"/>
        </w:rPr>
      </w:pPr>
    </w:p>
    <w:p>
      <w:pPr>
        <w:ind w:left="1040" w:hanging="519"/>
        <w:spacing w:after="0" w:line="31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2017, as well as those described from time to time in our future reports filed with the U.S. Securities and Exchange Commission (“SEC”).</w:t>
      </w:r>
    </w:p>
    <w:p>
      <w:pPr>
        <w:spacing w:after="0" w:line="106"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7540" w:type="dxa"/>
            <w:vAlign w:val="bottom"/>
            <w:gridSpan w:val="11"/>
            <w:vMerge w:val="restart"/>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8"/>
            <w:vMerge w:val="continue"/>
          </w:tcPr>
          <w:p>
            <w:pPr>
              <w:spacing w:after="0"/>
              <w:rPr>
                <w:sz w:val="15"/>
                <w:szCs w:val="15"/>
                <w:color w:val="auto"/>
              </w:rPr>
            </w:pPr>
          </w:p>
        </w:tc>
        <w:tc>
          <w:tcPr>
            <w:tcW w:w="7540" w:type="dxa"/>
            <w:vAlign w:val="bottom"/>
            <w:gridSpan w:val="11"/>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Borders>
              <w:top w:val="single" w:sz="8" w:color="0000EE"/>
            </w:tcBorders>
            <w:gridSpan w:val="9"/>
          </w:tcPr>
          <w:p>
            <w:pPr>
              <w:spacing w:after="0"/>
              <w:rPr>
                <w:sz w:val="20"/>
                <w:szCs w:val="20"/>
                <w:color w:val="auto"/>
              </w:rPr>
            </w:pPr>
            <w:r>
              <w:rPr>
                <w:rFonts w:ascii="Arial" w:cs="Arial" w:eastAsia="Arial" w:hAnsi="Arial"/>
                <w:sz w:val="18"/>
                <w:szCs w:val="18"/>
                <w:b w:val="1"/>
                <w:bCs w:val="1"/>
                <w:color w:val="auto"/>
              </w:rPr>
              <w:t>Uniti Group Inc.</w:t>
            </w:r>
          </w:p>
        </w:tc>
        <w:tc>
          <w:tcPr>
            <w:tcW w:w="7520" w:type="dxa"/>
            <w:vAlign w:val="bottom"/>
            <w:gridSpan w:val="10"/>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19"/>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Income</w:t>
              </w:r>
            </w:hyperlink>
          </w:p>
        </w:tc>
        <w:tc>
          <w:tcPr>
            <w:tcW w:w="65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84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Borders>
              <w:top w:val="single" w:sz="8" w:color="0000EE"/>
            </w:tcBorders>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52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Controls and Procedures</w:t>
              </w:r>
            </w:hyperlink>
          </w:p>
        </w:tc>
        <w:tc>
          <w:tcPr>
            <w:tcW w:w="816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gridSpan w:val="19"/>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792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60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Unregistered Sales of Equity Securities and Use of Proceeds</w:t>
              </w:r>
            </w:hyperlink>
          </w:p>
        </w:tc>
        <w:tc>
          <w:tcPr>
            <w:tcW w:w="55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Defaults Upon Senior Securities</w:t>
              </w:r>
            </w:hyperlink>
          </w:p>
        </w:tc>
        <w:tc>
          <w:tcPr>
            <w:tcW w:w="760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Mine Safety Disclosures</w:t>
              </w:r>
            </w:hyperlink>
          </w:p>
        </w:tc>
        <w:tc>
          <w:tcPr>
            <w:tcW w:w="816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862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20"/>
                <w:szCs w:val="20"/>
                <w:color w:val="auto"/>
              </w:rPr>
            </w:pPr>
            <w:r>
              <w:rPr>
                <w:rFonts w:ascii="Arial" w:cs="Arial" w:eastAsia="Arial" w:hAnsi="Arial"/>
                <w:sz w:val="14"/>
                <w:szCs w:val="14"/>
                <w:color w:val="auto"/>
              </w:rPr>
              <w:t>(Thousands, except par value)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30"/>
        </w:trPr>
        <w:tc>
          <w:tcPr>
            <w:tcW w:w="75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60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3,095,805</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3,053,889</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59,765</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66,637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43,652</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673,729</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416,430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429,357</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47,041</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Derivative asset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15,856</w:t>
            </w:r>
          </w:p>
        </w:tc>
        <w:tc>
          <w:tcPr>
            <w:tcW w:w="120" w:type="dxa"/>
            <w:vAlign w:val="bottom"/>
            <w:shd w:val="clear" w:color="auto" w:fill="CFF0FC"/>
          </w:tcPr>
          <w:p>
            <w:pPr>
              <w:spacing w:after="0"/>
              <w:rPr>
                <w:sz w:val="19"/>
                <w:szCs w:val="19"/>
                <w:color w:val="auto"/>
              </w:rPr>
            </w:pPr>
          </w:p>
        </w:tc>
      </w:tr>
      <w:tr>
        <w:trPr>
          <w:trHeight w:val="263"/>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4,471,658</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4,330,082</w:t>
            </w:r>
          </w:p>
        </w:tc>
        <w:tc>
          <w:tcPr>
            <w:tcW w:w="120" w:type="dxa"/>
            <w:vAlign w:val="bottom"/>
            <w:tcBorders>
              <w:bottom w:val="single" w:sz="8" w:color="CFF0FC"/>
            </w:tcBorders>
          </w:tcPr>
          <w:p>
            <w:pPr>
              <w:spacing w:after="0"/>
              <w:rPr>
                <w:sz w:val="22"/>
                <w:szCs w:val="22"/>
                <w:color w:val="auto"/>
              </w:rPr>
            </w:pPr>
          </w:p>
        </w:tc>
      </w:tr>
      <w:tr>
        <w:trPr>
          <w:trHeight w:val="426"/>
        </w:trPr>
        <w:tc>
          <w:tcPr>
            <w:tcW w:w="7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Convertible Preferred Stock and Shareholders' Deficit:</w:t>
            </w:r>
          </w:p>
        </w:tc>
        <w:tc>
          <w:tcPr>
            <w:tcW w:w="1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accrued expenses and other liabilities</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77,634</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28,684</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653,787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537,553</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110,312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109,557</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55,478</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56,329</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105,762</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Notes and other debt, net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4,679,304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4,482,697</w:t>
            </w:r>
          </w:p>
        </w:tc>
        <w:tc>
          <w:tcPr>
            <w:tcW w:w="120" w:type="dxa"/>
            <w:vAlign w:val="bottom"/>
            <w:tcBorders>
              <w:bottom w:val="single" w:sz="8" w:color="CFF0FC"/>
            </w:tcBorders>
          </w:tcPr>
          <w:p>
            <w:pPr>
              <w:spacing w:after="0"/>
              <w:rPr>
                <w:sz w:val="19"/>
                <w:szCs w:val="19"/>
                <w:color w:val="auto"/>
              </w:rPr>
            </w:pPr>
          </w:p>
        </w:tc>
      </w:tr>
      <w:tr>
        <w:trPr>
          <w:trHeight w:val="223"/>
        </w:trPr>
        <w:tc>
          <w:tcPr>
            <w:tcW w:w="75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5,761,451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5,453,694</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Convertible preferred stock</w:t>
      </w:r>
      <w:r>
        <w:rPr>
          <w:rFonts w:ascii="Arial" w:cs="Arial" w:eastAsia="Arial" w:hAnsi="Arial"/>
          <w:sz w:val="18"/>
          <w:szCs w:val="18"/>
          <w:color w:val="auto"/>
        </w:rPr>
        <w:t>, Series A, $0.0001 par value, 88 shares authorized,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$87,500 liquidation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jc w:val="both"/>
        <w:ind w:left="260" w:right="580"/>
        <w:spacing w:after="0" w:line="276" w:lineRule="auto"/>
        <w:rPr>
          <w:sz w:val="20"/>
          <w:szCs w:val="20"/>
          <w:color w:val="auto"/>
        </w:rPr>
      </w:pPr>
      <w:r>
        <w:rPr>
          <w:rFonts w:ascii="Arial" w:cs="Arial" w:eastAsia="Arial" w:hAnsi="Arial"/>
          <w:sz w:val="17"/>
          <w:szCs w:val="17"/>
          <w:color w:val="auto"/>
        </w:rPr>
        <w:t>Preferred stock, $0.0001 par value, 50,000 shares authorized, no shares issued and outstanding Common stock, $0.0001 par value, 500,000 shares authorized, issued and outstanding: 175,029 shares at June 30, 2018 and 174,852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Additional paid-in capital</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Distributions in excess of accumulated earnings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85,019</w:t>
            </w:r>
          </w:p>
        </w:tc>
        <w:tc>
          <w:tcPr>
            <w:tcW w:w="1480" w:type="dxa"/>
            <w:vAlign w:val="bottom"/>
          </w:tcPr>
          <w:p>
            <w:pPr>
              <w:jc w:val="right"/>
              <w:spacing w:after="0"/>
              <w:rPr>
                <w:sz w:val="20"/>
                <w:szCs w:val="20"/>
                <w:color w:val="auto"/>
              </w:rPr>
            </w:pPr>
            <w:r>
              <w:rPr>
                <w:rFonts w:ascii="Arial" w:cs="Arial" w:eastAsia="Arial" w:hAnsi="Arial"/>
                <w:sz w:val="18"/>
                <w:szCs w:val="18"/>
                <w:color w:val="auto"/>
              </w:rPr>
              <w:t>83,530</w:t>
            </w:r>
          </w:p>
        </w:tc>
      </w:tr>
      <w:tr>
        <w:trPr>
          <w:trHeight w:val="797"/>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17</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7"/>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645,627</w:t>
            </w:r>
          </w:p>
        </w:tc>
        <w:tc>
          <w:tcPr>
            <w:tcW w:w="1480" w:type="dxa"/>
            <w:vAlign w:val="bottom"/>
          </w:tcPr>
          <w:p>
            <w:pPr>
              <w:jc w:val="right"/>
              <w:spacing w:after="0"/>
              <w:rPr>
                <w:sz w:val="20"/>
                <w:szCs w:val="20"/>
                <w:color w:val="auto"/>
              </w:rPr>
            </w:pPr>
            <w:r>
              <w:rPr>
                <w:rFonts w:ascii="Arial" w:cs="Arial" w:eastAsia="Arial" w:hAnsi="Arial"/>
                <w:sz w:val="18"/>
                <w:szCs w:val="18"/>
                <w:color w:val="auto"/>
              </w:rPr>
              <w:t>644,328</w:t>
            </w:r>
          </w:p>
        </w:tc>
      </w:tr>
      <w:tr>
        <w:trPr>
          <w:trHeight w:val="230"/>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56,237</w:t>
            </w:r>
          </w:p>
        </w:tc>
        <w:tc>
          <w:tcPr>
            <w:tcW w:w="1480" w:type="dxa"/>
            <w:vAlign w:val="bottom"/>
          </w:tcPr>
          <w:p>
            <w:pPr>
              <w:jc w:val="right"/>
              <w:spacing w:after="0"/>
              <w:rPr>
                <w:sz w:val="20"/>
                <w:szCs w:val="20"/>
                <w:color w:val="auto"/>
              </w:rPr>
            </w:pPr>
            <w:r>
              <w:rPr>
                <w:rFonts w:ascii="Arial" w:cs="Arial" w:eastAsia="Arial" w:hAnsi="Arial"/>
                <w:sz w:val="18"/>
                <w:szCs w:val="18"/>
                <w:color w:val="auto"/>
              </w:rPr>
              <w:t>7,821</w:t>
            </w:r>
          </w:p>
        </w:tc>
      </w:tr>
      <w:tr>
        <w:trPr>
          <w:trHeight w:val="228"/>
        </w:trPr>
        <w:tc>
          <w:tcPr>
            <w:tcW w:w="1460" w:type="dxa"/>
            <w:vAlign w:val="bottom"/>
          </w:tcPr>
          <w:p>
            <w:pPr>
              <w:jc w:val="right"/>
              <w:ind w:right="530"/>
              <w:spacing w:after="0"/>
              <w:rPr>
                <w:sz w:val="20"/>
                <w:szCs w:val="20"/>
                <w:color w:val="auto"/>
              </w:rPr>
            </w:pPr>
            <w:r>
              <w:rPr>
                <w:rFonts w:ascii="Arial" w:cs="Arial" w:eastAsia="Arial" w:hAnsi="Arial"/>
                <w:sz w:val="18"/>
                <w:szCs w:val="18"/>
                <w:color w:val="auto"/>
                <w:w w:val="89"/>
              </w:rPr>
              <w:t>(2,174,216)</w:t>
            </w:r>
          </w:p>
        </w:tc>
        <w:tc>
          <w:tcPr>
            <w:tcW w:w="1480" w:type="dxa"/>
            <w:vAlign w:val="bottom"/>
          </w:tcPr>
          <w:p>
            <w:pPr>
              <w:jc w:val="right"/>
              <w:spacing w:after="0"/>
              <w:rPr>
                <w:sz w:val="20"/>
                <w:szCs w:val="20"/>
                <w:color w:val="auto"/>
              </w:rPr>
            </w:pPr>
            <w:r>
              <w:rPr>
                <w:rFonts w:ascii="Arial" w:cs="Arial" w:eastAsia="Arial" w:hAnsi="Arial"/>
                <w:sz w:val="18"/>
                <w:szCs w:val="18"/>
                <w:color w:val="auto"/>
              </w:rPr>
              <w:t>(1,960,715)</w:t>
            </w:r>
          </w:p>
        </w:tc>
      </w:tr>
    </w:tbl>
    <w:p>
      <w:pPr>
        <w:spacing w:after="0" w:line="20" w:lineRule="exact"/>
        <w:rPr>
          <w:sz w:val="20"/>
          <w:szCs w:val="20"/>
          <w:color w:val="auto"/>
        </w:rPr>
      </w:pPr>
    </w:p>
    <w:p>
      <w:pPr>
        <w:sectPr>
          <w:pgSz w:w="11900" w:h="16838" w:orient="portrait"/>
          <w:cols w:equalWidth="0" w:num="2">
            <w:col w:w="7700" w:space="720"/>
            <w:col w:w="30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5"/>
        </w:trPr>
        <w:tc>
          <w:tcPr>
            <w:tcW w:w="6600" w:type="dxa"/>
            <w:vAlign w:val="bottom"/>
            <w:shd w:val="clear" w:color="auto" w:fill="CFF0FC"/>
          </w:tcPr>
          <w:p>
            <w:pPr>
              <w:ind w:left="260"/>
              <w:spacing w:after="0" w:line="205" w:lineRule="exact"/>
              <w:rPr>
                <w:sz w:val="20"/>
                <w:szCs w:val="20"/>
                <w:color w:val="auto"/>
              </w:rPr>
            </w:pPr>
            <w:r>
              <w:rPr>
                <w:rFonts w:ascii="Arial" w:cs="Arial" w:eastAsia="Arial" w:hAnsi="Arial"/>
                <w:sz w:val="18"/>
                <w:szCs w:val="18"/>
                <w:color w:val="auto"/>
              </w:rPr>
              <w:t>Total Uniti shareholders' deficit</w:t>
            </w:r>
          </w:p>
        </w:tc>
        <w:tc>
          <w:tcPr>
            <w:tcW w:w="10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line="205" w:lineRule="exact"/>
              <w:rPr>
                <w:sz w:val="20"/>
                <w:szCs w:val="20"/>
                <w:color w:val="auto"/>
              </w:rPr>
            </w:pPr>
            <w:r>
              <w:rPr>
                <w:rFonts w:ascii="Arial" w:cs="Arial" w:eastAsia="Arial" w:hAnsi="Arial"/>
                <w:sz w:val="18"/>
                <w:szCs w:val="18"/>
                <w:color w:val="auto"/>
              </w:rPr>
              <w:t>(1,472,335)</w:t>
            </w:r>
          </w:p>
        </w:tc>
        <w:tc>
          <w:tcPr>
            <w:tcW w:w="5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line="205" w:lineRule="exact"/>
              <w:rPr>
                <w:sz w:val="20"/>
                <w:szCs w:val="20"/>
                <w:color w:val="auto"/>
              </w:rPr>
            </w:pPr>
            <w:r>
              <w:rPr>
                <w:rFonts w:ascii="Arial" w:cs="Arial" w:eastAsia="Arial" w:hAnsi="Arial"/>
                <w:sz w:val="18"/>
                <w:szCs w:val="18"/>
                <w:color w:val="auto"/>
              </w:rPr>
              <w:t>(1,308,549)</w:t>
            </w: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 - operating partnership units</w:t>
            </w:r>
          </w:p>
        </w:tc>
        <w:tc>
          <w:tcPr>
            <w:tcW w:w="10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97,523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101,407</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shareholders' deficit</w:t>
            </w:r>
          </w:p>
        </w:tc>
        <w:tc>
          <w:tcPr>
            <w:tcW w:w="10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(1,374,812)</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(1,207,142)</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Stock, and Shareholders' Deficit</w:t>
            </w:r>
          </w:p>
        </w:tc>
        <w:tc>
          <w:tcPr>
            <w:tcW w:w="108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4,471,658</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4,330,082</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500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Leasing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173,885</w:t>
            </w:r>
          </w:p>
        </w:tc>
        <w:tc>
          <w:tcPr>
            <w:tcW w:w="140" w:type="dxa"/>
            <w:vAlign w:val="bottom"/>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170,914</w:t>
            </w:r>
          </w:p>
        </w:tc>
        <w:tc>
          <w:tcPr>
            <w:tcW w:w="140" w:type="dxa"/>
            <w:vAlign w:val="bottom"/>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346,659</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Fiber Infrastructure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Tower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247,329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494,244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156,992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229,563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3"/>
              </w:rPr>
              <w:t>Operating expense (exclusive of depreciation and amortization)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Transaction related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253,568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229,398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500,348</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(6,239)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(16,385)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(6,104)</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(36,764)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tax (benefit) expense</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(2,646)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(3,742)</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loss available to shareholders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(1,337)</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(1,312)</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discount on convertible preferred stock</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(1,490)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6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Earnings (loss) per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gridSpan w:val="2"/>
            <w:vMerge w:val="restart"/>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FF0FC"/>
            </w:tcBorders>
            <w:gridSpan w:val="2"/>
            <w:vMerge w:val="continue"/>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w w:val="98"/>
              </w:rPr>
              <w:t>Weighted-average number of common shares outstanding: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175,011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169,655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174,951</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162,460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FF0FC"/>
            </w:tcBorders>
            <w:gridSpan w:val="2"/>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175,011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174,951</w:t>
            </w:r>
          </w:p>
        </w:tc>
        <w:tc>
          <w:tcPr>
            <w:tcW w:w="2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162,460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8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derivative contracts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(10,695)</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(6,129)</w:t>
            </w: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(10,572)</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(27,032)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(37,591)</w:t>
            </w: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w w:val="98"/>
              </w:rPr>
              <w:t>Comprehensive income attributable to noncontrolling interest</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05"/>
        </w:trPr>
        <w:tc>
          <w:tcPr>
            <w:tcW w:w="48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(loss) attributable to common</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5,999</w:t>
            </w:r>
          </w:p>
        </w:tc>
        <w:tc>
          <w:tcPr>
            <w:tcW w:w="160" w:type="dxa"/>
            <w:vAlign w:val="bottom"/>
          </w:tcPr>
          <w:p>
            <w:pPr>
              <w:spacing w:after="0"/>
              <w:rPr>
                <w:sz w:val="20"/>
                <w:szCs w:val="20"/>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(27,032)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46,123</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(37,591)</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9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4"/>
              </w:rPr>
              <w:t>Uniti Group Inc.</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0"/>
          </w:tcPr>
          <w:p>
            <w:pPr>
              <w:jc w:val="center"/>
              <w:ind w:right="860"/>
              <w:spacing w:after="0"/>
              <w:rPr>
                <w:sz w:val="20"/>
                <w:szCs w:val="20"/>
                <w:color w:val="auto"/>
              </w:rPr>
            </w:pPr>
            <w:r>
              <w:rPr>
                <w:rFonts w:ascii="Arial" w:cs="Arial" w:eastAsia="Arial" w:hAnsi="Arial"/>
                <w:sz w:val="18"/>
                <w:szCs w:val="18"/>
                <w:b w:val="1"/>
                <w:bCs w:val="1"/>
                <w:color w:val="auto"/>
                <w:w w:val="88"/>
              </w:rPr>
              <w:t>Condensed Consolidated Statements of Shareholders’ Deficit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320" w:type="dxa"/>
            <w:vAlign w:val="bottom"/>
            <w:gridSpan w:val="3"/>
            <w:vMerge w:val="restart"/>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160" w:type="dxa"/>
            <w:vAlign w:val="bottom"/>
            <w:gridSpan w:val="3"/>
            <w:vMerge w:val="restart"/>
          </w:tcPr>
          <w:p>
            <w:pPr>
              <w:spacing w:after="0"/>
              <w:rPr>
                <w:sz w:val="20"/>
                <w:szCs w:val="20"/>
                <w:color w:val="auto"/>
              </w:rPr>
            </w:pPr>
            <w:r>
              <w:rPr>
                <w:rFonts w:ascii="Arial" w:cs="Arial" w:eastAsia="Arial" w:hAnsi="Arial"/>
                <w:sz w:val="18"/>
                <w:szCs w:val="18"/>
                <w:color w:val="auto"/>
              </w:rPr>
              <w:t>Distributions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ind w:left="20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in Excess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Paid-in</w:t>
            </w: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116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32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080" w:type="dxa"/>
            <w:vAlign w:val="bottom"/>
            <w:gridSpan w:val="3"/>
          </w:tcPr>
          <w:p>
            <w:pPr>
              <w:spacing w:after="0"/>
              <w:rPr>
                <w:sz w:val="20"/>
                <w:szCs w:val="20"/>
                <w:color w:val="auto"/>
              </w:rPr>
            </w:pPr>
            <w:r>
              <w:rPr>
                <w:rFonts w:ascii="Arial" w:cs="Arial" w:eastAsia="Arial" w:hAnsi="Arial"/>
                <w:sz w:val="18"/>
                <w:szCs w:val="18"/>
                <w:color w:val="auto"/>
                <w:w w:val="95"/>
              </w:rPr>
              <w:t>Shareholders'</w:t>
            </w: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rPr>
                <w:sz w:val="20"/>
                <w:szCs w:val="20"/>
                <w:color w:val="auto"/>
              </w:rPr>
            </w:pPr>
            <w:r>
              <w:rPr>
                <w:rFonts w:ascii="Arial" w:cs="Arial" w:eastAsia="Arial" w:hAnsi="Arial"/>
                <w:sz w:val="14"/>
                <w:szCs w:val="14"/>
                <w:color w:val="auto"/>
                <w:w w:val="98"/>
              </w:rPr>
              <w:t>(Thousands, except share data)</w:t>
            </w:r>
          </w:p>
        </w:tc>
        <w:tc>
          <w:tcPr>
            <w:tcW w:w="20" w:type="dxa"/>
            <w:vAlign w:val="bottom"/>
          </w:tcPr>
          <w:p>
            <w:pPr>
              <w:spacing w:after="0"/>
              <w:rPr>
                <w:sz w:val="20"/>
                <w:szCs w:val="20"/>
                <w:color w:val="auto"/>
              </w:rPr>
            </w:pPr>
          </w:p>
        </w:tc>
        <w:tc>
          <w:tcPr>
            <w:tcW w:w="1260" w:type="dxa"/>
            <w:vAlign w:val="bottom"/>
            <w:gridSpan w:val="5"/>
          </w:tcPr>
          <w:p>
            <w:pPr>
              <w:ind w:left="100"/>
              <w:spacing w:after="0"/>
              <w:rPr>
                <w:sz w:val="20"/>
                <w:szCs w:val="20"/>
                <w:color w:val="auto"/>
              </w:rPr>
            </w:pPr>
            <w:r>
              <w:rPr>
                <w:rFonts w:ascii="Arial" w:cs="Arial" w:eastAsia="Arial" w:hAnsi="Arial"/>
                <w:sz w:val="18"/>
                <w:szCs w:val="18"/>
                <w:color w:val="auto"/>
                <w:w w:val="91"/>
              </w:rPr>
              <w:t>Preferred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5"/>
          </w:tcPr>
          <w:p>
            <w:pPr>
              <w:ind w:left="80"/>
              <w:spacing w:after="0"/>
              <w:rPr>
                <w:sz w:val="20"/>
                <w:szCs w:val="20"/>
                <w:color w:val="auto"/>
              </w:rPr>
            </w:pPr>
            <w:r>
              <w:rPr>
                <w:rFonts w:ascii="Arial" w:cs="Arial" w:eastAsia="Arial" w:hAnsi="Arial"/>
                <w:sz w:val="18"/>
                <w:szCs w:val="18"/>
                <w:color w:val="auto"/>
                <w:w w:val="92"/>
              </w:rPr>
              <w:t>Common Stock</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Income (Loss)</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Earnings</w:t>
            </w: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Interest</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Deficit</w:t>
            </w:r>
          </w:p>
        </w:tc>
        <w:tc>
          <w:tcPr>
            <w:tcW w:w="0" w:type="dxa"/>
            <w:vAlign w:val="bottom"/>
          </w:tcPr>
          <w:p>
            <w:pPr>
              <w:spacing w:after="0"/>
              <w:rPr>
                <w:sz w:val="1"/>
                <w:szCs w:val="1"/>
                <w:color w:val="auto"/>
              </w:rPr>
            </w:pPr>
          </w:p>
        </w:tc>
      </w:tr>
      <w:tr>
        <w:trPr>
          <w:trHeight w:val="183"/>
        </w:trPr>
        <w:tc>
          <w:tcPr>
            <w:tcW w:w="1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2"/>
          </w:tcPr>
          <w:p>
            <w:pPr>
              <w:jc w:val="right"/>
              <w:ind w:right="60"/>
              <w:spacing w:after="0" w:line="182" w:lineRule="exact"/>
              <w:rPr>
                <w:sz w:val="20"/>
                <w:szCs w:val="20"/>
                <w:color w:val="auto"/>
              </w:rPr>
            </w:pPr>
            <w:r>
              <w:rPr>
                <w:rFonts w:ascii="Arial" w:cs="Arial" w:eastAsia="Arial" w:hAnsi="Arial"/>
                <w:sz w:val="18"/>
                <w:szCs w:val="18"/>
                <w:color w:val="auto"/>
                <w:w w:val="80"/>
              </w:rPr>
              <w:t>Shares</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5"/>
                <w:szCs w:val="15"/>
                <w:color w:val="auto"/>
              </w:rPr>
            </w:pPr>
          </w:p>
        </w:tc>
        <w:tc>
          <w:tcPr>
            <w:tcW w:w="1000" w:type="dxa"/>
            <w:vAlign w:val="bottom"/>
            <w:tcBorders>
              <w:top w:val="single" w:sz="8" w:color="auto"/>
            </w:tcBorders>
            <w:gridSpan w:val="3"/>
          </w:tcPr>
          <w:p>
            <w:pPr>
              <w:jc w:val="right"/>
              <w:ind w:right="260"/>
              <w:spacing w:after="0" w:line="182" w:lineRule="exact"/>
              <w:rPr>
                <w:sz w:val="20"/>
                <w:szCs w:val="20"/>
                <w:color w:val="auto"/>
              </w:rPr>
            </w:pPr>
            <w:r>
              <w:rPr>
                <w:rFonts w:ascii="Arial" w:cs="Arial" w:eastAsia="Arial" w:hAnsi="Arial"/>
                <w:sz w:val="18"/>
                <w:szCs w:val="18"/>
                <w:color w:val="auto"/>
              </w:rPr>
              <w:t>Shares</w:t>
            </w: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4"/>
          </w:tcPr>
          <w:p>
            <w:pPr>
              <w:ind w:left="20"/>
              <w:spacing w:after="0" w:line="182" w:lineRule="exact"/>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56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vMerge w:val="restart"/>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155,138,637</w:t>
            </w:r>
          </w:p>
        </w:tc>
        <w:tc>
          <w:tcPr>
            <w:tcW w:w="500" w:type="dxa"/>
            <w:vAlign w:val="bottom"/>
            <w:gridSpan w:val="3"/>
            <w:vMerge w:val="restart"/>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gridSpan w:val="2"/>
            <w:vMerge w:val="restart"/>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8"/>
              </w:rPr>
              <w:t>141,092</w:t>
            </w:r>
          </w:p>
        </w:tc>
        <w:tc>
          <w:tcPr>
            <w:tcW w:w="120" w:type="dxa"/>
            <w:vAlign w:val="bottom"/>
            <w:shd w:val="clear" w:color="auto" w:fill="CFF0FC"/>
          </w:tcPr>
          <w:p>
            <w:pPr>
              <w:spacing w:after="0"/>
              <w:rPr>
                <w:sz w:val="17"/>
                <w:szCs w:val="17"/>
                <w:color w:val="auto"/>
              </w:rPr>
            </w:pPr>
          </w:p>
        </w:tc>
        <w:tc>
          <w:tcPr>
            <w:tcW w:w="30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(6,369)</w:t>
            </w: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w w:val="95"/>
              </w:rPr>
              <w:t>(1,537,183)</w:t>
            </w:r>
          </w:p>
        </w:tc>
        <w:tc>
          <w:tcPr>
            <w:tcW w:w="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95"/>
              </w:rPr>
              <w:t>(1,402,445)</w:t>
            </w:r>
          </w:p>
        </w:tc>
        <w:tc>
          <w:tcPr>
            <w:tcW w:w="0" w:type="dxa"/>
            <w:vAlign w:val="bottom"/>
          </w:tcPr>
          <w:p>
            <w:pPr>
              <w:spacing w:after="0"/>
              <w:rPr>
                <w:sz w:val="1"/>
                <w:szCs w:val="1"/>
                <w:color w:val="auto"/>
              </w:rPr>
            </w:pPr>
          </w:p>
        </w:tc>
      </w:tr>
      <w:tr>
        <w:trPr>
          <w:trHeight w:val="212"/>
        </w:trPr>
        <w:tc>
          <w:tcPr>
            <w:tcW w:w="128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3"/>
            <w:vMerge w:val="continue"/>
            <w:shd w:val="clear" w:color="auto" w:fill="CFF0FC"/>
          </w:tcPr>
          <w:p>
            <w:pPr>
              <w:spacing w:after="0"/>
              <w:rPr>
                <w:sz w:val="18"/>
                <w:szCs w:val="18"/>
                <w:color w:val="auto"/>
              </w:rPr>
            </w:pPr>
          </w:p>
        </w:tc>
        <w:tc>
          <w:tcPr>
            <w:tcW w:w="720" w:type="dxa"/>
            <w:vAlign w:val="bottom"/>
            <w:gridSpan w:val="3"/>
            <w:vMerge w:val="continue"/>
            <w:shd w:val="clear" w:color="auto" w:fill="CFF0FC"/>
          </w:tcPr>
          <w:p>
            <w:pPr>
              <w:spacing w:after="0"/>
              <w:rPr>
                <w:sz w:val="18"/>
                <w:szCs w:val="18"/>
                <w:color w:val="auto"/>
              </w:rPr>
            </w:pPr>
          </w:p>
        </w:tc>
        <w:tc>
          <w:tcPr>
            <w:tcW w:w="100" w:type="dxa"/>
            <w:vAlign w:val="bottom"/>
            <w:gridSpan w:val="2"/>
            <w:vMerge w:val="continue"/>
            <w:shd w:val="clear" w:color="auto" w:fill="CFF0FC"/>
          </w:tcPr>
          <w:p>
            <w:pPr>
              <w:spacing w:after="0"/>
              <w:rPr>
                <w:sz w:val="18"/>
                <w:szCs w:val="18"/>
                <w:color w:val="auto"/>
              </w:rPr>
            </w:pPr>
          </w:p>
        </w:tc>
        <w:tc>
          <w:tcPr>
            <w:tcW w:w="1200" w:type="dxa"/>
            <w:vAlign w:val="bottom"/>
            <w:gridSpan w:val="4"/>
            <w:vMerge w:val="continue"/>
            <w:shd w:val="clear" w:color="auto" w:fill="CFF0FC"/>
          </w:tcPr>
          <w:p>
            <w:pPr>
              <w:spacing w:after="0"/>
              <w:rPr>
                <w:sz w:val="18"/>
                <w:szCs w:val="18"/>
                <w:color w:val="auto"/>
              </w:rPr>
            </w:pPr>
          </w:p>
        </w:tc>
        <w:tc>
          <w:tcPr>
            <w:tcW w:w="500" w:type="dxa"/>
            <w:vAlign w:val="bottom"/>
            <w:gridSpan w:val="3"/>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rPr>
                <w:sz w:val="20"/>
                <w:szCs w:val="20"/>
                <w:color w:val="auto"/>
              </w:rPr>
            </w:pPr>
            <w:r>
              <w:rPr>
                <w:rFonts w:ascii="Arial" w:cs="Arial" w:eastAsia="Arial" w:hAnsi="Arial"/>
                <w:sz w:val="16"/>
                <w:szCs w:val="16"/>
                <w:color w:val="auto"/>
              </w:rPr>
              <w:t>Net loss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(36,460)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(36,460)</w:t>
            </w:r>
          </w:p>
        </w:tc>
        <w:tc>
          <w:tcPr>
            <w:tcW w:w="0" w:type="dxa"/>
            <w:vAlign w:val="bottom"/>
          </w:tcPr>
          <w:p>
            <w:pPr>
              <w:spacing w:after="0"/>
              <w:rPr>
                <w:sz w:val="1"/>
                <w:szCs w:val="1"/>
                <w:color w:val="auto"/>
              </w:rPr>
            </w:pPr>
          </w:p>
        </w:tc>
      </w:tr>
      <w:tr>
        <w:trPr>
          <w:trHeight w:val="230"/>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19,528,302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517,500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gridSpan w:val="3"/>
          </w:tcPr>
          <w:p>
            <w:pPr>
              <w:spacing w:after="0"/>
              <w:rPr>
                <w:sz w:val="20"/>
                <w:szCs w:val="20"/>
                <w:color w:val="auto"/>
              </w:rPr>
            </w:pPr>
            <w:r>
              <w:rPr>
                <w:rFonts w:ascii="Arial" w:cs="Arial" w:eastAsia="Arial" w:hAnsi="Arial"/>
                <w:sz w:val="16"/>
                <w:szCs w:val="16"/>
                <w:color w:val="auto"/>
              </w:rPr>
              <w:t>Amortization of discount of</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2"/>
        </w:trPr>
        <w:tc>
          <w:tcPr>
            <w:tcW w:w="1960" w:type="dxa"/>
            <w:vAlign w:val="bottom"/>
            <w:gridSpan w:val="3"/>
          </w:tcPr>
          <w:p>
            <w:pPr>
              <w:spacing w:after="0"/>
              <w:rPr>
                <w:sz w:val="20"/>
                <w:szCs w:val="20"/>
                <w:color w:val="auto"/>
              </w:rPr>
            </w:pPr>
            <w:r>
              <w:rPr>
                <w:rFonts w:ascii="Arial" w:cs="Arial" w:eastAsia="Arial" w:hAnsi="Arial"/>
                <w:sz w:val="16"/>
                <w:szCs w:val="16"/>
                <w:color w:val="auto"/>
              </w:rPr>
              <w:t>convertible preferred stock</w:t>
            </w:r>
          </w:p>
        </w:tc>
        <w:tc>
          <w:tcPr>
            <w:tcW w:w="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20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rPr>
                <w:sz w:val="20"/>
                <w:szCs w:val="20"/>
                <w:color w:val="auto"/>
              </w:rPr>
            </w:pPr>
            <w:r>
              <w:rPr>
                <w:rFonts w:ascii="Arial" w:cs="Arial" w:eastAsia="Arial" w:hAnsi="Arial"/>
                <w:sz w:val="16"/>
                <w:szCs w:val="16"/>
                <w:color w:val="auto"/>
              </w:rPr>
              <w:t>Common stock dividends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(199,137)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(199,137)</w:t>
            </w:r>
          </w:p>
        </w:tc>
        <w:tc>
          <w:tcPr>
            <w:tcW w:w="0" w:type="dxa"/>
            <w:vAlign w:val="bottom"/>
          </w:tcPr>
          <w:p>
            <w:pPr>
              <w:spacing w:after="0"/>
              <w:rPr>
                <w:sz w:val="1"/>
                <w:szCs w:val="1"/>
                <w:color w:val="auto"/>
              </w:rPr>
            </w:pPr>
          </w:p>
        </w:tc>
      </w:tr>
      <w:tr>
        <w:trPr>
          <w:trHeight w:val="206"/>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6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(1,312)</w:t>
            </w:r>
          </w:p>
        </w:tc>
        <w:tc>
          <w:tcPr>
            <w:tcW w:w="20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2"/>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dividends</w:t>
            </w:r>
          </w:p>
        </w:tc>
        <w:tc>
          <w:tcPr>
            <w:tcW w:w="560" w:type="dxa"/>
            <w:vAlign w:val="bottom"/>
            <w:gridSpan w:val="3"/>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gridSpan w:val="2"/>
            <w:vMerge w:val="continue"/>
            <w:shd w:val="clear" w:color="auto" w:fill="CFF0FC"/>
          </w:tcPr>
          <w:p>
            <w:pPr>
              <w:spacing w:after="0"/>
              <w:rPr>
                <w:sz w:val="18"/>
                <w:szCs w:val="18"/>
                <w:color w:val="auto"/>
              </w:rPr>
            </w:pPr>
          </w:p>
        </w:tc>
        <w:tc>
          <w:tcPr>
            <w:tcW w:w="1200" w:type="dxa"/>
            <w:vAlign w:val="bottom"/>
            <w:gridSpan w:val="4"/>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rPr>
                <w:sz w:val="20"/>
                <w:szCs w:val="20"/>
                <w:color w:val="auto"/>
              </w:rPr>
            </w:pPr>
            <w:r>
              <w:rPr>
                <w:rFonts w:ascii="Arial" w:cs="Arial" w:eastAsia="Arial" w:hAnsi="Arial"/>
                <w:sz w:val="16"/>
                <w:szCs w:val="16"/>
                <w:color w:val="auto"/>
              </w:rPr>
              <w:t>Equity issuance cost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(18,525)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230"/>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rPr>
                <w:sz w:val="20"/>
                <w:szCs w:val="20"/>
                <w:color w:val="auto"/>
              </w:rPr>
            </w:pPr>
            <w:r>
              <w:rPr>
                <w:rFonts w:ascii="Arial" w:cs="Arial" w:eastAsia="Arial" w:hAnsi="Arial"/>
                <w:sz w:val="16"/>
                <w:szCs w:val="16"/>
                <w:color w:val="auto"/>
              </w:rPr>
              <w:t>Stock-based compensation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145,626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Balance at June 30, 2017</w:t>
            </w:r>
          </w:p>
        </w:tc>
        <w:tc>
          <w:tcPr>
            <w:tcW w:w="5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7"/>
              </w:rPr>
              <w:t>174,812,565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641,810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(1,775,366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(1,141,039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56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vMerge w:val="restart"/>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174,851,514</w:t>
            </w:r>
          </w:p>
        </w:tc>
        <w:tc>
          <w:tcPr>
            <w:tcW w:w="500" w:type="dxa"/>
            <w:vAlign w:val="bottom"/>
            <w:gridSpan w:val="3"/>
            <w:vMerge w:val="restart"/>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vMerge w:val="restart"/>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8"/>
              </w:rPr>
              <w:t>644,328</w:t>
            </w:r>
          </w:p>
        </w:tc>
        <w:tc>
          <w:tcPr>
            <w:tcW w:w="120" w:type="dxa"/>
            <w:vAlign w:val="bottom"/>
            <w:shd w:val="clear" w:color="auto" w:fill="CFF0FC"/>
          </w:tcPr>
          <w:p>
            <w:pPr>
              <w:spacing w:after="0"/>
              <w:rPr>
                <w:sz w:val="17"/>
                <w:szCs w:val="17"/>
                <w:color w:val="auto"/>
              </w:rPr>
            </w:pPr>
          </w:p>
        </w:tc>
        <w:tc>
          <w:tcPr>
            <w:tcW w:w="30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7,821</w:t>
            </w:r>
          </w:p>
        </w:tc>
        <w:tc>
          <w:tcPr>
            <w:tcW w:w="20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w w:val="95"/>
              </w:rPr>
              <w:t>(1,960,715)</w:t>
            </w:r>
          </w:p>
        </w:tc>
        <w:tc>
          <w:tcPr>
            <w:tcW w:w="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101,407</w:t>
            </w:r>
          </w:p>
        </w:tc>
        <w:tc>
          <w:tcPr>
            <w:tcW w:w="20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95"/>
              </w:rPr>
              <w:t>(1,207,142)</w:t>
            </w:r>
          </w:p>
        </w:tc>
        <w:tc>
          <w:tcPr>
            <w:tcW w:w="0" w:type="dxa"/>
            <w:vAlign w:val="bottom"/>
          </w:tcPr>
          <w:p>
            <w:pPr>
              <w:spacing w:after="0"/>
              <w:rPr>
                <w:sz w:val="1"/>
                <w:szCs w:val="1"/>
                <w:color w:val="auto"/>
              </w:rPr>
            </w:pPr>
          </w:p>
        </w:tc>
      </w:tr>
      <w:tr>
        <w:trPr>
          <w:trHeight w:val="212"/>
        </w:trPr>
        <w:tc>
          <w:tcPr>
            <w:tcW w:w="1280" w:type="dxa"/>
            <w:vAlign w:val="bottom"/>
            <w:shd w:val="clear" w:color="auto" w:fill="CFF0FC"/>
          </w:tcPr>
          <w:p>
            <w:pPr>
              <w:spacing w:after="0"/>
              <w:rPr>
                <w:sz w:val="20"/>
                <w:szCs w:val="20"/>
                <w:color w:val="auto"/>
              </w:rPr>
            </w:pPr>
            <w:r>
              <w:rPr>
                <w:rFonts w:ascii="Arial" w:cs="Arial" w:eastAsia="Arial" w:hAnsi="Arial"/>
                <w:sz w:val="16"/>
                <w:szCs w:val="16"/>
                <w:color w:val="auto"/>
              </w:rPr>
              <w:t>2017</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3"/>
            <w:vMerge w:val="continue"/>
            <w:shd w:val="clear" w:color="auto" w:fill="CFF0FC"/>
          </w:tcPr>
          <w:p>
            <w:pPr>
              <w:spacing w:after="0"/>
              <w:rPr>
                <w:sz w:val="18"/>
                <w:szCs w:val="18"/>
                <w:color w:val="auto"/>
              </w:rPr>
            </w:pPr>
          </w:p>
        </w:tc>
        <w:tc>
          <w:tcPr>
            <w:tcW w:w="720" w:type="dxa"/>
            <w:vAlign w:val="bottom"/>
            <w:gridSpan w:val="3"/>
            <w:vMerge w:val="continue"/>
            <w:shd w:val="clear" w:color="auto" w:fill="CFF0FC"/>
          </w:tcPr>
          <w:p>
            <w:pPr>
              <w:spacing w:after="0"/>
              <w:rPr>
                <w:sz w:val="18"/>
                <w:szCs w:val="18"/>
                <w:color w:val="auto"/>
              </w:rPr>
            </w:pPr>
          </w:p>
        </w:tc>
        <w:tc>
          <w:tcPr>
            <w:tcW w:w="100" w:type="dxa"/>
            <w:vAlign w:val="bottom"/>
            <w:gridSpan w:val="2"/>
            <w:vMerge w:val="continue"/>
            <w:shd w:val="clear" w:color="auto" w:fill="CFF0FC"/>
          </w:tcPr>
          <w:p>
            <w:pPr>
              <w:spacing w:after="0"/>
              <w:rPr>
                <w:sz w:val="18"/>
                <w:szCs w:val="18"/>
                <w:color w:val="auto"/>
              </w:rPr>
            </w:pPr>
          </w:p>
        </w:tc>
        <w:tc>
          <w:tcPr>
            <w:tcW w:w="1200" w:type="dxa"/>
            <w:vAlign w:val="bottom"/>
            <w:gridSpan w:val="4"/>
            <w:vMerge w:val="continue"/>
            <w:shd w:val="clear" w:color="auto" w:fill="CFF0FC"/>
          </w:tcPr>
          <w:p>
            <w:pPr>
              <w:spacing w:after="0"/>
              <w:rPr>
                <w:sz w:val="18"/>
                <w:szCs w:val="18"/>
                <w:color w:val="auto"/>
              </w:rPr>
            </w:pPr>
          </w:p>
        </w:tc>
        <w:tc>
          <w:tcPr>
            <w:tcW w:w="500" w:type="dxa"/>
            <w:vAlign w:val="bottom"/>
            <w:gridSpan w:val="3"/>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gridSpan w:val="3"/>
          </w:tcPr>
          <w:p>
            <w:pPr>
              <w:spacing w:after="0"/>
              <w:rPr>
                <w:sz w:val="20"/>
                <w:szCs w:val="20"/>
                <w:color w:val="auto"/>
              </w:rPr>
            </w:pPr>
            <w:r>
              <w:rPr>
                <w:rFonts w:ascii="Arial" w:cs="Arial" w:eastAsia="Arial" w:hAnsi="Arial"/>
                <w:sz w:val="16"/>
                <w:szCs w:val="16"/>
                <w:color w:val="auto"/>
              </w:rPr>
              <w:t>Net loss</w:t>
            </w:r>
          </w:p>
        </w:tc>
        <w:tc>
          <w:tcPr>
            <w:tcW w:w="5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Amortization of discount on</w:t>
            </w:r>
          </w:p>
        </w:tc>
        <w:tc>
          <w:tcPr>
            <w:tcW w:w="56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2"/>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60" w:type="dxa"/>
            <w:vAlign w:val="bottom"/>
            <w:gridSpan w:val="3"/>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gridSpan w:val="2"/>
            <w:vMerge w:val="continue"/>
            <w:shd w:val="clear" w:color="auto" w:fill="CFF0FC"/>
          </w:tcPr>
          <w:p>
            <w:pPr>
              <w:spacing w:after="0"/>
              <w:rPr>
                <w:sz w:val="18"/>
                <w:szCs w:val="18"/>
                <w:color w:val="auto"/>
              </w:rPr>
            </w:pPr>
          </w:p>
        </w:tc>
        <w:tc>
          <w:tcPr>
            <w:tcW w:w="1200" w:type="dxa"/>
            <w:vAlign w:val="bottom"/>
            <w:gridSpan w:val="4"/>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gridSpan w:val="3"/>
          </w:tcPr>
          <w:p>
            <w:pPr>
              <w:spacing w:after="0"/>
              <w:rPr>
                <w:sz w:val="20"/>
                <w:szCs w:val="20"/>
                <w:color w:val="auto"/>
              </w:rPr>
            </w:pPr>
            <w:r>
              <w:rPr>
                <w:rFonts w:ascii="Arial" w:cs="Arial" w:eastAsia="Arial" w:hAnsi="Arial"/>
                <w:sz w:val="16"/>
                <w:szCs w:val="16"/>
                <w:color w:val="auto"/>
              </w:rPr>
              <w:t>Other comprehensive</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48,416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49,559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60" w:type="dxa"/>
            <w:vAlign w:val="bottom"/>
            <w:gridSpan w:val="3"/>
          </w:tcPr>
          <w:p>
            <w:pPr>
              <w:spacing w:after="0"/>
              <w:rPr>
                <w:sz w:val="20"/>
                <w:szCs w:val="20"/>
                <w:color w:val="auto"/>
              </w:rPr>
            </w:pPr>
            <w:r>
              <w:rPr>
                <w:rFonts w:ascii="Arial" w:cs="Arial" w:eastAsia="Arial" w:hAnsi="Arial"/>
                <w:sz w:val="16"/>
                <w:szCs w:val="16"/>
                <w:color w:val="auto"/>
              </w:rPr>
              <w:t>income</w:t>
            </w:r>
          </w:p>
        </w:tc>
        <w:tc>
          <w:tcPr>
            <w:tcW w:w="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20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Common stock dividends</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(211,486)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(211,486)</w:t>
            </w:r>
          </w:p>
        </w:tc>
        <w:tc>
          <w:tcPr>
            <w:tcW w:w="0" w:type="dxa"/>
            <w:vAlign w:val="bottom"/>
          </w:tcPr>
          <w:p>
            <w:pPr>
              <w:spacing w:after="0"/>
              <w:rPr>
                <w:sz w:val="1"/>
                <w:szCs w:val="1"/>
                <w:color w:val="auto"/>
              </w:rPr>
            </w:pPr>
          </w:p>
        </w:tc>
      </w:tr>
      <w:tr>
        <w:trPr>
          <w:trHeight w:val="206"/>
        </w:trPr>
        <w:tc>
          <w:tcPr>
            <w:tcW w:w="1960" w:type="dxa"/>
            <w:vAlign w:val="bottom"/>
            <w:gridSpan w:val="3"/>
          </w:tcPr>
          <w:p>
            <w:pPr>
              <w:spacing w:after="0"/>
              <w:rPr>
                <w:sz w:val="20"/>
                <w:szCs w:val="20"/>
                <w:color w:val="auto"/>
              </w:rPr>
            </w:pPr>
            <w:r>
              <w:rPr>
                <w:rFonts w:ascii="Arial" w:cs="Arial" w:eastAsia="Arial" w:hAnsi="Arial"/>
                <w:sz w:val="16"/>
                <w:szCs w:val="16"/>
                <w:color w:val="auto"/>
              </w:rPr>
              <w:t>Distributions to</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(4,958)</w:t>
            </w: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12"/>
        </w:trPr>
        <w:tc>
          <w:tcPr>
            <w:tcW w:w="1960" w:type="dxa"/>
            <w:vAlign w:val="bottom"/>
            <w:gridSpan w:val="3"/>
          </w:tcPr>
          <w:p>
            <w:pPr>
              <w:spacing w:after="0"/>
              <w:rPr>
                <w:sz w:val="20"/>
                <w:szCs w:val="20"/>
                <w:color w:val="auto"/>
              </w:rPr>
            </w:pPr>
            <w:r>
              <w:rPr>
                <w:rFonts w:ascii="Arial" w:cs="Arial" w:eastAsia="Arial" w:hAnsi="Arial"/>
                <w:sz w:val="16"/>
                <w:szCs w:val="16"/>
                <w:color w:val="auto"/>
              </w:rPr>
              <w:t>noncontrolling interest</w:t>
            </w:r>
          </w:p>
        </w:tc>
        <w:tc>
          <w:tcPr>
            <w:tcW w:w="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20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6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(1,312)</w:t>
            </w:r>
          </w:p>
        </w:tc>
        <w:tc>
          <w:tcPr>
            <w:tcW w:w="20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2"/>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dividends</w:t>
            </w:r>
          </w:p>
        </w:tc>
        <w:tc>
          <w:tcPr>
            <w:tcW w:w="560" w:type="dxa"/>
            <w:vAlign w:val="bottom"/>
            <w:gridSpan w:val="3"/>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gridSpan w:val="2"/>
            <w:vMerge w:val="continue"/>
            <w:shd w:val="clear" w:color="auto" w:fill="CFF0FC"/>
          </w:tcPr>
          <w:p>
            <w:pPr>
              <w:spacing w:after="0"/>
              <w:rPr>
                <w:sz w:val="18"/>
                <w:szCs w:val="18"/>
                <w:color w:val="auto"/>
              </w:rPr>
            </w:pPr>
          </w:p>
        </w:tc>
        <w:tc>
          <w:tcPr>
            <w:tcW w:w="1200" w:type="dxa"/>
            <w:vAlign w:val="bottom"/>
            <w:gridSpan w:val="4"/>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rPr>
                <w:sz w:val="20"/>
                <w:szCs w:val="20"/>
                <w:color w:val="auto"/>
              </w:rPr>
            </w:pPr>
            <w:r>
              <w:rPr>
                <w:rFonts w:ascii="Arial" w:cs="Arial" w:eastAsia="Arial" w:hAnsi="Arial"/>
                <w:sz w:val="16"/>
                <w:szCs w:val="16"/>
                <w:color w:val="auto"/>
              </w:rPr>
              <w:t>Net share settlement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30"/>
        </w:trPr>
        <w:tc>
          <w:tcPr>
            <w:tcW w:w="19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177,321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gridSpan w:val="3"/>
          </w:tcPr>
          <w:p>
            <w:pPr>
              <w:spacing w:after="0"/>
              <w:rPr>
                <w:sz w:val="20"/>
                <w:szCs w:val="20"/>
                <w:color w:val="auto"/>
              </w:rPr>
            </w:pPr>
            <w:r>
              <w:rPr>
                <w:rFonts w:ascii="Arial" w:cs="Arial" w:eastAsia="Arial" w:hAnsi="Arial"/>
                <w:sz w:val="16"/>
                <w:szCs w:val="16"/>
                <w:color w:val="auto"/>
              </w:rPr>
              <w:t>Impact of change in</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1,859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60" w:type="dxa"/>
            <w:vAlign w:val="bottom"/>
            <w:gridSpan w:val="3"/>
          </w:tcPr>
          <w:p>
            <w:pPr>
              <w:spacing w:after="0"/>
              <w:rPr>
                <w:sz w:val="20"/>
                <w:szCs w:val="20"/>
                <w:color w:val="auto"/>
              </w:rPr>
            </w:pPr>
            <w:r>
              <w:rPr>
                <w:rFonts w:ascii="Arial" w:cs="Arial" w:eastAsia="Arial" w:hAnsi="Arial"/>
                <w:sz w:val="16"/>
                <w:szCs w:val="16"/>
                <w:color w:val="auto"/>
              </w:rPr>
              <w:t>accounting standard</w:t>
            </w:r>
          </w:p>
        </w:tc>
        <w:tc>
          <w:tcPr>
            <w:tcW w:w="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20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Balance at June 30, 2018</w:t>
            </w:r>
          </w:p>
        </w:tc>
        <w:tc>
          <w:tcPr>
            <w:tcW w:w="5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7"/>
              </w:rPr>
              <w:t>175,028,835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645,627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(2,174,216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(1,374,812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(2,362)</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(36,460)</w:t>
            </w: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229,563</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203,960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debt discount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12,147</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(4,257)</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(1,607)</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Straight-line revenues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(7,400)</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(7,248)</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(488)</w:t>
            </w: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13,024</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 net of acquisitions: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(22,971)</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(5,510)</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(2,671)</w:t>
            </w:r>
          </w:p>
        </w:tc>
      </w:tr>
      <w:tr>
        <w:trPr>
          <w:trHeight w:val="230"/>
        </w:trPr>
        <w:tc>
          <w:tcPr>
            <w:tcW w:w="71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26,559</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230,973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196,402</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Acquisition of ground lease investments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(9,355)</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NMS asset acquisitions (Note 4)</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(1,154)</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(67,924)</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Other capital expenditures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(163,467)</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(46,234)</w:t>
            </w: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(164,621)</w:t>
            </w:r>
          </w:p>
        </w:tc>
        <w:tc>
          <w:tcPr>
            <w:tcW w:w="2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debt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(10,540)</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(10,540)</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(212,043)</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(188,347)</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contingent consideration</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(12,662)</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(18,791)</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Proceeds from issuance of Notes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201,000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(4,958)</w:t>
            </w: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245,000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(50,000)</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(125,000)</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Capital lease payments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(2,738)</w:t>
            </w:r>
          </w:p>
        </w:tc>
        <w:tc>
          <w:tcPr>
            <w:tcW w:w="7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(1,345)</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financing costs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(25,411)</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Common stock issuance, net of costs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498,977</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share settlement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(1,575)</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(1,694)</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(49,516)</w:t>
            </w: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688,849</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w:t>
            </w: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16,735</w:t>
            </w: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762,342</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59,765</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171,754</w:t>
            </w:r>
          </w:p>
        </w:tc>
        <w:tc>
          <w:tcPr>
            <w:tcW w:w="100" w:type="dxa"/>
            <w:vAlign w:val="bottom"/>
            <w:shd w:val="clear" w:color="auto" w:fill="CFF0FC"/>
          </w:tcPr>
          <w:p>
            <w:pPr>
              <w:spacing w:after="0"/>
              <w:rPr>
                <w:sz w:val="19"/>
                <w:szCs w:val="19"/>
                <w:color w:val="auto"/>
              </w:rPr>
            </w:pPr>
          </w:p>
        </w:tc>
      </w:tr>
      <w:tr>
        <w:trPr>
          <w:trHeight w:val="26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76,500</w:t>
            </w:r>
          </w:p>
        </w:tc>
        <w:tc>
          <w:tcPr>
            <w:tcW w:w="24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934,096</w:t>
            </w:r>
          </w:p>
        </w:tc>
        <w:tc>
          <w:tcPr>
            <w:tcW w:w="100" w:type="dxa"/>
            <w:vAlign w:val="bottom"/>
            <w:tcBorders>
              <w:bottom w:val="single" w:sz="8" w:color="CFF0FC"/>
            </w:tcBorders>
          </w:tcPr>
          <w:p>
            <w:pPr>
              <w:spacing w:after="0"/>
              <w:rPr>
                <w:sz w:val="22"/>
                <w:szCs w:val="22"/>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7120" w:type="dxa"/>
            <w:vAlign w:val="bottom"/>
          </w:tcPr>
          <w:p>
            <w:pPr>
              <w:ind w:left="260"/>
              <w:spacing w:after="0"/>
              <w:rPr>
                <w:sz w:val="20"/>
                <w:szCs w:val="20"/>
                <w:color w:val="auto"/>
              </w:rPr>
            </w:pPr>
            <w:r>
              <w:rPr>
                <w:rFonts w:ascii="Arial" w:cs="Arial" w:eastAsia="Arial" w:hAnsi="Arial"/>
                <w:sz w:val="18"/>
                <w:szCs w:val="18"/>
                <w:color w:val="auto"/>
              </w:rPr>
              <w:t>Property and equipment acquired but not yet paid</w:t>
            </w:r>
          </w:p>
        </w:tc>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15,191</w:t>
            </w:r>
          </w:p>
        </w:tc>
        <w:tc>
          <w:tcPr>
            <w:tcW w:w="24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Tenant capital improvements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92,190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113,785</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Uniti Group Inc. (the “Company,” “Uniti,” “we,” “us,” or “our”) was incorporated in the state of Delaware in February 2014 and reorganized in the state of Maryland on September 4, 2014. We are an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We are the sole general partner of the Operating Partnership and own approximately 97.7% of the partnership interests in the Operating Partnership as of June 30, 2018 and December 31, 2017,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accompanying Condensed Consolidated Financial Statements include all accounts of the Company, its wholly-owned and/or controlled subsidiaries, which consist of the Operating Partnership. Under the Accounting Standards Codification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by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2017 (“Annual Report”), filed with the SEC on March 1, 2018. Accordingly, significant accounting policies and other disclosures normally provided have been omitted from the accompanying Condensed Consolidated Financial Statements and related notes since such items are disclosed in our Annual Report.</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—We are party to a Master Lease agreement with from Windstream Holdings, Inc. (“Windstream Holdings” and together with its subsidiaries, “Windstream”) from which substantially all of Uniti’s leasing revenues and operating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cash flows are currently derived. Revenue under the Master Lease provided 70.0% and 80.4% of our revenue for the six months ended June 30, 2018 and 2017, respectively.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 In recent years, Windstream has experienced annual declines in its total revenue, sales and cash flow, and has had its credit ratings downgraded by nationally recognized credit rating agencies multiple times over the past 12 months, and as recently as June 2018. In addition, Windstream is involved in litigation with an entity who acquired certain Windstream debt securities and thereafter issued a notice of default as to such securities relating to our spin-off from Windstream. On December 7, 2017, the entity issued a notice of acceleration to Windstream claiming that the alleged default had matured into an “event of default” and that the principal amount, along with accrued interest, of such securities was due and payable immediately. Windstream challenged the matter in federal court and a trial was held, in July 2018. A verdict is expected to be issued during the third quarter of 2018. If Windstream receives an adverse ruling (and the ruling is not stayed or is final and unappealable), an actual “event of default” would result. An actual “event of default” would trigger cross-default provisions in Windstream’s other debt instruments, including Windstream Services’ existing credit facility and notes, which, in turn, would trigger a default under the Master Lease. In addition, Windstream is dependent upon distributions from its subsidiaries to fund its rental payments, and its subsidiaries’ debt instruments generally prohibit such distributions upon any event of default. If an adverse outcome occurs with respect to this matter and Windstream does not have the ability to pay under the Master Lease, there could be a material adverse impact to us.</w:t>
      </w:r>
    </w:p>
    <w:p>
      <w:pPr>
        <w:spacing w:after="0" w:line="16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ongoing litigation and news reports regarding Windstream and its businesses, (iv) conducting research to ascertain industry trends potentially affecting Windstream, and (v) monitoring the timeliness of its lease payments.</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—The Tax Cuts and Jobs Act (“Tax Bill”) was enacted on December 22, 2017. The Tax Bill reduces the U.S. federal corporate tax rate from 35% to 21%, requires companies to pay a one-time transition tax on earnings of certain foreign subsidiaries that were previously tax deferred and creates new taxes on certain foreign sourced earnings. Consistent with Staff Accounting Bulletin No. 118 issued by the SEC, which provides for a measurement period of one year from the enactment date to finalize the accounting for effects of the Tax Bill, the Company provisionally recorded income tax benefit of $17.0 million related to the Tax Bill in the fourth quarter of 2017. During the second quarter of 2018, the purchase price allocations related to our acquisitions of Hunt Telecommunications, LLC and Southern Light, LLC were adjusted to record additional deferred tax liabilities of $3.2 million and $0.9 million, respectively, that existed as of the acquisition date. These deferred tax liabilities were recorded at the tax rate in effect as of the date of acquisition. Upon enactment of the Tax Bill, the incremental deferred tax liability would have been adjusted to the newly enacted corporate tax rate. This resulted in a decrease to the deferred tax liability and an income tax benefit of $1.3 million recorded for the three months ended June 30, 2018. As of June 30, 2018, we have not yet completed our accounting for the tax effects of the enactment of the Tax Bill. Future regulatory and rulemaking interpretations or other guidance clarifying provisions of the Tax Bill could affect the Company’s analysis and tax position.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r>
        <w:rPr>
          <w:rFonts w:ascii="Arial" w:cs="Arial" w:eastAsia="Arial" w:hAnsi="Arial"/>
          <w:sz w:val="17"/>
          <w:szCs w:val="17"/>
          <w:color w:val="auto"/>
        </w:rPr>
        <w:t>—Certain prior year asset categories and related amounts in Note 6 have been reclassified to conform with current year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August 2017, the FASB issued Accounting Standards Update (“ASU”) No. 2017-12</w:t>
      </w:r>
      <w:r>
        <w:rPr>
          <w:rFonts w:ascii="Arial" w:cs="Arial" w:eastAsia="Arial" w:hAnsi="Arial"/>
          <w:sz w:val="18"/>
          <w:szCs w:val="18"/>
          <w:i w:val="1"/>
          <w:iCs w:val="1"/>
          <w:color w:val="auto"/>
        </w:rPr>
        <w:t>, Derivatives and Hedging (Topic 815):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(“ASU 2017-12”), which amends and simplifies existing guidance in order to allow companies to more accurately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the economic effects of risk management activities in the financial statements. ASU 2017-12 is effective for annual periods beginning after December 15, 2018 and interim periods within those annual periods, and earlier adoption is permitted. We adopted ASU 2017-12 effective January 1, 2018, and there was no material impact on our financial position.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(“ASU 2017-05”), which provides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for recognizing gains and losses from the transfer of nonfinancial assets and for partial sales of nonfinancial assets, and is effective for financial statements issued for fiscal years and interim periods beginning after December 15, 2017. We adopted ASU 2017-05 effective January 1, 2018, using the modified retrospective approach and there was no material impact on our financial position.</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We adopted ASU 2016-15 effective January 1, 2018, and there was no material impact on our financial position.</w:t>
      </w:r>
    </w:p>
    <w:p>
      <w:pPr>
        <w:spacing w:after="0" w:line="165" w:lineRule="exact"/>
        <w:rPr>
          <w:sz w:val="20"/>
          <w:szCs w:val="20"/>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Topic 606 is effective for annual periods beginning after December 15, 2017 and interim periods within those annual periods. We adopted Topic 606 as of January 1, 2018 using the modified retrospective transition method. </w:t>
      </w:r>
      <w:hyperlink w:anchor="page12">
        <w:r>
          <w:rPr>
            <w:rFonts w:ascii="Arial" w:cs="Arial" w:eastAsia="Arial" w:hAnsi="Arial"/>
            <w:sz w:val="17"/>
            <w:szCs w:val="17"/>
            <w:u w:val="single" w:color="auto"/>
            <w:color w:val="0000EE"/>
          </w:rPr>
          <w:t>See Note 3</w:t>
        </w:r>
      </w:hyperlink>
      <w:r>
        <w:rPr>
          <w:rFonts w:ascii="Arial" w:cs="Arial" w:eastAsia="Arial" w:hAnsi="Arial"/>
          <w:sz w:val="17"/>
          <w:szCs w:val="17"/>
          <w:color w:val="auto"/>
        </w:rPr>
        <w:t>.</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provisions of this guidance are effective for annual periods beginning after December 31, 2018, and for interim periods therein.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right-of-use assets, the extent of the impact of a gross-up is under evaluation. The Company does not anticipate material changes to the recognition of operating lease expense in its Consolidated Statements of Income.</w:t>
      </w:r>
    </w:p>
    <w:p>
      <w:pPr>
        <w:spacing w:after="0" w:line="17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In January 2018, the FASB issued ASU 2018-01, </w:t>
      </w:r>
      <w:r>
        <w:rPr>
          <w:rFonts w:ascii="Arial" w:cs="Arial" w:eastAsia="Arial" w:hAnsi="Arial"/>
          <w:sz w:val="17"/>
          <w:szCs w:val="17"/>
          <w:i w:val="1"/>
          <w:iCs w:val="1"/>
          <w:color w:val="auto"/>
        </w:rPr>
        <w:t>Leases (Topic 842) – Land Easement Practical Expedient for Transition to Topic 842</w:t>
      </w:r>
      <w:r>
        <w:rPr>
          <w:rFonts w:ascii="Arial" w:cs="Arial" w:eastAsia="Arial" w:hAnsi="Arial"/>
          <w:sz w:val="17"/>
          <w:szCs w:val="17"/>
          <w:color w:val="auto"/>
        </w:rPr>
        <w:t>. This standard permits an entity to elect an optional transition practical expedient to not evaluate land easements that exist or expire before the Company's adoption of ASC 842 and that were not previously accounted for as leases under ASC 840. The Company intends to elect this transition provision.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Adoption of ASC Topic 606, </w:t>
      </w:r>
      <w:r>
        <w:rPr>
          <w:rFonts w:ascii="Arial" w:cs="Arial" w:eastAsia="Arial" w:hAnsi="Arial"/>
          <w:sz w:val="18"/>
          <w:szCs w:val="18"/>
          <w:i w:val="1"/>
          <w:iCs w:val="1"/>
          <w:u w:val="single" w:color="auto"/>
          <w:color w:val="auto"/>
        </w:rPr>
        <w:t>Revenue from Contracts with Customers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Except for the changes below, we have consistently applied the accounting policies to all periods presented in these Condensed Consolidated Financial Statements.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On January 1, 2018, we adopted Topic 606 using the modified retrospective method, whereby the cumulative effect of initially applying Topic 606 is recognized as an adjustment to the opening balance of equity at January 1, 2018. Therefore, comparative information has not been adjusted and continues to be reported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recorded a net increase 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opening retained earnings of $1.9 million as of January 1, 2018 due to the cumulative impact of adopting Topic 606, with the impact primarily related to commission costs that are capitalized under Topic 606 which were previously expensed.</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details of the significant changes and quantitative impact of the changes are set out below. We have applied this guidance only to contracts that are not completed as of the January 1, 2018, the date of initial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We previously recognized commission fees related to obtaining a contract as selling expenses when incurred. Under Topic 606 and Topic 340,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Deferred Costs</w:t>
      </w:r>
      <w:r>
        <w:rPr>
          <w:rFonts w:ascii="Arial" w:cs="Arial" w:eastAsia="Arial" w:hAnsi="Arial"/>
          <w:sz w:val="16"/>
          <w:szCs w:val="16"/>
          <w:color w:val="auto"/>
        </w:rPr>
        <w:t>, when they are incremental, expected to be recovered, we capitalize those commission fees as costs of obtaining a contract and amortize</w:t>
      </w:r>
      <w:r>
        <w:rPr>
          <w:rFonts w:ascii="Arial" w:cs="Arial" w:eastAsia="Arial" w:hAnsi="Arial"/>
          <w:sz w:val="16"/>
          <w:szCs w:val="16"/>
          <w:i w:val="1"/>
          <w:iCs w:val="1"/>
          <w:color w:val="auto"/>
        </w:rPr>
        <w:t xml:space="preserve"> </w:t>
      </w:r>
      <w:r>
        <w:rPr>
          <w:rFonts w:ascii="Arial" w:cs="Arial" w:eastAsia="Arial" w:hAnsi="Arial"/>
          <w:sz w:val="16"/>
          <w:szCs w:val="16"/>
          <w:color w:val="auto"/>
        </w:rPr>
        <w:t>them consistently with the pattern of transfer of the product or service to which the asset relates. These costs are included in general and administrative expense on the Condensed Consolidated Statements of Income. These deferred balances were $3.7 million and $2.5 million at June 30, 2018 and January 1, 2018, respectively, and included in Other Assets on the Condensed Consolidated Balance Sheets; Other Assets would have been lower by those amounts under revenue recognition and cost guidance applicable to us prior to the adoption of Topic 606 and Topic 340. For the three and six months ended June 30, 2018, the impact to costs as a result of applying Topic 606 was a decrease of $0.8 million and $1.2 million, respectively, as compared to what the general and administrative expense would have been under previous revenue and cost recognition guidance. There would have been no other differences in our Condensed Consolidated Balance Sheet as of June 30, 2018 or Condensed Consolidated Statements of Income for the three and six months ended June 30, 2018 under previous revenue and cost recognition guidance as compared to Topic 606 and Topic 340.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goods and services</w:t>
      </w:r>
    </w:p>
    <w:p>
      <w:pPr>
        <w:spacing w:after="0" w:line="225"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 following is a description of principal activities, separated by reportable segments (</w:t>
      </w:r>
      <w:hyperlink w:anchor="page26">
        <w:r>
          <w:rPr>
            <w:rFonts w:ascii="Arial" w:cs="Arial" w:eastAsia="Arial" w:hAnsi="Arial"/>
            <w:sz w:val="17"/>
            <w:szCs w:val="17"/>
            <w:u w:val="single" w:color="auto"/>
            <w:color w:val="0000EE"/>
          </w:rPr>
          <w:t>see Note 11), from which the Company generates its revenues.</w:t>
        </w:r>
      </w:hyperlink>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Leasing revenue represents the results from our leasing programs, Uniti Leasing, which is engaged in the acquisition of mission-critical communications assets and leasing them back to anchor customers on either an exclusive or shared-tenant basis. Due to the nature of these activities, they are outside the scope of the guidance of Topic 606, and are recognized under other applicable guidance, including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70" w:lineRule="exact"/>
        <w:rPr>
          <w:sz w:val="20"/>
          <w:szCs w:val="20"/>
          <w:color w:val="auto"/>
        </w:rPr>
      </w:pPr>
    </w:p>
    <w:p>
      <w:pPr>
        <w:ind w:left="1140" w:right="40" w:hanging="754"/>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40" w:right="20" w:hanging="754"/>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40" w:right="300" w:hanging="754"/>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services constitute a lease, and as such, they are outside the scope of Topic 606 and are governed by other applicable guidance.</w:t>
      </w:r>
    </w:p>
    <w:p>
      <w:pPr>
        <w:spacing w:after="0" w:line="225" w:lineRule="exact"/>
        <w:rPr>
          <w:sz w:val="20"/>
          <w:szCs w:val="20"/>
          <w:color w:val="auto"/>
        </w:rPr>
      </w:pPr>
    </w:p>
    <w:p>
      <w:pPr>
        <w:ind w:left="1140" w:right="40" w:hanging="754"/>
        <w:spacing w:after="0" w:line="30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we are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54" w:lineRule="exact"/>
        <w:rPr>
          <w:rFonts w:ascii="Arial" w:cs="Arial" w:eastAsia="Arial" w:hAnsi="Arial"/>
          <w:sz w:val="16"/>
          <w:szCs w:val="16"/>
          <w:color w:val="auto"/>
        </w:rPr>
      </w:pPr>
    </w:p>
    <w:p>
      <w:pPr>
        <w:ind w:left="1140" w:right="160" w:hanging="754"/>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under Topic 840 and, is outside the scope of Topic 606.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86" w:lineRule="exact"/>
        <w:rPr>
          <w:rFonts w:ascii="Arial" w:cs="Arial" w:eastAsia="Arial" w:hAnsi="Arial"/>
          <w:sz w:val="18"/>
          <w:szCs w:val="18"/>
          <w:color w:val="auto"/>
        </w:rPr>
      </w:pPr>
    </w:p>
    <w:p>
      <w:pPr>
        <w:ind w:left="1140" w:right="120" w:hanging="754"/>
        <w:spacing w:after="0" w:line="283" w:lineRule="auto"/>
        <w:tabs>
          <w:tab w:leader="none" w:pos="1140"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Towers segment represents the operations of our towers business, Uniti Towers, through which we acquire and construct tower and tower-related real estate, which we then lease to our customers in the United States and Latin America. Revenue from our towers business qualifies as a lease under Topic 840 and is outside the scope of Topic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Disaggregation of Revenue</w:t>
            </w:r>
          </w:p>
        </w:tc>
        <w:tc>
          <w:tcPr>
            <w:tcW w:w="3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8"/>
        </w:trPr>
        <w:tc>
          <w:tcPr>
            <w:tcW w:w="6740" w:type="dxa"/>
            <w:vAlign w:val="bottom"/>
            <w:gridSpan w:val="6"/>
          </w:tcPr>
          <w:p>
            <w:pPr>
              <w:spacing w:after="0"/>
              <w:rPr>
                <w:sz w:val="20"/>
                <w:szCs w:val="20"/>
                <w:color w:val="auto"/>
              </w:rPr>
            </w:pPr>
            <w:r>
              <w:rPr>
                <w:rFonts w:ascii="Arial" w:cs="Arial" w:eastAsia="Arial" w:hAnsi="Arial"/>
                <w:sz w:val="18"/>
                <w:szCs w:val="18"/>
                <w:color w:val="auto"/>
              </w:rPr>
              <w:t>The following table presents our revenues disaggregated by revenue stream.</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9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Six Months Ended June 30,</w:t>
            </w:r>
          </w:p>
        </w:tc>
        <w:tc>
          <w:tcPr>
            <w:tcW w:w="20" w:type="dxa"/>
            <w:vAlign w:val="bottom"/>
          </w:tcPr>
          <w:p>
            <w:pPr>
              <w:spacing w:after="0"/>
              <w:rPr>
                <w:sz w:val="20"/>
                <w:szCs w:val="20"/>
                <w:color w:val="auto"/>
              </w:rPr>
            </w:pPr>
          </w:p>
        </w:tc>
      </w:tr>
      <w:tr>
        <w:trPr>
          <w:trHeight w:val="237"/>
        </w:trPr>
        <w:tc>
          <w:tcPr>
            <w:tcW w:w="51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15"/>
                <w:szCs w:val="15"/>
                <w:b w:val="1"/>
                <w:bCs w:val="1"/>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Revenue from contracts with customers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gridSpan w:val="3"/>
          </w:tcPr>
          <w:p>
            <w:pPr>
              <w:ind w:left="380"/>
              <w:spacing w:after="0"/>
              <w:rPr>
                <w:sz w:val="20"/>
                <w:szCs w:val="20"/>
                <w:color w:val="auto"/>
              </w:rPr>
            </w:pPr>
            <w:r>
              <w:rPr>
                <w:rFonts w:ascii="Arial" w:cs="Arial" w:eastAsia="Arial" w:hAnsi="Arial"/>
                <w:sz w:val="18"/>
                <w:szCs w:val="18"/>
                <w:color w:val="auto"/>
              </w:rPr>
              <w:t>Lit backhaul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33,474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24,296</w:t>
            </w:r>
          </w:p>
        </w:tc>
        <w:tc>
          <w:tcPr>
            <w:tcW w:w="160" w:type="dxa"/>
            <w:vAlign w:val="bottom"/>
          </w:tcPr>
          <w:p>
            <w:pPr>
              <w:spacing w:after="0"/>
              <w:rPr>
                <w:sz w:val="19"/>
                <w:szCs w:val="19"/>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66,820</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48,548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gridSpan w:val="3"/>
          </w:tcPr>
          <w:p>
            <w:pPr>
              <w:ind w:left="380"/>
              <w:spacing w:after="0"/>
              <w:rPr>
                <w:sz w:val="20"/>
                <w:szCs w:val="20"/>
                <w:color w:val="auto"/>
              </w:rPr>
            </w:pPr>
            <w:r>
              <w:rPr>
                <w:rFonts w:ascii="Arial" w:cs="Arial" w:eastAsia="Arial" w:hAnsi="Arial"/>
                <w:sz w:val="18"/>
                <w:szCs w:val="18"/>
                <w:color w:val="auto"/>
              </w:rPr>
              <w:t>E-Rate and government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14,157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28,387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9"/>
                <w:szCs w:val="19"/>
                <w:color w:val="auto"/>
              </w:rPr>
            </w:pPr>
          </w:p>
        </w:tc>
      </w:tr>
      <w:tr>
        <w:trPr>
          <w:trHeight w:val="223"/>
        </w:trPr>
        <w:tc>
          <w:tcPr>
            <w:tcW w:w="5160" w:type="dxa"/>
            <w:vAlign w:val="bottom"/>
            <w:gridSpan w:val="3"/>
          </w:tcPr>
          <w:p>
            <w:pPr>
              <w:ind w:left="140"/>
              <w:spacing w:after="0"/>
              <w:rPr>
                <w:sz w:val="20"/>
                <w:szCs w:val="20"/>
                <w:color w:val="auto"/>
              </w:rPr>
            </w:pPr>
            <w:r>
              <w:rPr>
                <w:rFonts w:ascii="Arial" w:cs="Arial" w:eastAsia="Arial" w:hAnsi="Arial"/>
                <w:sz w:val="18"/>
                <w:szCs w:val="18"/>
                <w:color w:val="auto"/>
              </w:rPr>
              <w:t>Fiber Infrastructure</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64,071</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128,055</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Total revenue from contracts with customers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67,654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135,442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358,802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247,329</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494,244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19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noted above, prior period amounts have not been adjusted under the modified retrospective method.</w:t>
      </w:r>
    </w:p>
    <w:p>
      <w:pPr>
        <w:spacing w:after="0" w:line="1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June 30, 2018, and January 1, 2018, lease receivables were $32.3 million and $10.9 million, respectively, and receivables from contract with customers were $32.9 million and $31.2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4"/>
              </w:rPr>
              <w:t>Contract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Contract Liabilities</w:t>
            </w:r>
          </w:p>
        </w:tc>
      </w:tr>
      <w:tr>
        <w:trPr>
          <w:trHeight w:val="223"/>
        </w:trPr>
        <w:tc>
          <w:tcPr>
            <w:tcW w:w="6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7180" w:type="dxa"/>
            <w:vAlign w:val="bottom"/>
            <w:gridSpan w:val="2"/>
          </w:tcPr>
          <w:p>
            <w:pPr>
              <w:spacing w:after="0"/>
              <w:rPr>
                <w:sz w:val="20"/>
                <w:szCs w:val="20"/>
                <w:color w:val="auto"/>
              </w:rPr>
            </w:pPr>
            <w:r>
              <w:rPr>
                <w:rFonts w:ascii="Arial" w:cs="Arial" w:eastAsia="Arial" w:hAnsi="Arial"/>
                <w:sz w:val="18"/>
                <w:szCs w:val="18"/>
                <w:color w:val="auto"/>
                <w:w w:val="97"/>
              </w:rPr>
              <w:t>Revenue recognized that was included in the contract liability balance at the beginning of the</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(4,575)</w:t>
            </w:r>
          </w:p>
        </w:tc>
      </w:tr>
      <w:tr>
        <w:trPr>
          <w:trHeight w:val="230"/>
        </w:trPr>
        <w:tc>
          <w:tcPr>
            <w:tcW w:w="7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Increases due to revenue recognized, and not billed during the period</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w w:val="97"/>
              </w:rPr>
              <w:t>Increases due to cash received, excluding amounts recognized as revenue during the period</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r>
      <w:tr>
        <w:trPr>
          <w:trHeight w:val="230"/>
        </w:trPr>
        <w:tc>
          <w:tcPr>
            <w:tcW w:w="7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(5,857)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Balance at June 30, 2018</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24,294</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Performance obligations within contracts to stand ready to provide services are typically satisfied over time or as those services are provided. Contract assets primarily relate costs incremental to obtaining contracts and contract liabilities primarily relate to deferred revenue from non-recurring charges. The deferred revenue is recognized, and the liability reduced, over the contract term as the Company completes the performance obligation. As of June 30, 2018, our future revenues (i.e. transaction price related to remaining performance obligations) under contract accounted for under Topic 606 totaled $678.3 million, of which $600.3 million is related to contracts that are currently being invoiced and have an average remaining contract term of 2.8 years, while $78.0 million represents our backlog for sales bookings which have yet to be installed and have an average remaining contract term of 4.3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exclude from the transaction price any amounts collected from customers for sales taxes and therefore, they are not included in revenue.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 and Asset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Management Holdings LTD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On January 31, 2017, we completed the acquisition of NMS. The Company accounted for the acquisition of NMS as an asset purchase. At close, NMS owned and operated 366 wireless communications towers in Latin America with an additional 105 build to suit tower sites under development. The NMS portfolio spans three Latin American countries with 212 towers in Mexico, 54 towers in Nicaragua, and 100 towers in Colombia. The consideration for the 366 wireless towers in operation as of the transaction close date was $62.6 million, which was funded through cash on hand, and is presented in NMS asset acquisition on the Condensed Consolidated Statements of Cash Flows. NMS conducts its operations through three non-U.S. subsidiaries and the Company has determined that the functional currencies for the Mexican,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 &amp; Equipment and Intangibles over their respective historical tax bases. Under the terms of the purchase agreement, we will acquire the towers under development when construction is completed. The NMS towers are reflected in our Towers segment. </w:t>
      </w:r>
      <w:hyperlink w:anchor="page26">
        <w:r>
          <w:rPr>
            <w:rFonts w:ascii="Arial" w:cs="Arial" w:eastAsia="Arial" w:hAnsi="Arial"/>
            <w:sz w:val="17"/>
            <w:szCs w:val="17"/>
            <w:u w:val="single" w:color="auto"/>
            <w:color w:val="auto"/>
          </w:rPr>
          <w:t>See Note 11</w:t>
        </w:r>
      </w:hyperlink>
      <w:r>
        <w:rPr>
          <w:rFonts w:ascii="Arial" w:cs="Arial" w:eastAsia="Arial" w:hAnsi="Arial"/>
          <w:sz w:val="17"/>
          <w:szCs w:val="17"/>
          <w:color w:val="auto"/>
        </w:rPr>
        <w:t>. The following is a summary of the estimated fair values of the assets acquired and liabilities assumed: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(thousands)</w:t>
            </w:r>
          </w:p>
        </w:tc>
      </w:tr>
      <w:tr>
        <w:trPr>
          <w:trHeight w:val="250"/>
        </w:trPr>
        <w:tc>
          <w:tcPr>
            <w:tcW w:w="8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top w:val="single" w:sz="8" w:color="CFF0FC"/>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36,417</w:t>
            </w:r>
          </w:p>
        </w:tc>
        <w:tc>
          <w:tcPr>
            <w:tcW w:w="120" w:type="dxa"/>
            <w:vAlign w:val="bottom"/>
            <w:tcBorders>
              <w:top w:val="single" w:sz="8" w:color="CFF0FC"/>
            </w:tcBorders>
            <w:shd w:val="clear" w:color="auto" w:fill="CFF0FC"/>
          </w:tcPr>
          <w:p>
            <w:pPr>
              <w:spacing w:after="0"/>
              <w:rPr>
                <w:sz w:val="21"/>
                <w:szCs w:val="2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52,437</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(8,895)</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liabilities</w:t>
            </w:r>
          </w:p>
        </w:tc>
        <w:tc>
          <w:tcPr>
            <w:tcW w:w="4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(3,440)</w:t>
            </w: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(18,403)</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62,565</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w:t>
      </w:r>
      <w:hyperlink w:anchor="page21">
        <w:r>
          <w:rPr>
            <w:rFonts w:ascii="Arial" w:cs="Arial" w:eastAsia="Arial" w:hAnsi="Arial"/>
            <w:sz w:val="18"/>
            <w:szCs w:val="18"/>
            <w:u w:val="single" w:color="auto"/>
            <w:color w:val="auto"/>
          </w:rPr>
          <w:t>See Note 8</w:t>
        </w:r>
      </w:hyperlink>
      <w:r>
        <w:rPr>
          <w:rFonts w:ascii="Arial" w:cs="Arial" w:eastAsia="Arial" w:hAnsi="Arial"/>
          <w:sz w:val="18"/>
          <w:szCs w:val="18"/>
          <w:color w:val="auto"/>
        </w:rPr>
        <w: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June 30, 2018, construction was completed on 16 of the towers that were under development at the time of the NMS acquisition and we acquired the completed towers pursuant to the purchase agreement for approximately $1.2 million. As of June 30, 2018, we acquired 66 of the 105 towers that were under development at the time of NMS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Light, LLC</w:t>
      </w:r>
    </w:p>
    <w:p>
      <w:pPr>
        <w:spacing w:after="0" w:line="171" w:lineRule="exact"/>
        <w:rPr>
          <w:sz w:val="20"/>
          <w:szCs w:val="20"/>
          <w:color w:val="auto"/>
        </w:rPr>
      </w:pPr>
    </w:p>
    <w:p>
      <w:pPr>
        <w:ind w:right="1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On July 3, 2017, we acquired 100% of the outstanding equity of Southern Light for $638.1 million in cash and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6">
        <w:r>
          <w:rPr>
            <w:rFonts w:ascii="Arial" w:cs="Arial" w:eastAsia="Arial" w:hAnsi="Arial"/>
            <w:sz w:val="18"/>
            <w:szCs w:val="18"/>
            <w:u w:val="single" w:color="auto"/>
            <w:color w:val="auto"/>
          </w:rPr>
          <w:t>See Note 11</w:t>
        </w:r>
      </w:hyperlink>
      <w:r>
        <w:rPr>
          <w:rFonts w:ascii="Arial" w:cs="Arial" w:eastAsia="Arial" w:hAnsi="Arial"/>
          <w:sz w:val="18"/>
          <w:szCs w:val="18"/>
          <w:color w:val="auto"/>
        </w:rPr>
        <w:t>. The following is a summary of the estimated fair values of the assets acquired and liabilities assumed: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w w:val="94"/>
              </w:rPr>
              <w:t>Uniti Group Inc.</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w w:val="88"/>
              </w:rPr>
              <w:t>Notes to the Condensed Consolidated Financial Statements – Continued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87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24"/>
                <w:szCs w:val="24"/>
                <w:color w:val="auto"/>
              </w:rPr>
            </w:pPr>
          </w:p>
        </w:tc>
      </w:tr>
      <w:tr>
        <w:trPr>
          <w:trHeight w:val="25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279,467</w:t>
            </w:r>
          </w:p>
        </w:tc>
        <w:tc>
          <w:tcPr>
            <w:tcW w:w="100" w:type="dxa"/>
            <w:vAlign w:val="bottom"/>
            <w:shd w:val="clear" w:color="auto" w:fill="CFF0FC"/>
          </w:tcPr>
          <w:p>
            <w:pPr>
              <w:spacing w:after="0"/>
              <w:rPr>
                <w:sz w:val="21"/>
                <w:szCs w:val="2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11,139</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319,508</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160,100</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(19,846)</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(38,134)</w:t>
            </w: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(9,892)</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(3,189)</w:t>
            </w:r>
          </w:p>
        </w:tc>
      </w:tr>
      <w:tr>
        <w:trPr>
          <w:trHeight w:val="223"/>
        </w:trPr>
        <w:tc>
          <w:tcPr>
            <w:tcW w:w="8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second quarter of 2018, the purchase price allocation was adjusted to record $0.9 million of deferred tax labilities that existed at the date of acquisition.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goodwill arising from the transaction is primarily attributable to the expansion of our fiber network through the complementary nature of Southern Light’s fiber network to our existing fiber network, including anticipated incremental sales and cost savings. For federal income tax purposes, the transaction was treated as partially taxable (for portion paid in cash) and partially non-taxable (for portion paid with common units in the Operating Partnership). The portion of the acquisition that was treated as a taxable acquisition resulted in tax deductible goodwill. No tax deductible goodwill resulted from the portion of the acquisition that was treated as non-taxable.</w:t>
      </w:r>
    </w:p>
    <w:p>
      <w:pPr>
        <w:spacing w:after="0" w:line="134" w:lineRule="exact"/>
        <w:rPr>
          <w:sz w:val="20"/>
          <w:szCs w:val="20"/>
          <w:color w:val="auto"/>
        </w:rPr>
      </w:pPr>
    </w:p>
    <w:p>
      <w:pPr>
        <w:ind w:right="880"/>
        <w:spacing w:after="0" w:line="438" w:lineRule="auto"/>
        <w:rPr>
          <w:rFonts w:ascii="Arial" w:cs="Arial" w:eastAsia="Arial" w:hAnsi="Arial"/>
          <w:sz w:val="18"/>
          <w:szCs w:val="18"/>
          <w:color w:val="auto"/>
        </w:rPr>
      </w:pPr>
      <w:r>
        <w:rPr>
          <w:rFonts w:ascii="Arial" w:cs="Arial" w:eastAsia="Arial" w:hAnsi="Arial"/>
          <w:sz w:val="18"/>
          <w:szCs w:val="18"/>
          <w:color w:val="auto"/>
        </w:rPr>
        <w:t xml:space="preserve">As part of the acquisition, we acquired an intangible asset that was assigned to customer relationships of $160.1 million (15 year life). </w:t>
      </w:r>
      <w:hyperlink w:anchor="page21">
        <w:r>
          <w:rPr>
            <w:rFonts w:ascii="Arial" w:cs="Arial" w:eastAsia="Arial" w:hAnsi="Arial"/>
            <w:sz w:val="18"/>
            <w:szCs w:val="18"/>
            <w:u w:val="single" w:color="auto"/>
            <w:color w:val="auto"/>
          </w:rPr>
          <w:t>See 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Hunt Telecommunications, LLC</w:t>
      </w:r>
    </w:p>
    <w:p>
      <w:pPr>
        <w:spacing w:after="0" w:line="1" w:lineRule="exact"/>
        <w:rPr>
          <w:sz w:val="20"/>
          <w:szCs w:val="20"/>
          <w:color w:val="auto"/>
        </w:rPr>
      </w:pPr>
    </w:p>
    <w:p>
      <w:pPr>
        <w:ind w:right="1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On July 3, 2017, we acquired 100% of the outstanding equity of Hunt for $129.3 million in cash and 1.6 million common units in the Operating Partnership with an acquisition date fair value of $41.6 million. Additional contingent consideration of up to $17 million, with an acquisition date fair value of $16.4 million, may be paid upon the achievement of certain revenue milestones by delivering shares of our common stock. </w:t>
      </w:r>
      <w:hyperlink w:anchor="page18">
        <w:r>
          <w:rPr>
            <w:rFonts w:ascii="Arial" w:cs="Arial" w:eastAsia="Arial" w:hAnsi="Arial"/>
            <w:sz w:val="17"/>
            <w:szCs w:val="17"/>
            <w:u w:val="single" w:color="auto"/>
            <w:color w:val="auto"/>
          </w:rPr>
          <w:t>See Note 5</w:t>
        </w:r>
      </w:hyperlink>
      <w:r>
        <w:rPr>
          <w:rFonts w:ascii="Arial" w:cs="Arial" w:eastAsia="Arial" w:hAnsi="Arial"/>
          <w:sz w:val="20"/>
          <w:szCs w:val="20"/>
          <w:color w:val="auto"/>
        </w:rPr>
        <w:t>.</w:t>
      </w:r>
      <w:r>
        <w:rPr>
          <w:rFonts w:ascii="Arial" w:cs="Arial" w:eastAsia="Arial" w:hAnsi="Arial"/>
          <w:sz w:val="17"/>
          <w:szCs w:val="17"/>
          <w:color w:val="auto"/>
        </w:rPr>
        <w:t xml:space="preserve"> Hunt is a leading provider of data transport to K-12 schools and government agencies with a dense fiber network in Louisiana.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6">
        <w:r>
          <w:rPr>
            <w:rFonts w:ascii="Arial" w:cs="Arial" w:eastAsia="Arial" w:hAnsi="Arial"/>
            <w:sz w:val="17"/>
            <w:szCs w:val="17"/>
            <w:u w:val="single" w:color="auto"/>
            <w:color w:val="auto"/>
          </w:rPr>
          <w:t>See Note 11</w:t>
        </w:r>
      </w:hyperlink>
      <w:r>
        <w:rPr>
          <w:rFonts w:ascii="Arial" w:cs="Arial" w:eastAsia="Arial" w:hAnsi="Arial"/>
          <w:sz w:val="17"/>
          <w:szCs w:val="17"/>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r>
      <w:tr>
        <w:trPr>
          <w:trHeight w:val="25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59,682</w:t>
            </w:r>
          </w:p>
        </w:tc>
        <w:tc>
          <w:tcPr>
            <w:tcW w:w="100" w:type="dxa"/>
            <w:vAlign w:val="bottom"/>
            <w:shd w:val="clear" w:color="auto" w:fill="CFF0FC"/>
          </w:tcPr>
          <w:p>
            <w:pPr>
              <w:spacing w:after="0"/>
              <w:rPr>
                <w:sz w:val="21"/>
                <w:szCs w:val="2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99,580</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(3,741)</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(6,036)</w:t>
            </w: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(43,550)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23"/>
        </w:trPr>
        <w:tc>
          <w:tcPr>
            <w:tcW w:w="8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first quarter of 2018, the purchase price allocation was adjusted to record certain deferred revenues and accrued liabilities that existed at the date of acquisition. Deferred revenue and accrued liabilities increased $2.2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second quarter of 2018, the purchase price allocation was adjusted to record $3.2 million of deferred tax labilities that existed at the date of acquisition.</w:t>
      </w:r>
    </w:p>
    <w:p>
      <w:pPr>
        <w:spacing w:after="0" w:line="1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goodwill arising from the transaction is primarily attributable to the expansion of our fiber network through the complementary nature of Hunt’s fiber network to our existing fiber network, including anticipated incremental sales and cost savings. The goodwill is not expected to be deductible for tax purposes.</w:t>
      </w:r>
    </w:p>
    <w:p>
      <w:pPr>
        <w:spacing w:after="0" w:line="12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As part of the acquisition we acquired an intangible asset that was assigned to customer relationships of $73 million (18 year life). </w:t>
      </w:r>
      <w:hyperlink w:anchor="page21">
        <w:r>
          <w:rPr>
            <w:rFonts w:ascii="Arial" w:cs="Arial" w:eastAsia="Arial" w:hAnsi="Arial"/>
            <w:sz w:val="18"/>
            <w:szCs w:val="18"/>
            <w:u w:val="single" w:color="auto"/>
            <w:color w:val="auto"/>
          </w:rPr>
          <w:t>See Note 8</w:t>
        </w:r>
      </w:hyperlink>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Inputs other than quoted prices included within Level 1 that are observable for the asset or liability, either directly or indirectly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for the asset or liability</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liability, our outstanding notes and other debt,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June 30, 2018 and December 31, 2017:</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Quoted Prices in</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Prices with Other</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62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June 30, 2018</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Derivative asset</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56,666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56,666</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1,982,912</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1,982,912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524,563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1,054,500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1,054,500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474,953</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92,612</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4,677,040</w:t>
            </w:r>
          </w:p>
        </w:tc>
        <w:tc>
          <w:tcPr>
            <w:tcW w:w="1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4,584,428</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Prices with</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center"/>
              <w:ind w:left="18"/>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71"/>
        </w:trPr>
        <w:tc>
          <w:tcPr>
            <w:tcW w:w="6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Derivative asset</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5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2,011,237</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2,011,237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540,375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1,073,925</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1,073,925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542,250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279,972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105,762</w:t>
            </w:r>
          </w:p>
        </w:tc>
        <w:tc>
          <w:tcPr>
            <w:tcW w:w="10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4,553,521</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5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4,447,759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The total principal balance of our outstanding notes and other debt was $4.81 billion at June 30, 2018, with a fair value of $4.58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are carried at fair value. </w:t>
      </w:r>
      <w:hyperlink w:anchor="page20">
        <w:r>
          <w:rPr>
            <w:rFonts w:ascii="Arial" w:cs="Arial" w:eastAsia="Arial" w:hAnsi="Arial"/>
            <w:sz w:val="16"/>
            <w:szCs w:val="16"/>
            <w:u w:val="single" w:color="auto"/>
            <w:color w:val="0000EE"/>
          </w:rPr>
          <w:t>See Note 7</w:t>
        </w:r>
      </w:hyperlink>
      <w:r>
        <w:rPr>
          <w:rFonts w:ascii="Arial" w:cs="Arial" w:eastAsia="Arial" w:hAnsi="Arial"/>
          <w:sz w:val="16"/>
          <w:szCs w:val="16"/>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assets fall within Level 2 of the fair value hierarchy; however the associated credit valuation adjustments utilized Level 3 inputs, such as estimates of credit spreads, to evaluate the likelihood of default by the Company and its counterparties. As of June 30, 2018,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valuation in Level 2 of the fair value hierarchy.</w:t>
      </w:r>
    </w:p>
    <w:p>
      <w:pPr>
        <w:spacing w:after="0" w:line="169" w:lineRule="exact"/>
        <w:rPr>
          <w:sz w:val="20"/>
          <w:szCs w:val="20"/>
          <w:color w:val="auto"/>
        </w:rPr>
      </w:pPr>
    </w:p>
    <w:p>
      <w:pPr>
        <w:ind w:right="140"/>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As part of the acquisition of Hunt on July 3, 2017, we may be obligated to pay contingent consideration (the “Hunt Contingent Consideration”) upon the achievement of certain defined revenue milestones; therefore, we have recorded the estimated fair value of contingent consideration of approximately $12.9 million as of June 30, 2018. </w:t>
      </w:r>
      <w:hyperlink w:anchor="page15">
        <w:r>
          <w:rPr>
            <w:rFonts w:ascii="Arial" w:cs="Arial" w:eastAsia="Arial" w:hAnsi="Arial"/>
            <w:sz w:val="17"/>
            <w:szCs w:val="17"/>
            <w:u w:val="single" w:color="auto"/>
            <w:color w:val="0000EE"/>
          </w:rPr>
          <w:t>See Note 4</w:t>
        </w:r>
      </w:hyperlink>
      <w:r>
        <w:rPr>
          <w:rFonts w:ascii="Arial" w:cs="Arial" w:eastAsia="Arial" w:hAnsi="Arial"/>
          <w:sz w:val="17"/>
          <w:szCs w:val="17"/>
          <w:color w:val="auto"/>
        </w:rPr>
        <w:t>. In accordance with the Hunt merger agreement, Uniti common shares will be used to satisfy the contingent consideration payment. The fair value of the Hunt Contingent Consideration at June 30, 2018 was determined using the closing price of our common shares in the active market and the probability of expected declared dividends, and is classified as Level 3.</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part of the acquisition of Tower Cloud on August 31, 2016, we may be obligated to pay contingent consideration upon achievement of certain defined operational and financial milestones.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$79.7 million as of June 30, 2018. The fair value of the contingent consideration as of June 30, 2018, was determined using a discounted cash flow model and probability adjusted estimates of the future earnings and is classified as Level 3. During the six months ended June 30, 2018 and 2017, we paid $12.7 million and $18.8 million, respectively, for the achievement of certain milestones in accordance with the Tower Cloud merger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Changes in the fair value of contingent consideration arrangements are recorded in our Condensed Consolidated Statement of Income in the period in which the change occurs. For the three and six months ended June 30, 2018, there was a $3.4 million increase and $0.5 million decrease, respectively, in the fair value of the contingent consideration that was recorded in Other (income) expense on the Condensed Consolidated Statements of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6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3"/>
              </w:rPr>
              <w:t>Transfers into Level 3</w:t>
            </w:r>
          </w:p>
        </w:tc>
        <w:tc>
          <w:tcPr>
            <w:tcW w:w="40" w:type="dxa"/>
            <w:vAlign w:val="bottom"/>
          </w:tcPr>
          <w:p>
            <w:pPr>
              <w:spacing w:after="0"/>
              <w:rPr>
                <w:sz w:val="12"/>
                <w:szCs w:val="12"/>
                <w:color w:val="auto"/>
              </w:rPr>
            </w:pPr>
          </w:p>
        </w:tc>
        <w:tc>
          <w:tcPr>
            <w:tcW w:w="14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Settlements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earnings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(488)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(12,662)</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w w:val="94"/>
              </w:rPr>
              <w:t>Note 6. Property, Plant and Equipment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960" w:type="dxa"/>
            <w:vAlign w:val="bottom"/>
            <w:gridSpan w:val="6"/>
          </w:tcPr>
          <w:p>
            <w:pPr>
              <w:spacing w:after="0"/>
              <w:rPr>
                <w:sz w:val="20"/>
                <w:szCs w:val="20"/>
                <w:color w:val="auto"/>
              </w:rPr>
            </w:pPr>
            <w:r>
              <w:rPr>
                <w:rFonts w:ascii="Arial" w:cs="Arial" w:eastAsia="Arial" w:hAnsi="Arial"/>
                <w:sz w:val="18"/>
                <w:szCs w:val="18"/>
                <w:color w:val="auto"/>
                <w:w w:val="95"/>
              </w:rPr>
              <w:t>The carrying value of property, plant and equipment is as follows:</w:t>
            </w:r>
          </w:p>
        </w:tc>
        <w:tc>
          <w:tcPr>
            <w:tcW w:w="220" w:type="dxa"/>
            <w:vAlign w:val="bottom"/>
          </w:tcPr>
          <w:p>
            <w:pPr>
              <w:spacing w:after="0"/>
              <w:rPr>
                <w:sz w:val="24"/>
                <w:szCs w:val="2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Depreciable Lives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w w:val="90"/>
              </w:rPr>
              <w:t>June 30, 2018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340" w:type="dxa"/>
            <w:vAlign w:val="bottom"/>
            <w:tcBorders>
              <w:top w:val="single" w:sz="8" w:color="CFF0FC"/>
            </w:tcBorders>
            <w:gridSpan w:val="2"/>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27,006</w:t>
            </w: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3 - 40 years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334,051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80" w:type="dxa"/>
            <w:vAlign w:val="bottom"/>
            <w:gridSpan w:val="4"/>
            <w:shd w:val="clear" w:color="auto" w:fill="CFF0FC"/>
          </w:tcPr>
          <w:p>
            <w:pPr>
              <w:jc w:val="right"/>
              <w:ind w:right="207"/>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Poles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 years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246,142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 years</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2,800,022</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5 - 7 years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225,822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years</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3,697,150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 years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89,692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years</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Capital lease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4"/>
          </w:tcPr>
          <w:p>
            <w:pPr>
              <w:jc w:val="right"/>
              <w:ind w:right="207"/>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121,661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15 - 20 years</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10,576</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3 - 7 years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80" w:type="dxa"/>
            <w:vAlign w:val="bottom"/>
            <w:gridSpan w:val="4"/>
            <w:shd w:val="clear" w:color="auto" w:fill="CFF0FC"/>
          </w:tcPr>
          <w:p>
            <w:pPr>
              <w:jc w:val="right"/>
              <w:ind w:right="207"/>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125,647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7,797,189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7,542,587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(4,701,384)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(4,488,698)</w:t>
            </w: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3,095,805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3,053,889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6"/>
            <w:vMerge w:val="restart"/>
          </w:tcPr>
          <w:p>
            <w:pPr>
              <w:spacing w:after="0"/>
              <w:rPr>
                <w:sz w:val="20"/>
                <w:szCs w:val="20"/>
                <w:color w:val="auto"/>
              </w:rPr>
            </w:pPr>
            <w:r>
              <w:rPr>
                <w:rFonts w:ascii="Arial" w:cs="Arial" w:eastAsia="Arial" w:hAnsi="Arial"/>
                <w:sz w:val="14"/>
                <w:szCs w:val="14"/>
                <w:color w:val="auto"/>
                <w:w w:val="98"/>
              </w:rPr>
              <w:t>(1) See our Annual Report for property, plant and equipment accounting policies.</w:t>
            </w: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960" w:type="dxa"/>
            <w:vAlign w:val="bottom"/>
            <w:gridSpan w:val="6"/>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7"/>
        </w:trPr>
        <w:tc>
          <w:tcPr>
            <w:tcW w:w="9240" w:type="dxa"/>
            <w:vAlign w:val="bottom"/>
            <w:gridSpan w:val="18"/>
          </w:tcPr>
          <w:p>
            <w:pPr>
              <w:spacing w:after="0"/>
              <w:rPr>
                <w:sz w:val="20"/>
                <w:szCs w:val="20"/>
                <w:color w:val="auto"/>
              </w:rPr>
            </w:pPr>
            <w:r>
              <w:rPr>
                <w:rFonts w:ascii="Arial" w:cs="Arial" w:eastAsia="Arial" w:hAnsi="Arial"/>
                <w:sz w:val="18"/>
                <w:szCs w:val="18"/>
                <w:color w:val="auto"/>
                <w:w w:val="93"/>
              </w:rPr>
              <w:t>Depreciation expense for the three and six months ended June 30, 2018 was $108.7 million and $216.9 million, respectively.</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7"/>
          </w:tcPr>
          <w:p>
            <w:pPr>
              <w:spacing w:after="0"/>
              <w:rPr>
                <w:sz w:val="20"/>
                <w:szCs w:val="20"/>
                <w:color w:val="auto"/>
              </w:rPr>
            </w:pPr>
            <w:r>
              <w:rPr>
                <w:rFonts w:ascii="Arial" w:cs="Arial" w:eastAsia="Arial" w:hAnsi="Arial"/>
                <w:sz w:val="18"/>
                <w:szCs w:val="18"/>
                <w:color w:val="auto"/>
                <w:w w:val="89"/>
              </w:rPr>
              <w:t>Depreciation expense for the three and six months ended June 30, 2017</w:t>
            </w:r>
          </w:p>
        </w:tc>
        <w:tc>
          <w:tcPr>
            <w:tcW w:w="4440" w:type="dxa"/>
            <w:vAlign w:val="bottom"/>
            <w:gridSpan w:val="14"/>
          </w:tcPr>
          <w:p>
            <w:pPr>
              <w:ind w:left="660"/>
              <w:spacing w:after="0"/>
              <w:rPr>
                <w:sz w:val="20"/>
                <w:szCs w:val="20"/>
                <w:color w:val="auto"/>
              </w:rPr>
            </w:pPr>
            <w:r>
              <w:rPr>
                <w:rFonts w:ascii="Arial" w:cs="Arial" w:eastAsia="Arial" w:hAnsi="Arial"/>
                <w:sz w:val="18"/>
                <w:szCs w:val="18"/>
                <w:color w:val="auto"/>
                <w:w w:val="94"/>
              </w:rPr>
              <w:t>was $99.8 million and $198.7 million, respectively.</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 Instruments and Hedging Activities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$2.08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Location on Condensed Consolidated</w:t>
            </w:r>
          </w:p>
        </w:tc>
        <w:tc>
          <w:tcPr>
            <w:tcW w:w="260" w:type="dxa"/>
            <w:vAlign w:val="bottom"/>
          </w:tcPr>
          <w:p>
            <w:pPr>
              <w:spacing w:after="0"/>
              <w:rPr>
                <w:sz w:val="14"/>
                <w:szCs w:val="14"/>
                <w:color w:val="auto"/>
              </w:rPr>
            </w:pPr>
          </w:p>
        </w:tc>
        <w:tc>
          <w:tcPr>
            <w:tcW w:w="14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Derivative asset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56,666</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As of June 30, 2018 and December 31, 2017, all of the interest rate swaps were valued in net unrealized gain positions and recognized as asset balances within the derivative asset balance. For the three and six months ended June 30, 2018, the amount recorded in other comprehensive income related to the unrealized gain on derivative instruments was $13.6 million and $46.3 million, respectively. For the three and six months ended June 30, 2017, the amount recorded in other comprehensive income related to the unrealized loss on derivative instruments was $16.5 million and $17.7 million, respectively. The amount reclassified out of other comprehensive income into interest expense on our Condensed Consolidated Statement of Income for the three and six months ended June 30, 2018, was $1.0 million and $3.6 million, respectively. The amount reclassified out of other comprehensive income into interest expense on our Condensed Consolidated Statement of Income for the three and six months ended June 30, 2017, was $5.8 million and $11.6 million, respectively. For the three and six months ended June 30, 2018 and 2017, there was no ineffective portion of the change in fair value derivatives.</w:t>
      </w:r>
    </w:p>
    <w:p>
      <w:pPr>
        <w:spacing w:after="0" w:line="16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Amounts reported in accumulated other comprehensive income (loss) related to derivatives will be reclassified to interest expense as interest payments are made on our variable-rate debt. During the next twelve months, beginning July 1, 2018, we estimate that $3.8 million will be reclassified as an increase to interest expense.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six months ended June 30,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80" w:type="dxa"/>
            <w:vAlign w:val="bottom"/>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60" w:type="dxa"/>
            <w:vAlign w:val="bottom"/>
            <w:gridSpan w:val="2"/>
          </w:tcPr>
          <w:p>
            <w:pPr>
              <w:ind w:left="280"/>
              <w:spacing w:after="0"/>
              <w:rPr>
                <w:sz w:val="20"/>
                <w:szCs w:val="20"/>
                <w:color w:val="auto"/>
              </w:rPr>
            </w:pPr>
            <w:r>
              <w:rPr>
                <w:rFonts w:ascii="Arial" w:cs="Arial" w:eastAsia="Arial" w:hAnsi="Arial"/>
                <w:sz w:val="14"/>
                <w:szCs w:val="14"/>
                <w:b w:val="1"/>
                <w:bCs w:val="1"/>
                <w:color w:val="auto"/>
              </w:rPr>
              <w:t>Fiber Infrastructure</w:t>
            </w:r>
          </w:p>
        </w:tc>
        <w:tc>
          <w:tcPr>
            <w:tcW w:w="60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2017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673,729</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673,729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Goodwill purchase accounting adjustments - See Note 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7,446</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7,446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Goodwill associated with 2018 acquisitions</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Goodwill at June 30, 2018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681,175</w:t>
            </w:r>
          </w:p>
        </w:tc>
        <w:tc>
          <w:tcPr>
            <w:tcW w:w="3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9"/>
              </w:rPr>
              <w:t>21</w:t>
            </w: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intangible assets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4"/>
                <w:szCs w:val="14"/>
                <w:b w:val="1"/>
                <w:bCs w:val="1"/>
                <w:color w:val="auto"/>
                <w:w w:val="94"/>
              </w:rPr>
              <w:t>June 30, 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Original</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Cumulative</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Original</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Cumulative</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Finite life intangible assets: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421,743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(57,603)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421,743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(46,049)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Tenant contracts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37,386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Network</w:t>
            </w:r>
            <w:r>
              <w:rPr>
                <w:rFonts w:ascii="Arial" w:cs="Arial" w:eastAsia="Arial" w:hAnsi="Arial"/>
                <w:sz w:val="15"/>
                <w:szCs w:val="15"/>
                <w:color w:val="auto"/>
              </w:rPr>
              <w:t>(1)</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Acquired below-market leases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477,619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477,730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(61,189)</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(48,373)</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18"/>
                <w:szCs w:val="18"/>
                <w:color w:val="auto"/>
              </w:rPr>
              <w:t>Total intangible assets, net</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920" w:type="dxa"/>
            <w:vAlign w:val="bottom"/>
            <w:gridSpan w:val="3"/>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416,430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429,357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Finite life intangible liabilities: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above-market leases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(494)</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2920" w:type="dxa"/>
            <w:vAlign w:val="bottom"/>
          </w:tcPr>
          <w:p>
            <w:pPr>
              <w:spacing w:after="0"/>
              <w:rPr>
                <w:sz w:val="20"/>
                <w:szCs w:val="20"/>
                <w:color w:val="auto"/>
              </w:rPr>
            </w:pPr>
            <w:r>
              <w:rPr>
                <w:rFonts w:ascii="Arial" w:cs="Arial" w:eastAsia="Arial" w:hAnsi="Arial"/>
                <w:sz w:val="18"/>
                <w:szCs w:val="18"/>
                <w:color w:val="auto"/>
              </w:rPr>
              <w:t>Acquired above-market leases</w:t>
            </w: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3,487</w:t>
            </w:r>
          </w:p>
        </w:tc>
        <w:tc>
          <w:tcPr>
            <w:tcW w:w="60" w:type="dxa"/>
            <w:vAlign w:val="bottom"/>
          </w:tcPr>
          <w:p>
            <w:pPr>
              <w:spacing w:after="0"/>
              <w:rPr>
                <w:sz w:val="22"/>
                <w:szCs w:val="22"/>
                <w:color w:val="auto"/>
              </w:rPr>
            </w:pPr>
          </w:p>
        </w:tc>
      </w:tr>
      <w:tr>
        <w:trPr>
          <w:trHeight w:val="244"/>
        </w:trPr>
        <w:tc>
          <w:tcPr>
            <w:tcW w:w="29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(494)</w:t>
            </w:r>
          </w:p>
        </w:tc>
      </w:tr>
      <w:tr>
        <w:trPr>
          <w:trHeight w:val="237"/>
        </w:trPr>
        <w:tc>
          <w:tcPr>
            <w:tcW w:w="2920" w:type="dxa"/>
            <w:vAlign w:val="bottom"/>
          </w:tcPr>
          <w:p>
            <w:pPr>
              <w:spacing w:after="0"/>
              <w:rPr>
                <w:sz w:val="20"/>
                <w:szCs w:val="20"/>
                <w:color w:val="auto"/>
              </w:rPr>
            </w:pPr>
            <w:r>
              <w:rPr>
                <w:rFonts w:ascii="Arial" w:cs="Arial" w:eastAsia="Arial" w:hAnsi="Arial"/>
                <w:sz w:val="18"/>
                <w:szCs w:val="18"/>
                <w:color w:val="auto"/>
              </w:rPr>
              <w:t>Total intangible liabilities, net</w:t>
            </w:r>
            <w:r>
              <w:rPr>
                <w:rFonts w:ascii="Arial" w:cs="Arial" w:eastAsia="Arial" w:hAnsi="Arial"/>
                <w:sz w:val="15"/>
                <w:szCs w:val="15"/>
                <w:color w:val="auto"/>
              </w:rPr>
              <w:t>(2)</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20"/>
                <w:szCs w:val="20"/>
                <w:color w:val="auto"/>
              </w:rPr>
            </w:pPr>
          </w:p>
        </w:tc>
      </w:tr>
      <w:tr>
        <w:trPr>
          <w:trHeight w:val="20"/>
        </w:trPr>
        <w:tc>
          <w:tcPr>
            <w:tcW w:w="2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-293370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14605</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jc w:val="right"/>
        <w:ind w:right="2940"/>
        <w:spacing w:after="0"/>
        <w:rPr>
          <w:sz w:val="20"/>
          <w:szCs w:val="20"/>
          <w:color w:val="auto"/>
        </w:rPr>
      </w:pPr>
      <w:r>
        <w:rPr>
          <w:rFonts w:ascii="Arial" w:cs="Arial" w:eastAsia="Arial" w:hAnsi="Arial"/>
          <w:sz w:val="18"/>
          <w:szCs w:val="18"/>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1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 w:lineRule="exact"/>
        <w:rPr>
          <w:sz w:val="20"/>
          <w:szCs w:val="20"/>
          <w:color w:val="auto"/>
        </w:rPr>
      </w:pPr>
    </w:p>
    <w:p>
      <w:pPr>
        <w:ind w:left="800" w:hanging="8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6500" w:space="720"/>
            <w:col w:w="4220"/>
          </w:cols>
          <w:pgMar w:left="240" w:top="125" w:right="219" w:bottom="1440" w:gutter="0" w:footer="0" w:header="0"/>
          <w:type w:val="continuous"/>
        </w:sectPr>
      </w:pPr>
    </w:p>
    <w:p>
      <w:pPr>
        <w:ind w:left="380" w:right="340" w:hanging="372"/>
        <w:spacing w:after="0" w:line="25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potential to lease additional tower capacity on the existing towers due to their geographical location and capacity that currently exists on these towers as of the valuation date.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Recorded in accounts payable, accrued expenses and other liabilities on the Condensed Consolidated Balance Sheet.</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Amortization expense for the three and six months ended June 30, 2018 was $6.2 million and $12.7 million, respectively. Amortization expense for the three and six months ended June 30, 2017 was $2.8 million and $5.3 million, respectively.</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Amortization expense is estimated to be $25.2 million for the full year of 2018, $24.4 million in 2019, $23.9 million in 2020, $23.5 million in 2021, and $23.0 million for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Notes and Other Debt</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4,811,347</w:t>
            </w:r>
          </w:p>
        </w:tc>
        <w:tc>
          <w:tcPr>
            <w:tcW w:w="1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4,626,887</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(132,043)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(144,190)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4,679,304</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4,482,697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56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June 30, 2018 and December 31, 2017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Debt Issuance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and Debt Issuance</w:t>
            </w:r>
          </w:p>
        </w:tc>
        <w:tc>
          <w:tcPr>
            <w:tcW w:w="0" w:type="dxa"/>
            <w:vAlign w:val="bottom"/>
          </w:tcPr>
          <w:p>
            <w:pPr>
              <w:spacing w:after="0"/>
              <w:rPr>
                <w:sz w:val="1"/>
                <w:szCs w:val="1"/>
                <w:color w:val="auto"/>
              </w:rPr>
            </w:pPr>
          </w:p>
        </w:tc>
      </w:tr>
      <w:tr>
        <w:trPr>
          <w:trHeight w:val="171"/>
        </w:trPr>
        <w:tc>
          <w:tcPr>
            <w:tcW w:w="49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Senior secured term loan B - variable rate, due October 24, 2022</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5.66%)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2,076,347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(78,818)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2,086,887</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(87,140)</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6.29%)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(7,823)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(37,746)</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(40,467)</w:t>
            </w:r>
          </w:p>
        </w:tc>
        <w:tc>
          <w:tcPr>
            <w:tcW w:w="0" w:type="dxa"/>
            <w:vAlign w:val="bottom"/>
          </w:tcPr>
          <w:p>
            <w:pPr>
              <w:spacing w:after="0"/>
              <w:rPr>
                <w:sz w:val="1"/>
                <w:szCs w:val="1"/>
                <w:color w:val="auto"/>
              </w:rPr>
            </w:pP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(7,656)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revolving credit facility, variable rate, due April</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24, 2020</w:t>
            </w:r>
          </w:p>
        </w:tc>
        <w:tc>
          <w:tcPr>
            <w:tcW w:w="1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2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4,811,347</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(132,043)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4,626,887</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(144,190)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June 30, 2018, notes and other debt included the following: (i) $2.1 billion under the senior secured term loan B facility that matures on October 24, 2022 (“Term Loan Facility”) pursuant to the credit agreement by and among the Operating Partnership,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(iv) $600 million aggregate principal amount of 7.125% Senior Unsecured Notes due December 15, 2024 (the “2024 Notes,” and together with the Secured Notes and 2023 Notes, the “Notes”), and (v) $475 million under the senior secured revolving credit facility, variable rate, that matures April 24, 2020 pursuant to the Credit Agreement (the “Revolving Credit Facility” and, together with the Term Loan Facility, the “Facilities”).</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May 9, 2017, the Company completed its previously announced reorganization (the “up-REIT Reorganization”) to operate through a customary “up-REIT” structure. Under this structure, the Operating Partnership now holds substantially all of the Company’s assets and is the parent company of, among others, CSL Capital, LLC, Uniti Group Finance Inc. and Uniti Fiber Holdings Inc. In connection with the up-REIT Reorganization, the Operating Partnership replaced the Company and assumed its obligations as an obligor under the Notes and Facilities. The Company subsequently became a guarantor of the Notes and Facilities. Because the Operating Partnership is not a corporation, a corporate co-obligor that is a subsidiary of the Operating Partnership was also added to the Notes and Credit Agreement as part of the up-REIT Reorganization. As discussed below, Uniti Group Finance Inc. is the corporate co-obligor under the Credit Agreement and co-issuer of the Secured Notes and the 2023 Notes, and Uniti Fiber Holdings Inc. is the co-issuer of the 2024 Notes. Separate financial statements of the Operating Partnership have not been included since the Operating Partnership is not a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Operating Partnership and its wholly-owned subsidiaries, CSL Capital, LLC, and Uniti Group Finance Inc. (collectively, 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 On April 28, 2017, we amended the Credit Agreement to increase the commitments under our Revolving Credit Facility from $500 million to $750 million. Other terms of the Revolving Credit Facility remain unchanged.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2018, the Borrowers were in compliance with all of the covenants under the Credit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Operating Partnership and its wholly-owned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Statements of Income. For the three and six months ended June 30, 2018, we recognized $3.7 million and $7.3 million, respectively, of non-cash interest expense related to the amortization of deferred financing costs. For the three and six months ended June 30, 2017, we recognized $2.6 million and $5.1 million, respectively, of non-cash interest expense related to the amortization of deferred financing costs.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earnings per share impact of the Company’s 3% Convertible Preferred Stock, $0.0001 par value (“Series A Shares”), issued in connection with the May 2, 2016 acquisition of PEG Bandwidth, LLC, is calculated using the net share settlement method, whereby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redemption value of the instrument is assumed to be settled in cash and only the conversion premium, if any, is assumed to be settled in shares. The Series A Shares provide Uniti the option to cash or share settle the instrument, and it is our policy to settle the instrument in cash upon conversion.</w:t>
      </w:r>
    </w:p>
    <w:p>
      <w:pPr>
        <w:spacing w:after="0" w:line="147" w:lineRule="exact"/>
        <w:rPr>
          <w:sz w:val="20"/>
          <w:szCs w:val="20"/>
          <w:color w:val="auto"/>
        </w:rPr>
      </w:pPr>
    </w:p>
    <w:p>
      <w:pPr>
        <w:ind w:right="1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Hunt merger agreement provides for the issuance of additional common shares upon the achievement of certain defined revenue milestones. </w:t>
      </w:r>
      <w:hyperlink w:anchor="page15">
        <w:r>
          <w:rPr>
            <w:rFonts w:ascii="Arial" w:cs="Arial" w:eastAsia="Arial" w:hAnsi="Arial"/>
            <w:sz w:val="18"/>
            <w:szCs w:val="18"/>
            <w:u w:val="single" w:color="auto"/>
            <w:color w:val="0000EE"/>
          </w:rPr>
          <w:t>See Note 4</w:t>
        </w:r>
      </w:hyperlink>
      <w:r>
        <w:rPr>
          <w:rFonts w:ascii="Arial" w:cs="Arial" w:eastAsia="Arial" w:hAnsi="Arial"/>
          <w:sz w:val="18"/>
          <w:szCs w:val="18"/>
          <w:color w:val="auto"/>
        </w:rPr>
        <w:t>. The earnings per share impact of the Hunt Contingent Consideration is calculated under the method described in ASC 260 for the treatment of contingently issuable shares in weighted-average shares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4"/>
                <w:szCs w:val="14"/>
                <w:color w:val="auto"/>
              </w:rPr>
            </w:pPr>
          </w:p>
        </w:tc>
        <w:tc>
          <w:tcPr>
            <w:tcW w:w="30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9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available to shareholders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(3,503)</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(16,460)</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(2,293)</w:t>
            </w: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(36,460)</w:t>
            </w:r>
          </w:p>
        </w:tc>
        <w:tc>
          <w:tcPr>
            <w:tcW w:w="0" w:type="dxa"/>
            <w:vAlign w:val="bottom"/>
          </w:tcPr>
          <w:p>
            <w:pPr>
              <w:spacing w:after="0"/>
              <w:rPr>
                <w:sz w:val="1"/>
                <w:szCs w:val="1"/>
                <w:color w:val="auto"/>
              </w:rPr>
            </w:pPr>
          </w:p>
        </w:tc>
      </w:tr>
      <w:tr>
        <w:trPr>
          <w:trHeight w:val="230"/>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5"/>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Income allocated to participating securities on share</w:t>
            </w:r>
          </w:p>
        </w:tc>
        <w:tc>
          <w:tcPr>
            <w:tcW w:w="340" w:type="dxa"/>
            <w:vAlign w:val="bottom"/>
            <w:shd w:val="clear" w:color="auto" w:fill="CFF0FC"/>
          </w:tcPr>
          <w:p>
            <w:pPr>
              <w:spacing w:after="0"/>
              <w:rPr>
                <w:sz w:val="18"/>
                <w:szCs w:val="18"/>
                <w:color w:val="auto"/>
              </w:rPr>
            </w:pPr>
          </w:p>
        </w:tc>
        <w:tc>
          <w:tcPr>
            <w:tcW w:w="1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0" w:type="dxa"/>
            <w:vAlign w:val="bottom"/>
            <w:gridSpan w:val="2"/>
            <w:vMerge w:val="restart"/>
            <w:shd w:val="clear" w:color="auto" w:fill="CFF0FC"/>
          </w:tcPr>
          <w:p>
            <w:pPr>
              <w:ind w:left="620"/>
              <w:spacing w:after="0"/>
              <w:rPr>
                <w:sz w:val="20"/>
                <w:szCs w:val="20"/>
                <w:color w:val="auto"/>
              </w:rPr>
            </w:pPr>
            <w:r>
              <w:rPr>
                <w:rFonts w:ascii="Arial" w:cs="Arial" w:eastAsia="Arial" w:hAnsi="Arial"/>
                <w:sz w:val="18"/>
                <w:szCs w:val="18"/>
                <w:color w:val="auto"/>
              </w:rPr>
              <w:t>settled contingent consideration arrangements</w:t>
            </w:r>
          </w:p>
        </w:tc>
        <w:tc>
          <w:tcPr>
            <w:tcW w:w="340" w:type="dxa"/>
            <w:vAlign w:val="bottom"/>
            <w:shd w:val="clear" w:color="auto" w:fill="CFF0FC"/>
          </w:tcPr>
          <w:p>
            <w:pPr>
              <w:spacing w:after="0"/>
              <w:rPr>
                <w:sz w:val="10"/>
                <w:szCs w:val="10"/>
                <w:color w:val="auto"/>
              </w:rPr>
            </w:pPr>
          </w:p>
        </w:tc>
        <w:tc>
          <w:tcPr>
            <w:tcW w:w="1360" w:type="dxa"/>
            <w:vAlign w:val="bottom"/>
            <w:gridSpan w:val="2"/>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8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gridSpan w:val="2"/>
            <w:vMerge w:val="continue"/>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5"/>
              </w:rPr>
              <w:t>Amortization of discount on convertible preferred stock</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common shares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(18,242)</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175,011</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169,655</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174,951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4"/>
                <w:szCs w:val="24"/>
                <w:color w:val="auto"/>
              </w:rPr>
            </w:pPr>
          </w:p>
        </w:tc>
        <w:tc>
          <w:tcPr>
            <w:tcW w:w="29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260"/>
        <w:spacing w:after="0"/>
        <w:tabs>
          <w:tab w:leader="none" w:pos="4780" w:val="left"/>
        </w:tabs>
        <w:rPr>
          <w:sz w:val="20"/>
          <w:szCs w:val="20"/>
          <w:color w:val="auto"/>
        </w:rPr>
      </w:pPr>
      <w:r>
        <w:rPr>
          <w:rFonts w:ascii="Arial" w:cs="Arial" w:eastAsia="Arial" w:hAnsi="Arial"/>
          <w:sz w:val="18"/>
          <w:szCs w:val="18"/>
          <w:color w:val="auto"/>
        </w:rPr>
        <w:t>Net loss available to shareholders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Less: Income allocated to participating securities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allocated to participating securities on share</w:t>
      </w:r>
    </w:p>
    <w:p>
      <w:pPr>
        <w:spacing w:after="0" w:line="23" w:lineRule="exact"/>
        <w:rPr>
          <w:sz w:val="20"/>
          <w:szCs w:val="20"/>
          <w:color w:val="auto"/>
        </w:rPr>
      </w:pPr>
    </w:p>
    <w:p>
      <w:pPr>
        <w:ind w:left="620" w:right="300"/>
        <w:spacing w:after="0" w:line="299" w:lineRule="auto"/>
        <w:rPr>
          <w:sz w:val="20"/>
          <w:szCs w:val="20"/>
          <w:color w:val="auto"/>
        </w:rPr>
      </w:pPr>
      <w:r>
        <w:rPr>
          <w:rFonts w:ascii="Arial" w:cs="Arial" w:eastAsia="Arial" w:hAnsi="Arial"/>
          <w:sz w:val="16"/>
          <w:szCs w:val="16"/>
          <w:color w:val="auto"/>
        </w:rPr>
        <w:t>settled contingent consideration arrangements Dividends declared on convertible preferred stock Amortization of discount on convertible preferred stock</w:t>
      </w:r>
    </w:p>
    <w:p>
      <w:pPr>
        <w:ind w:left="260"/>
        <w:spacing w:after="0"/>
        <w:tabs>
          <w:tab w:leader="none" w:pos="4780" w:val="left"/>
        </w:tabs>
        <w:rPr>
          <w:sz w:val="20"/>
          <w:szCs w:val="20"/>
          <w:color w:val="auto"/>
        </w:rPr>
      </w:pPr>
      <w:r>
        <w:rPr>
          <w:rFonts w:ascii="Arial" w:cs="Arial" w:eastAsia="Arial" w:hAnsi="Arial"/>
          <w:sz w:val="18"/>
          <w:szCs w:val="18"/>
          <w:color w:val="auto"/>
        </w:rPr>
        <w:t>Net loss attributable to common shares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Basic weighted-average common shares outstanding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Contingent consideration (See Note 4)</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Effect of dilutive non-participating securities</w:t>
      </w:r>
    </w:p>
    <w:p>
      <w:pPr>
        <w:spacing w:after="0" w:line="35" w:lineRule="exact"/>
        <w:rPr>
          <w:sz w:val="20"/>
          <w:szCs w:val="20"/>
          <w:color w:val="auto"/>
        </w:rPr>
      </w:pPr>
    </w:p>
    <w:p>
      <w:pPr>
        <w:ind w:left="260" w:right="440"/>
        <w:spacing w:after="0" w:line="266" w:lineRule="auto"/>
        <w:rPr>
          <w:sz w:val="20"/>
          <w:szCs w:val="20"/>
          <w:color w:val="auto"/>
        </w:rPr>
      </w:pPr>
      <w:r>
        <w:rPr>
          <w:rFonts w:ascii="Arial" w:cs="Arial" w:eastAsia="Arial" w:hAnsi="Arial"/>
          <w:sz w:val="18"/>
          <w:szCs w:val="18"/>
          <w:color w:val="auto"/>
        </w:rPr>
        <w:t>Weighted-average shares for dilutive earnings per common share</w:t>
      </w:r>
    </w:p>
    <w:p>
      <w:pPr>
        <w:spacing w:after="0"/>
        <w:tabs>
          <w:tab w:leader="none" w:pos="4780" w:val="left"/>
        </w:tabs>
        <w:rPr>
          <w:sz w:val="20"/>
          <w:szCs w:val="20"/>
          <w:color w:val="auto"/>
        </w:rPr>
      </w:pPr>
      <w:r>
        <w:rPr>
          <w:rFonts w:ascii="Arial" w:cs="Arial" w:eastAsia="Arial" w:hAnsi="Arial"/>
          <w:sz w:val="18"/>
          <w:szCs w:val="18"/>
          <w:color w:val="auto"/>
        </w:rPr>
        <w:t>Dilutive (loss) earnings per common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(3,503)</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(16,460)</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(2,293)</w:t>
            </w: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(36,460)</w:t>
            </w:r>
          </w:p>
        </w:tc>
        <w:tc>
          <w:tcPr>
            <w:tcW w:w="0" w:type="dxa"/>
            <w:vAlign w:val="bottom"/>
          </w:tcPr>
          <w:p>
            <w:pPr>
              <w:spacing w:after="0"/>
              <w:rPr>
                <w:sz w:val="1"/>
                <w:szCs w:val="1"/>
                <w:color w:val="auto"/>
              </w:rPr>
            </w:pPr>
          </w:p>
        </w:tc>
      </w:tr>
      <w:tr>
        <w:trPr>
          <w:trHeight w:val="230"/>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338"/>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(258)</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(656)</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(745)</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4"/>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(5,562)</w:t>
            </w: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(18,242)</w:t>
            </w:r>
          </w:p>
        </w:tc>
        <w:tc>
          <w:tcPr>
            <w:tcW w:w="24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175,011</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169,655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174,951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175,011</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169,655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174,951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40" w:type="dxa"/>
            <w:vAlign w:val="bottom"/>
            <w:vMerge w:val="restart"/>
          </w:tcPr>
          <w:p>
            <w:pPr>
              <w:jc w:val="right"/>
              <w:ind w:right="110"/>
              <w:spacing w:after="0"/>
              <w:rPr>
                <w:sz w:val="20"/>
                <w:szCs w:val="20"/>
                <w:color w:val="auto"/>
              </w:rPr>
            </w:pPr>
            <w:r>
              <w:rPr>
                <w:rFonts w:ascii="Arial" w:cs="Arial" w:eastAsia="Arial" w:hAnsi="Arial"/>
                <w:sz w:val="18"/>
                <w:szCs w:val="18"/>
                <w:color w:val="auto"/>
              </w:rPr>
              <w:t>(0.03)</w:t>
            </w:r>
          </w:p>
        </w:tc>
        <w:tc>
          <w:tcPr>
            <w:tcW w:w="46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10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40" w:type="dxa"/>
            <w:vAlign w:val="bottom"/>
            <w:vMerge w:val="continue"/>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-2220595</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-1929130</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-1499870</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-908685</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-616585</wp:posOffset>
            </wp:positionV>
            <wp:extent cx="7246620" cy="617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61722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-1208405</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76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and six months ended June 30, 2018, 563,492 non-participating securities and 619,581 potential common shares related to Hunt Contingent Consideration were excluded from the computation of diluted earnings per share, as their effect would have been anti-dilutive. For the three and six months ended June 30, 2017, 295,837 non-participating securities were excluded from the computation of diluted earnings per share, as their effect would have been anti-dilutive.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 our operations as four reportable segments in addition to our corporate operations and include: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programs,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then lease to our customers in the United States and Latin America.</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 the Consumer CLEC Business, that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Spin-Off was reported as an integrated operation within Windstream. Talk America provides local telephone, high-speed internet and long distance services to customers in the eastern and central United States.</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six months ended June 30, 2018 and 2017: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June 30, 2018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173,885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247,329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173,356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29,405</w:t>
            </w:r>
          </w:p>
        </w:tc>
        <w:tc>
          <w:tcPr>
            <w:tcW w:w="34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(1,167)</w:t>
            </w: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(5,511)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86,454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26,244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114,842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Three Months Ended June 30, 2017</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170,914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213,013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26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170,528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34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w:t>
            </w: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(4,657)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75,086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87,213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13,346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102,599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gridSpan w:val="3"/>
            <w:vMerge w:val="restart"/>
          </w:tcPr>
          <w:p>
            <w:pPr>
              <w:jc w:val="center"/>
              <w:ind w:right="837"/>
              <w:spacing w:after="0"/>
              <w:rPr>
                <w:sz w:val="20"/>
                <w:szCs w:val="20"/>
                <w:color w:val="auto"/>
              </w:rPr>
            </w:pPr>
            <w:r>
              <w:rPr>
                <w:rFonts w:ascii="Arial" w:cs="Arial" w:eastAsia="Arial" w:hAnsi="Arial"/>
                <w:sz w:val="18"/>
                <w:szCs w:val="18"/>
                <w:color w:val="auto"/>
                <w:w w:val="89"/>
              </w:rPr>
              <w:t>27</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0"/>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Six Months Ended June 30, 2018</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346,659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7,387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494,244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345,725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(1,630)</w:t>
            </w:r>
          </w:p>
        </w:tc>
        <w:tc>
          <w:tcPr>
            <w:tcW w:w="86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(10,824)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173,198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52,149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229,563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Six Months Ended June 30, 2017</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vMerge w:val="continue"/>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341,220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9,588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424,486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86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340,588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(977)</w:t>
            </w:r>
          </w:p>
        </w:tc>
        <w:tc>
          <w:tcPr>
            <w:tcW w:w="86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(9,713)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173,719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26,567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3"/>
              </w:rPr>
              <w:t>1,304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203,960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terms of the Tax Matters Agreement entered into with Windstream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Internal Revenue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income by component is as follows for the six months ended June 30,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 changes in fair value gain (loss):</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6,351</w:t>
            </w:r>
          </w:p>
        </w:tc>
        <w:tc>
          <w:tcPr>
            <w:tcW w:w="28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(6,102)</w:t>
            </w:r>
          </w:p>
        </w:tc>
      </w:tr>
      <w:tr>
        <w:trPr>
          <w:trHeight w:val="230"/>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(17,714)</w:t>
            </w:r>
          </w:p>
        </w:tc>
      </w:tr>
      <w:tr>
        <w:trPr>
          <w:trHeight w:val="230"/>
        </w:trPr>
        <w:tc>
          <w:tcPr>
            <w:tcW w:w="7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19"/>
                <w:szCs w:val="19"/>
                <w:color w:val="auto"/>
              </w:rPr>
            </w:pPr>
          </w:p>
        </w:tc>
      </w:tr>
      <w:tr>
        <w:trPr>
          <w:trHeight w:val="223"/>
        </w:trPr>
        <w:tc>
          <w:tcPr>
            <w:tcW w:w="70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70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1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Accumulated other comprehensive income at end of period</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56,237</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August 2018, we entered into an agreement to acquire fiber assets from CableSouth Media, LLC (“CableSouth”) for cash consideration of $31 million. In the transaction, Uniti will acquire 607 route miles or approximately 43,000 fiber strand miles located across Arkansas, Louisiana and Mississippi. Upon closing, the Company will enter into an agreement with CableSouth to lease-back 34,000 fiber strand miles on a triple-net basis. Uniti will have exclusive use of 9,000 fiber strand miles, which are adjacent to Uniti Fiber’s southern network footprint. The transaction is subject to certain closing conditions and is expected to close in the third quarter of 2018. The initial lease term will be 20 years with four 5-year renewal options at CableSouth’s discretion. Annual cash rent will initially be $2.9 million with a fixed annual escalator of 2.0%.</w:t>
      </w:r>
    </w:p>
    <w:p>
      <w:pPr>
        <w:spacing w:after="0" w:line="17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During August 2018, the Company executed a lease agreement with a national multiple system operator (“MSO”) on existing Uniti Leasing fiber. The lease term will be 20 years covering approximately 9,900 route miles or 41,000 fiber strand miles. Annual revenue related to this agreement will be approximately $5 million. The transaction is subject to certain closing conditions and is expected to close in the fourth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describes the principal factors affecting the results of our operations, financial condition, and changes in financial condition for the three and six months ended June 30, 2018. This discussion should be read in conjunction with the accompanying unaudited financial statements, and the notes thereto set forth in Part I, Item 1 of this Quarterly Report on Form 10-Q and our Annual Report on Form 10-K for the year ended December 31, 2017, filed with the Securities and Exchange Commission (the “SEC”) on March 1,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Uniti Group Inc. (the “Company”, “Uniti”, “we”, “us” or “our”) is an independent, internally-managed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substantially all of our leasing revenues are currently derived.</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8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June 30, 2018, we are the sole general partner of the Operating Partnership and own approximately 97.7% of the partnership interests in the Operating Partnership.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We expect to grow and diversify our portfolio and tenant base by pursuing a range of transaction structures with communication service providers, including,</w:t>
      </w:r>
    </w:p>
    <w:p>
      <w:pPr>
        <w:spacing w:after="0" w:line="46" w:lineRule="exact"/>
        <w:rPr>
          <w:sz w:val="20"/>
          <w:szCs w:val="20"/>
          <w:color w:val="auto"/>
        </w:rPr>
      </w:pPr>
    </w:p>
    <w:p>
      <w:pPr>
        <w:ind w:right="20" w:firstLine="8"/>
        <w:spacing w:after="0" w:line="271"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sale 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u w:val="single" w:color="auto"/>
          <w:color w:val="auto"/>
        </w:rPr>
        <w:t>Leasing Segment</w:t>
      </w:r>
      <w:r>
        <w:rPr>
          <w:rFonts w:ascii="Arial" w:cs="Arial" w:eastAsia="Arial" w:hAnsi="Arial"/>
          <w:sz w:val="17"/>
          <w:szCs w:val="17"/>
          <w:color w:val="auto"/>
        </w:rPr>
        <w:t>: Represents our REIT operations and includes the results from our leasing business, Uniti Leasing, which is engaged in the acquisition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mission-critical communications assets and leasing them to anchor customers on either an exclusive or shared-tenant basis.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u w:val="single" w:color="auto"/>
          <w:color w:val="auto"/>
        </w:rPr>
        <w:t>Towers Segment</w:t>
      </w:r>
      <w:r>
        <w:rPr>
          <w:rFonts w:ascii="Arial" w:cs="Arial" w:eastAsia="Arial" w:hAnsi="Arial"/>
          <w:sz w:val="18"/>
          <w:szCs w:val="18"/>
          <w:color w:val="auto"/>
        </w:rPr>
        <w:t>: Represents the operations of our towers business, Uniti Towers, through which we acquire and construct tower and tower-related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and Latin America.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 the Consumer CLEC Business, that prior to the Spin-Off</w:t>
      </w:r>
      <w:r>
        <w:rPr>
          <w:rFonts w:ascii="Arial" w:cs="Arial" w:eastAsia="Arial" w:hAnsi="Arial"/>
          <w:sz w:val="18"/>
          <w:szCs w:val="18"/>
          <w:i w:val="1"/>
          <w:iCs w:val="1"/>
          <w:color w:val="auto"/>
        </w:rPr>
        <w:t xml:space="preserve"> </w:t>
      </w:r>
      <w:r>
        <w:rPr>
          <w:rFonts w:ascii="Arial" w:cs="Arial" w:eastAsia="Arial" w:hAnsi="Arial"/>
          <w:sz w:val="18"/>
          <w:szCs w:val="18"/>
          <w:color w:val="auto"/>
        </w:rPr>
        <w:t>was reported as an integrated operation within Windstream. Talk America provides local telephone, high-speed internet and long distance services to customers in the eastern and central United States.</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u w:val="single" w:color="auto"/>
          <w:color w:val="auto"/>
        </w:rPr>
        <w:t>Corporate Operations</w:t>
      </w:r>
      <w:r>
        <w:rPr>
          <w:rFonts w:ascii="Arial" w:cs="Arial" w:eastAsia="Arial" w:hAnsi="Arial"/>
          <w:sz w:val="16"/>
          <w:szCs w:val="16"/>
          <w:color w:val="auto"/>
        </w:rPr>
        <w:t>: Represents our corporate and centrally managed functions. Certain costs and expenses, primarily related to headcount,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fees and similar charges, that are directly attributable to operations of our business segments are allocated to the respective segments.</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Note 11 to our condensed consolidated financial statements contained in Part I, Item 1 of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u w:val="single" w:color="auto"/>
          <w:color w:val="auto"/>
        </w:rPr>
        <w:t>Acquisition and Lease-back of CableSouth Media, LLC Fiber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August 2018, we entered into an agreement to acquire fiber assets from</w:t>
      </w:r>
      <w:r>
        <w:rPr>
          <w:rFonts w:ascii="Arial" w:cs="Arial" w:eastAsia="Arial" w:hAnsi="Arial"/>
          <w:sz w:val="17"/>
          <w:szCs w:val="17"/>
          <w:i w:val="1"/>
          <w:iCs w:val="1"/>
          <w:color w:val="auto"/>
        </w:rPr>
        <w:t xml:space="preserve"> </w:t>
      </w:r>
      <w:r>
        <w:rPr>
          <w:rFonts w:ascii="Arial" w:cs="Arial" w:eastAsia="Arial" w:hAnsi="Arial"/>
          <w:sz w:val="17"/>
          <w:szCs w:val="17"/>
          <w:color w:val="auto"/>
        </w:rPr>
        <w:t>CableSouth Media, LLC (“CableSouth”) for cash consideration of $31 million. In the transaction, Uniti will acquire 607 route miles or approximately 43,000 fiber strand miles located across Arkansas, Louisiana and Mississippi. Upon closing, the Company will enter into an agreement with CableSouth to lease-back 34,000 fiber strand miles on a triple-net basis. Uniti will have exclusive use of 9,000 fiber strand miles, which are adjacent to Uniti Fiber’s southern network footprint. The transaction is subject to certain closing conditions and is expected to close in the third quarter of 2018. The initial lease term will be 20 years with four 5-year renewal options at CableSouth’s discretion. Annual cash rent will initially be $2.9 million with a fixed annual escalator of 2.0%. The Company expects to fund the acquisition of fiber assets through borrowings on its revolving credit facility.</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IRS Private Letter Ruling.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July 2018, we received a favorable private letter ruling (“PLR”) from the Internal Revenue Service (“IRS”)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request for guidance to clarify the treatment of income the Company receives from certain communication infrastructure assets. In the PLR, the IRS addressed and favorable ruled that the revenues generated from certain communication infrastructure assets that presently are part of our TRSs would be considered rent from real property.</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u w:val="single" w:color="auto"/>
          <w:color w:val="auto"/>
        </w:rPr>
        <w:t>Dark Fiber Acquisition and Anchor Tenant Lease.</w:t>
      </w:r>
      <w:r>
        <w:rPr>
          <w:rFonts w:ascii="Arial" w:cs="Arial" w:eastAsia="Arial" w:hAnsi="Arial"/>
          <w:sz w:val="17"/>
          <w:szCs w:val="17"/>
          <w:i w:val="1"/>
          <w:iCs w:val="1"/>
          <w:color w:val="auto"/>
        </w:rPr>
        <w:t xml:space="preserve"> </w:t>
      </w:r>
      <w:r>
        <w:rPr>
          <w:rFonts w:ascii="Arial" w:cs="Arial" w:eastAsia="Arial" w:hAnsi="Arial"/>
          <w:sz w:val="17"/>
          <w:szCs w:val="17"/>
          <w:color w:val="auto"/>
        </w:rPr>
        <w:t>On May 10, 2018, the Company acquired from CenturyLink, Inc. 30 long-haul intercity dark fiber routes</w:t>
      </w:r>
      <w:r>
        <w:rPr>
          <w:rFonts w:ascii="Arial" w:cs="Arial" w:eastAsia="Arial" w:hAnsi="Arial"/>
          <w:sz w:val="17"/>
          <w:szCs w:val="17"/>
          <w:i w:val="1"/>
          <w:iCs w:val="1"/>
          <w:color w:val="auto"/>
        </w:rPr>
        <w:t xml:space="preserve"> </w:t>
      </w:r>
      <w:r>
        <w:rPr>
          <w:rFonts w:ascii="Arial" w:cs="Arial" w:eastAsia="Arial" w:hAnsi="Arial"/>
          <w:sz w:val="17"/>
          <w:szCs w:val="17"/>
          <w:color w:val="auto"/>
        </w:rPr>
        <w:t>totaling 11,000 route miles and 270,000 fiber strand miles across 25 states. This transaction was approved by the U.S. Department of Justice as a condition of the merger between CenturyLink, Inc. and Level 3 Communications, Inc., and adds attractive, high demand assets to Uniti Leasing. Simultaneously with this purchase, the Company executed an anchor tenant lease with a Fortune 100 company for 11% of the fiber strand miles. During August 2018, the Company executed a lease agreement with a national multiple system operator (“MSO”) on existing Uniti Leasing fiber. The lease term will be 20 years covering approximately 9,900 route miles or 41,000 fiber strand miles. Annual revenue related to this agreement will be approximately $5 million. The transaction is subject to certain closing conditions and is expected to close in the fourth quarter of 2018.</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Acquisition and Lease-back of U.S. TelePacific Holding Corp. Fiber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 2018, we closed on the non-California assets of the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acquisition and lease-back of U.S. Telepacific Holding Corp. (“TPx”) fiber assets, which included the exclusive use fiber strand miles in Texas, for total cash consideration of $25 million. The remaining California assets are subject to customary closing conditions and are expected to close in the fourth quarter of 2018. The initial lease term will be 15 years with five 5-year renewal options at TPx’s discretion. Upon the closing of both transactions, annual cash rent will initially be $8.8 million with a fixed annual escalator of 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ind w:left="300"/>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173,885</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70.3%</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170,914</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27.2%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2,472</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2,455</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1.5%</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247,329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213,013</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79,385</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32.1%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75,086</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114,842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46.4%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102,599</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20,681</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8.4%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13,503</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Transaction related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14,017</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1.4%</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253,568</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102.5%</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229,398</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(16,385)</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(2,646)</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available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(658)</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(381)</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(656)</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(656)</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(2.2%)</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(18,242)</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for the three months ended June 30, 2018 and 2017, revenues and Adjusted EBITDA of our reportable segments: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June 30, 2018</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173,885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173,356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(1,167)</w:t>
            </w:r>
          </w:p>
        </w:tc>
        <w:tc>
          <w:tcPr>
            <w:tcW w:w="5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(5,511)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86,454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June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170,914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170,528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w:t>
            </w:r>
          </w:p>
        </w:tc>
        <w:tc>
          <w:tcPr>
            <w:tcW w:w="5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(4,657)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the Distribution Systems to Windstream Holdings pursuant to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Lease.</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June 30, 2018, we recognized $173.3 million of revenue from rents under the Master Lease, which included $3.8 million of straight-line revenues and $5.6 million of TCI revenue. For the three months ended June 30, 2017, we recognized $170.9 million of revenues from the Master Lease, which included $4.3 million of straight-line rent revenue, and $3.2 million of TCI revenue. The increase in TCI revenue is attributable to increased investment by Windstream in TCIs. Windstream invested $44.8 million in TCIs during the three months ended June 30, 2018, a decrease from $80.0 million it invested in TCIs during the three months ended June 30, 2017. Since the inception of the Master Lease, Windstream has invested a total of $545.7 million in such improvements.</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 In recent years, Windstream has experienced annual declines in its total revenue, sales and cash flow, and has had its credit ratings downgraded by nationally recognized credit rating agencies multiple times over the past 12 months, and as recently as June 2018. In addition, Windstream is involved in litigation with an entity who acquired certain Windstream debt securities and thereafter issued a notice of default under such securities relating to our spin-off from Windstream. On December 7, 2017, the entity issued a notice of acceleration to Windstream claiming that the alleged default had matured into an “event of default” and that the principal amount, along with accrued interest, of such securities was due and payable immediately. Windstream challenged the matter in federal court and a trial was held in July 2018. A verdict is expected to be issued during the third quarter of 2018. If Windstream receives an adverse ruling (and the ruling is not stayed or is final and unappealable), an actual “event of default” would result. An actual “event of default” would trigger cross-default provisions in Windstream’s other debt instruments, including Windstream Services’ existing credit facility and all of its other notes, which, in turn, would trigger a default under the Master Lease. In addition, Windstream is dependent upon distributions from its subsidiaries to fund its rental payments, and its subsidiaries’ debt instruments generally prohibit such distributions upon any event of default. If an adverse outcome occurs with respect to this matter and Windstream does not have the ability and/or intent to pay under the Master Lease, there could be a material adverse impact to us.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ongoing litigation and news reports regarding Windstream and its businesses, (iv) conducting research to ascertain industry trends potentially affecting Windstream, and (v) monitoring the timeliness of its lease payments. 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At June 30, 2018, Uniti Leasing had 3.9 million fiber strand miles, of which 3.6 million fiber strand miles were under long-term exclusive triple-net leases.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2018 and 2017, we recognized $67.4 million and $35.0 million of revenue, respectively,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Fiber Infrastructure segment. The increase to Fiber Infrastructure revenue is primarily driven by the timing of the July 3, 2017 acquisitions of Southern Light and Hunt.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June 30, 2018, we had approximately 17,559 customer connections, up from 5,600 customer connections at June 30, 2017. The increase is primarily attributable to the Southern Light and Hunt acquisitions, which added 11,845 connections as of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Fiber Infrastructure revenues for the three months ended June 30, 2018 and 2017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33,474</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49.7%</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24,296</w:t>
            </w: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3"/>
              </w:rPr>
              <w:t>23.1%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14,157</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21.0%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6,798</w:t>
            </w: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87"/>
              </w:rPr>
              <w:t>4.9%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1.3%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67,389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2018, we recognized $2.5 million of revenue in our Towers segment, of which $2.2 million relates to our Latin</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operations and included a non-recurring charge of $1.1 million related to the accounting of straight line rents in our U.S. operations. For the three months ended June 30, 2017, we recognized $2.5 million of revenue, of which $2.0 million related to our Latin American operations. At June 30, 2018, the Uniti Towers portfolio consisted of 305 wireless communications towers across the Eastern and Central regions in the United States, and 462 wireless communication towers in Latin America, up from 81 wireless communications towers in the United States, and 429 wireless communication towers in Latin America, at June 30, 2017.</w:t>
      </w:r>
    </w:p>
    <w:p>
      <w:pPr>
        <w:spacing w:after="0" w:line="19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2018, we recognized $3.6 million of revenue from the Consumer CLEC Business, compared to $4.7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2017. The decrease is due to the effects of competition and customer attrition, as we served 25,100 customers as of June 30, 2018, a 24.2% decrease from 33,100 customers served at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expense for the three months ended June 30, 2018, totaled $79.4 million, which includes non-cash interest expense of $6.1 million resulting from the amortization of our debt discounts and debt issuance costs. Interest expense for the three months ended June 30, 2017 totaled $75.1 million, which includes non-cash interest expense of $5.7 million resulting from the amortization of our debt discounts and debt issuance costs. The increase is related to an increase of interest expense incurred on the revolving credit facility 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$2.8 million due to increased borrowings and LIBOR rates compared to the prior year, and interest expense on the 2024 Notes of $1.5 million, which were not incurred in the three months ended June 30,2017.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three months ended June 30, 2018 totaled $114.8 million, which included property, plant and equipment depreciation of $108.6 million and intangible asset amortization of $6.2 million. Charges for depreciation and amortization for the three months ended June 30, 2017 totaled $102.6 million, which included property, plant and equipment depreciation of $99.8 million and intangible asset amortization of $2.8 million. The increase is primarily driven by the timing of the acquisitions of Southern Light and Hunt.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three months ended June 30, 2018, general and administrative costs totaled $20.7 million (8.4% of revenue), which includes $1.9 million of stock-based compensation expense. For the three months ended June 30, 2017, general and administrative costs totaled $13.5 million (6.3% of revenue), which includes $2.0 million of stock-based compensation expense. The increase is primarily driven by the timing of the acquisitions of Southern Light and Hunt, as Fiber Infrastructure general and administrative expenses for the three months ended June 30, 2018 and 2017, totaled $11.7 million and $5.4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expense for the three months ended June 30, 2018, totaled $31.5 million (12.7% of revenue) compared to $22.0 million (10.3% of revenue) for the three months ended June 30, 2017. Operating expense for our reportable segments for the three months ended June 30, 2018 and 2017 consisted of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26,534</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10.7%</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17,334</w:t>
            </w:r>
          </w:p>
        </w:tc>
        <w:tc>
          <w:tcPr>
            <w:tcW w:w="1500" w:type="dxa"/>
            <w:vAlign w:val="bottom"/>
            <w:gridSpan w:val="2"/>
          </w:tcPr>
          <w:p>
            <w:pPr>
              <w:jc w:val="center"/>
              <w:ind w:left="214"/>
              <w:spacing w:after="0"/>
              <w:rPr>
                <w:sz w:val="20"/>
                <w:szCs w:val="20"/>
                <w:color w:val="auto"/>
              </w:rPr>
            </w:pPr>
            <w:r>
              <w:rPr>
                <w:rFonts w:ascii="Arial" w:cs="Arial" w:eastAsia="Arial" w:hAnsi="Arial"/>
                <w:sz w:val="18"/>
                <w:szCs w:val="18"/>
                <w:color w:val="auto"/>
                <w:w w:val="87"/>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5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CLEC</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2,655</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3,342</w:t>
            </w:r>
          </w:p>
        </w:tc>
        <w:tc>
          <w:tcPr>
            <w:tcW w:w="1500" w:type="dxa"/>
            <w:vAlign w:val="bottom"/>
            <w:gridSpan w:val="2"/>
          </w:tcPr>
          <w:p>
            <w:pPr>
              <w:jc w:val="center"/>
              <w:ind w:left="214"/>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31,522</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12.7%</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21,961</w:t>
            </w: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increase to Fiber Infrastructure operating expense is primarily driven by the timing of the acquisitions of Southern Light and Hunt. For the three months ended June 30, 2018, Fiber Infrastructure operating expenses included $4.4 million of construction related expenses, $4.9 million of payroll related expense, $2.9 million of tower rent, $6.4 million of lit service expense and $1.9 million of dark fiber rent. For the three months ended June 30, 2017, Fiber Infrastructure operating expenses included $2.0 million of payroll related expense, $2.6 million of tower rent, $1.8 million of lit service expense and $1.7 million of dark fiber rent expense.</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Expense associated with the Consumer CLEC Business is primarily attributable to the Wholesale Agreement and the Master Services Agreement entered into between us and Windstream in connection with the Spin-Off, and also included costs arising under the interconnection agreements with other telecommunication carriers. Expense associated with the Wholesale Agreement and Master Services Agreement for the three months ended June 30, 2018 totaled $2.0 million (0.8% of revenue) and $0.2 million (0.08% of revenue), respectively, and expense associated with the Wholesale Agreement and the Master Services Agreement for the three months ended June 30, 2017 totaled $2.6 million (1.2% of revenue) and $0.4 million (0.2% of revenue),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recognized in other (income) expense a $3.4 million (1.4% of revenue) unrealized loss for mark-to-market adjustments on our contingent consideration arrangements for the three months ended June 30, 2018, compared to a $2.1 million (1.0% of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unrealized loss for mark-to-market adjustments on our contingent consideration arrangements for the three months ended June 30, 2017. The fair value of the contingent consideration arrangement connected to the July 3, 2017 acquisition of Hunt is determined using the closing price of our common shares in the active market, while the fair value of the contingent consideration arrangement in connection to the August 31, 2016 acquisition of Tower Cloud is determined using a discounted cash flow model and probability adjusted estimates of the future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recorded a $2.6 million income tax benefit for the three months ended June 30, 2018, $1.3 million of which relates to the impact of the reduction in the corporate tax rate under the Tax Bill on purchase price allocation adjustments recorded during the three months ended June 30, 2018 and the remainder of which is primarily driven by pre-tax loss in our Fiber Infrastructure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Revenues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346,659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70.1%</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341,220</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27.2%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5,842</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3,883</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1.5%</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494,244</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424,486</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156,992</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31.8%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148,451</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229,563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46.4%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203,960</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43,201</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8.7%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27,481</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Transaction related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9,702</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23,701</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(536)</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500,348</w:t>
            </w:r>
          </w:p>
        </w:tc>
        <w:tc>
          <w:tcPr>
            <w:tcW w:w="3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101.2%</w:t>
            </w:r>
          </w:p>
        </w:tc>
        <w:tc>
          <w:tcPr>
            <w:tcW w:w="3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461,250</w:t>
            </w:r>
          </w:p>
        </w:tc>
        <w:tc>
          <w:tcPr>
            <w:tcW w:w="3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(3,742)</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(0.5%)</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available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(0.5%)</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(1,337)</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(768)</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(1,312)</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(1,312)</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(1,490)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(1,490)</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for the six months ended June 30, 2018 and 2017, revenues and Adjusted EBITDA of our reportable segments: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94"/>
              </w:rPr>
              <w:t>Six Months Ended June 30, 2018</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0"/>
              </w:rPr>
              <w:t>Subtotal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Fiber Infrastructure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242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346,659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5,842</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7,387</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494,244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58,600</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(1,630)</w:t>
            </w:r>
          </w:p>
        </w:tc>
        <w:tc>
          <w:tcPr>
            <w:tcW w:w="560" w:type="dxa"/>
            <w:vAlign w:val="bottom"/>
            <w:gridSpan w:val="3"/>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1,841</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(10,824)</w:t>
            </w:r>
          </w:p>
        </w:tc>
        <w:tc>
          <w:tcPr>
            <w:tcW w:w="2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173,198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52,149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229,563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Six Months Ended June 30, 2017</w:t>
            </w: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Fiber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3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Infrastructure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341,220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424,486</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340,588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(9,713)</w:t>
            </w: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356,572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173,719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203,960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the Distribution Systems to Windstream Holdings pursuant to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Lease.</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six months ended June 30, 2018, we recognized $346.1 million of revenue from rents under the Master Lease, which included $8.1 million of straight-line revenues and $10.7 million of TCI revenue. For the six months ended June 30, 2017, we recognized $341.2 million of revenues from the Master Lease, which included $8.6 million of straight-line rent revenue, and $5.8 million of TCI revenue. The increase in TCI revenue is attributable to increased investment by Windstream in TCIs. Windstream invested $92.2 million in TCIs during the six months ended June 30, 2018, a decrease from $113.8 million it invested in TCIs during the six months ended June 30,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2018 and 2017, we recognized $134.4 million and $69.8 million of revenue, respectively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Fiber Infrastructure segment. The increase to Fiber Infrastructure revenue is primarily driven by the timing of the July 3, 2017 acquisitions Southern Light and Hunt.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June 30, 2018, we had approximately 17,559 customer connections, up from 5,600 customer connections at June 30, 2017. The increase is primarily attributable to the Southern Light and Hunt acquisitions, which added 11,845 connections as of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Fiber Infrastructure revenues for the six months ended June 30, 2018 and 2017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66,820</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49.7%</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48,548</w:t>
            </w: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30,980</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3"/>
              </w:rPr>
              <w:t>23.1%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6,921</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28,387</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21.1%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13,749</w:t>
            </w: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87"/>
              </w:rPr>
              <w:t>4.7%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1,868</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69,795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six months ended June 30, 2018, we recognized $5.8 million of revenue in our Towers segment, of which $4.5 million relates to our Latin</w:t>
      </w:r>
      <w:r>
        <w:rPr>
          <w:rFonts w:ascii="Arial" w:cs="Arial" w:eastAsia="Arial" w:hAnsi="Arial"/>
          <w:sz w:val="16"/>
          <w:szCs w:val="16"/>
          <w:i w:val="1"/>
          <w:iCs w:val="1"/>
          <w:color w:val="auto"/>
        </w:rPr>
        <w:t xml:space="preserve"> </w:t>
      </w:r>
      <w:r>
        <w:rPr>
          <w:rFonts w:ascii="Arial" w:cs="Arial" w:eastAsia="Arial" w:hAnsi="Arial"/>
          <w:sz w:val="16"/>
          <w:szCs w:val="16"/>
          <w:color w:val="auto"/>
        </w:rPr>
        <w:t>American operations and included a non-recurring charge of $1.1 million related to the accounting of straight line rents in our U.S. operations. For the six months ended June 30, 2017, we recognized $3.8 million of revenue, of which $3.1 million related to our Latin American operations. The increase is primarily driven by revenues associated with our January 31, 2017 acquisition of Network Management Holdings LTD (“NMS”), including the additional 26 towers acquired that were under development at the time of the NMS acquisition. At June 30, 2018, the Uniti Towers portfolio consisted of 305 wireless communications towers across the Eastern and Central regions in the United States, and 462 wireless communication towers in Latin America, up from 81 wireless communications towers in the United States, and 429 wireless communication towers in Latin America, at June 30, 2017.</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2018, we recognized $7.4 million of revenue from the Consumer CLEC Business, compared to $9.6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2017. The decrease is due to the effects of competition and customer attrition, as we served 25,100 customers as of June 30, 2018, a 24.2% decrease from 33,100 customers served at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expense for the six months ended June 30, 2018, totaled $157.0 million, which includes non-cash interest expense of $12.1 million resulting from the amortization of our debt discounts and debt issuance costs. Interest expense for the six months ended June 30, 2017 totaled $148.5 million, which includes non-cash interest expense of $11.0 million resulting from the amortization of our debt discounts and debt issuance costs. The increase is related to interest expense on the 2024 Notes of $5.1 million, an increase in interest incurred on the revolving credit facility of $6.4 million due to increased borrowings and LIBOR rates compare to the prior year, partially offset by a decrease in interest expense related to capitalized interest of $2.9 million, which were not incurred in the six months ended June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six months ended June 30, 2018 totaled $229.6 million, which included property, plant and equipment depreciation of $216.9 million and intangible asset amortization of $12.7 million. Charges for depreciation and amortization for the six months ended June 30, 2017 totaled $204.0 million, which included property, plant and equipment depreciation of $198.7 million and intangible asset amortization of $5.3 million. The increase is primarily driven by the timing of the acquisitions of Southern Light and Hunt.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six months ended June 30, 2018, general and administrative costs totaled $43.2 million (8.7% of revenue), which includes $4.1 million of stock-based compensation expense. For the six months ended June 30, 2017, general and administrative costs totaled $27.5 million (6.5% of revenue), which includes $3.6 million of stock-based compensation expense. The increase is primarily driven by the timing of the acquisitions of Southern Light and Hunt, as Fiber Infrastructure general and administrative expenses for the six months ended June 30, 2018 and 2017, totaled $24.9 million and $11.2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Operating expense for the six months ended June 30, 2018, totaled $61.4 million (12.4% of revenue) compared to $44.1 million (10.4% of revenue) for the six months ended June 30, 2017. Operating expense for our reportable segments for the three months ended June 30, 2018 and 2017 consisted of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51,495</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10.4%</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34,962</w:t>
            </w:r>
          </w:p>
        </w:tc>
        <w:tc>
          <w:tcPr>
            <w:tcW w:w="1500" w:type="dxa"/>
            <w:vAlign w:val="bottom"/>
            <w:gridSpan w:val="2"/>
          </w:tcPr>
          <w:p>
            <w:pPr>
              <w:jc w:val="center"/>
              <w:ind w:left="214"/>
              <w:spacing w:after="0"/>
              <w:rPr>
                <w:sz w:val="20"/>
                <w:szCs w:val="20"/>
                <w:color w:val="auto"/>
              </w:rPr>
            </w:pPr>
            <w:r>
              <w:rPr>
                <w:rFonts w:ascii="Arial" w:cs="Arial" w:eastAsia="Arial" w:hAnsi="Arial"/>
                <w:sz w:val="18"/>
                <w:szCs w:val="18"/>
                <w:color w:val="auto"/>
                <w:w w:val="87"/>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15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CLEC</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5,545</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7,098</w:t>
            </w:r>
          </w:p>
        </w:tc>
        <w:tc>
          <w:tcPr>
            <w:tcW w:w="1500" w:type="dxa"/>
            <w:vAlign w:val="bottom"/>
            <w:gridSpan w:val="2"/>
          </w:tcPr>
          <w:p>
            <w:pPr>
              <w:jc w:val="center"/>
              <w:ind w:left="214"/>
              <w:spacing w:after="0"/>
              <w:rPr>
                <w:sz w:val="20"/>
                <w:szCs w:val="20"/>
                <w:color w:val="auto"/>
              </w:rPr>
            </w:pPr>
            <w:r>
              <w:rPr>
                <w:rFonts w:ascii="Arial" w:cs="Arial" w:eastAsia="Arial" w:hAnsi="Arial"/>
                <w:sz w:val="18"/>
                <w:szCs w:val="18"/>
                <w:color w:val="auto"/>
                <w:w w:val="87"/>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61,426</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12.4%</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44,086</w:t>
            </w: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increase to Fiber Infrastructure operating expense is primarily driven by the timing of the acquisitions of Southern Light and Hunt. For the six months ended June 30, 2018, Fiber Infrastructure operating expenses included $9.3 million of construction related expenses, $8.5 million of payroll related expense, $5.8 million of tower rent, $12.6 million of lit service expense and $3.8 million of dark fiber rent. For the six months ended June 30, 2017, Fiber Infrastructure operating expenses included $11.1 million of construction related expenses, $4.1 million of payroll related expense, $5.2 million of tower rent, $3.6 million of lit service expense, $3.4 million of maintenance expense and $3.4 million of dark fiber rent.</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Expense associated with the Consumer CLEC Business is primarily attributable to the Wholesale Agreement and the Master Services Agreement entered into between us and Windstream in connection with the Spin-Off, and also included costs arising under the interconnection agreements with other telecommunication carriers. Expense associated with the Wholesale Agreement and Master Services Agreement for the six months ended June 30, 2018 totaled $4.1 million (0.8% of revenue) and $0.4 million (0.1% of revenue), respectively, and expense associated with the Wholesale Agreement and the Master Services Agreement for the six months ended June 30, 2017 totaled $5.4 million (1.3% of revenue) and $0.8 million (0.2% of revenue),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recognized in other (income) expense a $0.5 million (0.1% of revenue) unrealized gain for mark-to-market adjustments on our contingent consideration arrangements for the six months ended June 30, 2018, compared to a $13.0 million (3.1% of revenue) unrealized loss for mark-to-market adjustments on our contingent consideration arrangements for the six months ended June 30, 2017. The fair value of the contingent consideration arrangement connected to the July 3, 2017 acquisition of Hunt is determined using the closing price of our common shares in the active market, while the fair value of the contingent consideration arrangement in connection to the August 31, 2016 acquisition of Tower Cloud is determined using a discounted cash flow model and probability adjusted estimates of the future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recorded a $3.7 million income tax benefit for the six months ended June 30, 2018, $1.3 million of which relates to the impact of the reduction in the corporate tax rate under the Tax Bill on purchase price allocation adjustments recorded during the three months ended June 30, 2018 and the remainder of which is primarily driven by pre-tax loss in our Fiber Infrastructure segment.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define AFFO as FFO excluding (i) transaction related costs; (ii)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(iii) the impact, which may be recurring in nature, of the write-off of unamortized deferred financing fees, additional costs incurred as a result of the early repayment of debt,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income to EBITDA and Adjusted EBITDA and of our net income attributable to common shareholders to FFO and AFFO for the three and six months ended June 30, 2018 and 2017 is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(16,460)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114,842</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102,599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229,563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79,385</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156,992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Income (benefit) expense</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(2,646)</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(3,742)</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187,988</w:t>
            </w:r>
          </w:p>
        </w:tc>
        <w:tc>
          <w:tcPr>
            <w:tcW w:w="3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161,300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380,451</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1,885</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costs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3,349</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(536)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197,011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179,570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393,712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42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(18,242)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95,399</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92,181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190,976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Participating securities share in FFO</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(658)</w:t>
            </w: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(1,337)</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(2,200)</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(4,405)</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6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87,637</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180,139</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 related costs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3,376</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1"/>
              </w:rPr>
              <w:t>Amortization of deferred financing costs and debt discount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1,885</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19,443</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Straight-line revenues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(2,808)</w:t>
            </w: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(7,400)</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Maintenance capital expenditures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(665)</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(2,150)</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w w:val="98"/>
              </w:rPr>
              <w:t>Amortization of discount on convertible preferred stock</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non-cash (revenue) expense, net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(9,678)</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(17,260)</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(5,795)</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(482)</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(835)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109,355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101,442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financial condition.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2017, filed with SEC on March 1, 2018. As of June 30, 2018, there has been no material change to these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we had cash and cash equivalents of $76.5 million and $275 million of undrawn borrowing capacity under the Revolving Credit Facility.</w:t>
      </w:r>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provided by operating activities was $231.0 million and $196.4 million for the six months ended June 30, 2018 and 2017, respectively. Cash provided by operating activities is primarily attributable to our leasing activities.</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Cash used in investing activities was $164.6 million for the six months ended June 30, 2018, which was driven by capital expenditures ($163.5 million), primarily related to our Uniti Fiber and Uniti Leasing businesses. Cash used in investing activities was $123.3 million for the six months ended June 30, 2017, which was driven by the acquisition of NMS assets ($67.9 million), ground lease investments ($9.4 million) and capital expenditures ($46.2 million). The increase in capital expenditures is due to network deployments related to our Uniti Fiber and Uniti Towers businesses.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June 30, 2018, under the terms of the purchase agreement with NMS, we acquired 66 of the 105 towers, which were under development at the time of the NMS acquisition, for approximately $6.2 million.</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Cash used in financing activities was $49.5 million for the six months ended June 30, 2018, which primarily represents the dividend payments ($212.0 million), contingent consideration payments ($12.7 million), principal payments related to the Term Loan Facility ($10.5 million), and distributions paid to noncontrolling interests ($5.0 million), partially offset by net borrowings under the Revolving Credit Facility ($195 million). Cash provided in financing activities was $688.8 million for the six months ended June 30, 2017, which primarily represents the net proceeds from the sale of common stock through a public offering ($499.0 million) and proceeds from the May 2017 Notes ($201.0 million), which were used to fund acquisitions of Southern Light and Hunt, and net borrowings under the Revolving Credit Facility ($235 million), partially offset by dividend payments ($188.3 million), deferred financing costs related to the term loan pricing ($25.4 million), contingent consideration payments ($18.8 million), and principal payments related to the Term Loan Facility ($10.5 million).</w:t>
      </w:r>
    </w:p>
    <w:p>
      <w:pPr>
        <w:spacing w:after="0" w:line="19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quarter ended June 30, 2018, no sales were made under the ATM Program. This program provides additional financial flexibility and an alternative mechanism to access the capital markets at an efficient cost as and when we need financing, including for acquisitions. While we have not used the program to date, we currently intend to utilize the program when we believe the price we can obtain for our common stock is attractive or we otherwise determine it is an efficient manner to raise needed capital.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anticipate our cash on hand and borrowing availability under the Revolving Credit Facility, combined with our cash flows provided by operating activities will be sufficient to fund our business operations, debt service and distributions to our shareholders over the next twelve months. However, we may take advantage of opportunities to generate additional liquidity through capital markets transactions.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subject to a shortfall in liquidity in the future, and this shortfall may occur rapidly and with little or no notice, which would limit our ability to address the shortfall on a timely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o</w:t>
      </w:r>
      <w:r>
        <w:rPr>
          <w:rFonts w:ascii="Arial" w:cs="Arial" w:eastAsia="Arial" w:hAnsi="Arial"/>
          <w:sz w:val="18"/>
          <w:szCs w:val="18"/>
          <w:b w:val="1"/>
          <w:bCs w:val="1"/>
          <w:color w:val="auto"/>
        </w:rPr>
        <w:t>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had contractual obligations and commitments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3"/>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Less than 1</w:t>
            </w:r>
          </w:p>
        </w:tc>
        <w:tc>
          <w:tcPr>
            <w:tcW w:w="240" w:type="dxa"/>
            <w:vAlign w:val="bottom"/>
          </w:tcPr>
          <w:p>
            <w:pPr>
              <w:spacing w:after="0"/>
              <w:rPr>
                <w:sz w:val="11"/>
                <w:szCs w:val="11"/>
                <w:color w:val="auto"/>
              </w:rPr>
            </w:pPr>
          </w:p>
        </w:tc>
        <w:tc>
          <w:tcPr>
            <w:tcW w:w="880" w:type="dxa"/>
            <w:vAlign w:val="bottom"/>
          </w:tcPr>
          <w:p>
            <w:pPr>
              <w:jc w:val="right"/>
              <w:ind w:right="376"/>
              <w:spacing w:after="0" w:line="133"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More than</w:t>
            </w:r>
          </w:p>
        </w:tc>
        <w:tc>
          <w:tcPr>
            <w:tcW w:w="20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(millions)</w:t>
            </w:r>
          </w:p>
        </w:tc>
        <w:tc>
          <w:tcPr>
            <w:tcW w:w="10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5 Years</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(a)</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Interest payments on long-term debt obligations</w:t>
            </w:r>
            <w:r>
              <w:rPr>
                <w:rFonts w:ascii="Arial" w:cs="Arial" w:eastAsia="Arial" w:hAnsi="Arial"/>
                <w:sz w:val="15"/>
                <w:szCs w:val="15"/>
                <w:color w:val="auto"/>
              </w:rPr>
              <w:t>(b)</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Network deployment</w:t>
            </w:r>
            <w:r>
              <w:rPr>
                <w:rFonts w:ascii="Arial" w:cs="Arial" w:eastAsia="Arial" w:hAnsi="Arial"/>
                <w:sz w:val="15"/>
                <w:szCs w:val="15"/>
                <w:color w:val="auto"/>
              </w:rPr>
              <w:t>(c)</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Total projected obligations and commitments</w:t>
            </w:r>
            <w:r>
              <w:rPr>
                <w:rFonts w:ascii="Arial" w:cs="Arial" w:eastAsia="Arial" w:hAnsi="Arial"/>
                <w:sz w:val="15"/>
                <w:szCs w:val="15"/>
                <w:b w:val="1"/>
                <w:bCs w:val="1"/>
                <w:color w:val="auto"/>
              </w:rPr>
              <w:t>(d)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$132.0 million of unamortized discounts on long-term debt and deferred financing costs.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 on our Term Loan Facility are based on our swap rates.</w:t>
      </w:r>
    </w:p>
    <w:p>
      <w:pPr>
        <w:spacing w:after="0" w:line="9" w:lineRule="exact"/>
        <w:rPr>
          <w:rFonts w:ascii="Arial" w:cs="Arial" w:eastAsia="Arial" w:hAnsi="Arial"/>
          <w:sz w:val="18"/>
          <w:szCs w:val="18"/>
          <w:color w:val="auto"/>
        </w:rPr>
      </w:pPr>
    </w:p>
    <w:p>
      <w:pPr>
        <w:ind w:left="520" w:right="4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Network deployment purchase commitments are for success-based projects for which we have a signed customer contract before we commit resources to expand our network.</w:t>
      </w: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$56.7 million of derivative asset related to interest rate swaps maturing on October 24,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13, 2018, we paid, to shareholders of record as of the close of business on June 29, 2018, a cash dividend on our common stock of $0.60 per share for the period from April 1, 2018 through June 30, 2018.</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13, 2018, we paid, to shareholders of record as of the close of business on March 30, 2018, a cash dividend on our common stock of $0.60 per share for the period from January 1, 2018 through March 31, 2018.</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January 12, 2018, we paid, to shareholders of record as of the close of business on December 29, 2017, a cash dividend on our common stock of $0.60 per share for the period from October 1, 2017 through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categorize our capital expenditures as either (i) success-based, (ii) maintenance, or (iii) corporate and non-network. We define success-based capital expenditures as those which are tied to contractual obligations to customers or are discretionary in nature and are intended to add growth capacity to our existing network. Maintenance capital expenditures are those necessary to keep existing network elements fully operational. We anticipate continuing to invest in our network infrastructure across our Uniti Fiber and Uniti Towers portfolios, and expect that cash on hand, borrowings under our Revolving Credit Facility, and cash flows provided by operating activities will be sufficient to support these investments.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2017, filed with the SEC on March 1, 2018.</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August 2017, the FASB issued Accounting Standards Update (“ASU”) No. 2017-12</w:t>
      </w:r>
      <w:r>
        <w:rPr>
          <w:rFonts w:ascii="Arial" w:cs="Arial" w:eastAsia="Arial" w:hAnsi="Arial"/>
          <w:sz w:val="18"/>
          <w:szCs w:val="18"/>
          <w:i w:val="1"/>
          <w:iCs w:val="1"/>
          <w:color w:val="auto"/>
        </w:rPr>
        <w:t>, Derivatives and Hedging (Topic 815):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(“ASU 2017-12”), which amends and simplifies existing guidance in order to allow companies to more accurately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the economic effects of risk management activities in the financial statements. ASU 2017-12 is effective for annual periods beginning after December 15, 2018 and interim periods within those annual periods, and earlier adoption is permitted. We adopted ASU 2017-12 effective January 1, 2018, and there was no material impact on our financial position.</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(“ASU 2017-05”), which provides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for recognizing gains and losses from the transfer of nonfinancial assets and for partial sales of nonfinancial assets, and is effective for financial statements issued for fiscal years and interim periods beginning after December 15, 2017. We adopted ASU 2017-05 effective January 1, 2018, using the modified retrospective approach and there was no material impact on our financial position.</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We adopted ASU 2016-15 effective January 1, 2018, and there was no material impact on our financial position.</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Topic 606 is effective for annual periods beginning after December 15, 2017 and interim periods within those annual periods. We adopted Topic 606 as of January 1, 2018 using the modified retrospective transition method.</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provisions of this guidance are effective for annual periods beginning after December 31, 2018, and for interim periods therein.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right-of-use assets, the extent of the impact of a gross-up is under evaluation. The Company does not anticipate material changes to the recognition of operating lease expense in its Consolidated Statements of Income.</w:t>
      </w:r>
    </w:p>
    <w:p>
      <w:pPr>
        <w:spacing w:after="0" w:line="2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In January 2018, the FASB issued ASU 2018-01, </w:t>
      </w:r>
      <w:r>
        <w:rPr>
          <w:rFonts w:ascii="Arial" w:cs="Arial" w:eastAsia="Arial" w:hAnsi="Arial"/>
          <w:sz w:val="17"/>
          <w:szCs w:val="17"/>
          <w:i w:val="1"/>
          <w:iCs w:val="1"/>
          <w:color w:val="auto"/>
        </w:rPr>
        <w:t>Leases (Topic 842) – Land Easement Practical Expedient for Transition to Topic 842</w:t>
      </w:r>
      <w:r>
        <w:rPr>
          <w:rFonts w:ascii="Arial" w:cs="Arial" w:eastAsia="Arial" w:hAnsi="Arial"/>
          <w:sz w:val="17"/>
          <w:szCs w:val="17"/>
          <w:color w:val="auto"/>
        </w:rPr>
        <w:t>. This standard permits an entity to elect an optional transition practical expedient to not evaluate land easements that exist or expire before the Company's adoption of ASC 842 and that were not previously accounted for as leases under ASC 840. The Company intends to elect this transition provision.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2017, filed with the SEC on March 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2018. Based on this evaluation, our principal executive officer and principal financial officer concluded that our disclosure controls and procedures were effective as of June 30,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June 30,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affecting our business that were discussed in Part I, “Item 1A. Risk Factors” in our Annual Report on Form 10-K for the year ended December 31, 2017 filed with the SEC on March 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40"/>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2"/>
                <w:szCs w:val="12"/>
                <w:color w:val="auto"/>
              </w:rPr>
            </w:pPr>
          </w:p>
        </w:tc>
        <w:tc>
          <w:tcPr>
            <w:tcW w:w="190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 per</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1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2018 to April 30, 2018</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43,069</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ind w:left="16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May 1, 2018 to May 31, 2018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9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2018 to June 30, 2018</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43,069</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9"/>
                <w:szCs w:val="19"/>
                <w:color w:val="auto"/>
              </w:rPr>
            </w:pP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9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500" w:firstLine="8"/>
        <w:spacing w:after="0" w:line="277" w:lineRule="auto"/>
        <w:tabs>
          <w:tab w:leader="none" w:pos="223"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average price paid per share is the weighted-average of the fair market prices at which we calculated the number of shares withheld to cover tax withholdings for the employees.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Recent U.S. Federal Income Tax Developments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is a summary of certain recent amendments to the Internal Revenue Code of 1986, as amended (the “Code”), that may be relevant to an investment in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any circumstances in which we may be subject to entity-level taxation at the regular U.S. federal corporate income tax rate, such rate is now 21%.</w:t>
      </w:r>
    </w:p>
    <w:p>
      <w:pPr>
        <w:spacing w:after="0" w:line="1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Distributions that we make to our taxable U.S. stockholders out of current or accumulated earnings and profits (as determined for U.S. federal income tax purposes) that we do not designate as capital gain dividends will generally be taken into account by such stockholders as ordinary income (now taxed at maximum rates of 37% for individuals and 21% for corporations) and will not be eligible for the dividends received deduction for corporations. While, with limited exceptions, dividends we pay are not eligible for taxation at the preferential income tax rates applicable to “qualified dividend income,” a U.S. stockholder that is not a corporation for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purposes may now be eligible for a deduction equal to 20% of ordinary dividend distributions received from REITs.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are required to withhold from distributions to a non-U.S. stockholder (other than a qualified foreign pension fund or a qualified collective investment vehicle) that are treated as effectively connected with a U.S. trade or business, such as USRPI capital gain dividends, an amount of tax based on the maximum amount that could have been designated as USRPI capital gain dividends. As a result of recent changes to the Code, the applicable rate of this withholding generally now is 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8220" w:type="dxa"/>
            <w:vAlign w:val="bottom"/>
            <w:gridSpan w:val="7"/>
          </w:tcPr>
          <w:p>
            <w:pPr>
              <w:ind w:left="3180"/>
              <w:spacing w:after="0"/>
              <w:rPr>
                <w:sz w:val="20"/>
                <w:szCs w:val="20"/>
                <w:color w:val="auto"/>
              </w:rPr>
            </w:pPr>
            <w:r>
              <w:rPr>
                <w:rFonts w:ascii="Arial" w:cs="Arial" w:eastAsia="Arial" w:hAnsi="Arial"/>
                <w:sz w:val="14"/>
                <w:szCs w:val="14"/>
                <w:b w:val="1"/>
                <w:bCs w:val="1"/>
                <w:color w:val="auto"/>
              </w:rPr>
              <w:t>Description</w:t>
            </w:r>
          </w:p>
        </w:tc>
      </w:tr>
      <w:tr>
        <w:trPr>
          <w:trHeight w:val="186"/>
        </w:trPr>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13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240" w:type="dxa"/>
            <w:vAlign w:val="bottom"/>
          </w:tcPr>
          <w:p>
            <w:pPr>
              <w:spacing w:after="0"/>
              <w:rPr>
                <w:sz w:val="20"/>
                <w:szCs w:val="20"/>
                <w:color w:val="auto"/>
              </w:rPr>
            </w:pPr>
            <w:r>
              <w:rPr>
                <w:rFonts w:ascii="Arial" w:cs="Arial" w:eastAsia="Arial" w:hAnsi="Arial"/>
                <w:sz w:val="18"/>
                <w:szCs w:val="18"/>
                <w:color w:val="auto"/>
              </w:rPr>
              <w:t>4.1</w:t>
            </w:r>
          </w:p>
        </w:tc>
        <w:tc>
          <w:tcPr>
            <w:tcW w:w="9540" w:type="dxa"/>
            <w:vAlign w:val="bottom"/>
            <w:tcBorders>
              <w:bottom w:val="single" w:sz="8" w:color="0000EE"/>
            </w:tcBorders>
            <w:gridSpan w:val="5"/>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Articles of Amendment of Uniti Group Inc. (incorporated by reference to Exhibit 3.1 to the Company’s Current Report on Form 8-K</w:t>
              </w:r>
            </w:hyperlink>
          </w:p>
        </w:tc>
        <w:tc>
          <w:tcPr>
            <w:tcW w:w="60" w:type="dxa"/>
            <w:vAlign w:val="bottom"/>
            <w:gridSpan w:val="3"/>
          </w:tcPr>
          <w:p>
            <w:pPr>
              <w:spacing w:after="0"/>
              <w:rPr>
                <w:sz w:val="22"/>
                <w:szCs w:val="22"/>
                <w:color w:val="auto"/>
              </w:rPr>
            </w:pPr>
          </w:p>
        </w:tc>
      </w:tr>
      <w:tr>
        <w:trPr>
          <w:trHeight w:val="196"/>
        </w:trPr>
        <w:tc>
          <w:tcPr>
            <w:tcW w:w="1240" w:type="dxa"/>
            <w:vAlign w:val="bottom"/>
          </w:tcPr>
          <w:p>
            <w:pPr>
              <w:spacing w:after="0"/>
              <w:rPr>
                <w:sz w:val="17"/>
                <w:szCs w:val="17"/>
                <w:color w:val="auto"/>
              </w:rPr>
            </w:pPr>
          </w:p>
        </w:tc>
        <w:tc>
          <w:tcPr>
            <w:tcW w:w="61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dated May 17, 2018 and filed with the SEC as of May 18, 2018 (File No. 001-36708)</w:t>
              </w:r>
            </w:hyperlink>
          </w:p>
        </w:tc>
        <w:tc>
          <w:tcPr>
            <w:tcW w:w="3460" w:type="dxa"/>
            <w:vAlign w:val="bottom"/>
            <w:gridSpan w:val="5"/>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9600" w:type="dxa"/>
            <w:vAlign w:val="bottom"/>
            <w:tcBorders>
              <w:bottom w:val="single" w:sz="8" w:color="0000EE"/>
            </w:tcBorders>
            <w:gridSpan w:val="8"/>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Uniti Group Inc. Amended and Restated Employee Stock Purchase Plan (incorporated by reference to Exhibit 99.1 to the Company’s</w:t>
              </w:r>
            </w:hyperlink>
          </w:p>
        </w:tc>
      </w:tr>
      <w:tr>
        <w:trPr>
          <w:trHeight w:val="196"/>
        </w:trPr>
        <w:tc>
          <w:tcPr>
            <w:tcW w:w="1240" w:type="dxa"/>
            <w:vAlign w:val="bottom"/>
          </w:tcPr>
          <w:p>
            <w:pPr>
              <w:spacing w:after="0"/>
              <w:rPr>
                <w:sz w:val="17"/>
                <w:szCs w:val="17"/>
                <w:color w:val="auto"/>
              </w:rPr>
            </w:pPr>
          </w:p>
        </w:tc>
        <w:tc>
          <w:tcPr>
            <w:tcW w:w="70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Registration Statement on Form S-8 filed with the SEC as of June 7, 2018 (File No. 333-225501)</w:t>
              </w:r>
            </w:hyperlink>
          </w:p>
        </w:tc>
        <w:tc>
          <w:tcPr>
            <w:tcW w:w="2600" w:type="dxa"/>
            <w:vAlign w:val="bottom"/>
            <w:gridSpan w:val="4"/>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Certification of Principal Executive Officer Pursuant to Rules 13a-14(a) and 15d-14(a) under the Securities Exchange Act of 1934, as</w:t>
              </w:r>
            </w:hyperlink>
          </w:p>
        </w:tc>
      </w:tr>
      <w:tr>
        <w:trPr>
          <w:trHeight w:val="196"/>
        </w:trPr>
        <w:tc>
          <w:tcPr>
            <w:tcW w:w="124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Adopted Pursuant to Section 302 of the Sarbanes-Oxley Act of 2002.</w:t>
              </w:r>
            </w:hyperlink>
          </w:p>
        </w:tc>
        <w:tc>
          <w:tcPr>
            <w:tcW w:w="4620" w:type="dxa"/>
            <w:vAlign w:val="bottom"/>
            <w:gridSpan w:val="6"/>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Adopted Pursuant to Section 302 of the Sarbanes-Oxley Act of 2002.</w:t>
              </w:r>
            </w:hyperlink>
          </w:p>
        </w:tc>
        <w:tc>
          <w:tcPr>
            <w:tcW w:w="4620" w:type="dxa"/>
            <w:vAlign w:val="bottom"/>
            <w:gridSpan w:val="6"/>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6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Certification of Principal Executive Officer Pursuant to 18 U.S.C. Section 1350, as Adopted Pursuant to Section 906 of the Sarbanes-</w:t>
              </w:r>
            </w:hyperlink>
          </w:p>
        </w:tc>
      </w:tr>
      <w:tr>
        <w:trPr>
          <w:trHeight w:val="196"/>
        </w:trPr>
        <w:tc>
          <w:tcPr>
            <w:tcW w:w="1240" w:type="dxa"/>
            <w:vAlign w:val="bottom"/>
          </w:tcPr>
          <w:p>
            <w:pPr>
              <w:spacing w:after="0"/>
              <w:rPr>
                <w:sz w:val="17"/>
                <w:szCs w:val="17"/>
                <w:color w:val="auto"/>
              </w:rPr>
            </w:pPr>
          </w:p>
        </w:tc>
        <w:tc>
          <w:tcPr>
            <w:tcW w:w="9600" w:type="dxa"/>
            <w:vAlign w:val="bottom"/>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Oxley Act of 2002.</w:t>
              </w:r>
            </w:hyperlink>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600" w:type="dxa"/>
            <w:vAlign w:val="bottom"/>
            <w:gridSpan w:val="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Oxley Act of 2002.</w:t>
              </w:r>
            </w:hyperlink>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r>
      <w:tr>
        <w:trPr>
          <w:trHeight w:val="358"/>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125" w:right="6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UNITI GROUP INC.</w:t>
            </w:r>
          </w:p>
        </w:tc>
      </w:tr>
      <w:tr>
        <w:trPr>
          <w:trHeight w:val="473"/>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00"/>
              <w:spacing w:after="0"/>
              <w:rPr>
                <w:sz w:val="20"/>
                <w:szCs w:val="20"/>
                <w:color w:val="auto"/>
              </w:rPr>
            </w:pPr>
            <w:r>
              <w:rPr>
                <w:rFonts w:ascii="Arial" w:cs="Arial" w:eastAsia="Arial" w:hAnsi="Arial"/>
                <w:sz w:val="18"/>
                <w:szCs w:val="18"/>
                <w:color w:val="auto"/>
              </w:rPr>
              <w:t>August 9, 2018</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r>
      <w:tr>
        <w:trPr>
          <w:trHeight w:val="205"/>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line="205" w:lineRule="exact"/>
              <w:rPr>
                <w:sz w:val="20"/>
                <w:szCs w:val="20"/>
                <w:color w:val="auto"/>
              </w:rPr>
            </w:pPr>
            <w:r>
              <w:rPr>
                <w:rFonts w:ascii="Arial" w:cs="Arial" w:eastAsia="Arial" w:hAnsi="Arial"/>
                <w:sz w:val="18"/>
                <w:szCs w:val="18"/>
                <w:b w:val="1"/>
                <w:bCs w:val="1"/>
                <w:color w:val="auto"/>
              </w:rPr>
              <w:t>Mark A. Wallace</w:t>
            </w:r>
          </w:p>
        </w:tc>
      </w:tr>
      <w:tr>
        <w:trPr>
          <w:trHeight w:val="216"/>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00"/>
              <w:spacing w:after="0"/>
              <w:rPr>
                <w:sz w:val="20"/>
                <w:szCs w:val="20"/>
                <w:color w:val="auto"/>
              </w:rPr>
            </w:pPr>
            <w:r>
              <w:rPr>
                <w:rFonts w:ascii="Arial" w:cs="Arial" w:eastAsia="Arial" w:hAnsi="Arial"/>
                <w:sz w:val="18"/>
                <w:szCs w:val="18"/>
                <w:color w:val="auto"/>
              </w:rPr>
              <w:t>August 9, 2018</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r>
      <w:tr>
        <w:trPr>
          <w:trHeight w:val="191"/>
        </w:trPr>
        <w:tc>
          <w:tcPr>
            <w:tcW w:w="6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800" w:type="dxa"/>
            <w:vAlign w:val="bottom"/>
          </w:tcPr>
          <w:p>
            <w:pPr>
              <w:spacing w:after="0" w:line="191" w:lineRule="exact"/>
              <w:rPr>
                <w:sz w:val="20"/>
                <w:szCs w:val="20"/>
                <w:color w:val="auto"/>
              </w:rPr>
            </w:pPr>
            <w:r>
              <w:rPr>
                <w:rFonts w:ascii="Arial" w:cs="Arial" w:eastAsia="Arial" w:hAnsi="Arial"/>
                <w:sz w:val="18"/>
                <w:szCs w:val="18"/>
                <w:b w:val="1"/>
                <w:bCs w:val="1"/>
                <w:color w:val="auto"/>
              </w:rPr>
              <w:t>Blake Schuhmacher</w:t>
            </w:r>
          </w:p>
        </w:tc>
      </w:tr>
      <w:tr>
        <w:trPr>
          <w:trHeight w:val="216"/>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Vice President – Chief Accounting Officer</w:t>
            </w:r>
          </w:p>
        </w:tc>
      </w:t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100" w:hanging="756"/>
        <w:spacing w:after="0" w:line="277" w:lineRule="auto"/>
        <w:tabs>
          <w:tab w:leader="none" w:pos="1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25"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40" w:right="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2018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2018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-127635</wp:posOffset>
            </wp:positionV>
            <wp:extent cx="39789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lowerRoman"/>
      <w:start w:val="4"/>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83" Type="http://schemas.openxmlformats.org/officeDocument/2006/relationships/hyperlink" Target="http://www.sec.gov/Archives/edgar/data/0001620280/000156459018013946/unit-ex31_80.htm" TargetMode="External"/><Relationship Id="rId84" Type="http://schemas.openxmlformats.org/officeDocument/2006/relationships/hyperlink" Target="http://www.sec.gov/Archives/edgar/data/0001620280/000110465918038926/a18-14910_1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2019-12-28T20:09:22Z</dcterms:created>
  <dcterms:modified xsi:type="dcterms:W3CDTF">2019-12-28T20:09:22Z</dcterms:modified>
</cp:coreProperties>
</file>