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172720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-211455</wp:posOffset>
            </wp:positionV>
            <wp:extent cx="14535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3515" cy="825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80010</wp:posOffset>
            </wp:positionV>
            <wp:extent cx="14535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p>
    <w:p>
      <w:pPr>
        <w:ind w:left="520" w:hanging="515"/>
        <w:spacing w:after="0"/>
        <w:tabs>
          <w:tab w:leader="none" w:pos="52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2016</w:t>
      </w:r>
    </w:p>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1" w:lineRule="exact"/>
        <w:rPr>
          <w:sz w:val="24"/>
          <w:szCs w:val="24"/>
          <w:color w:val="auto"/>
        </w:rPr>
      </w:pPr>
    </w:p>
    <w:p>
      <w:pPr>
        <w:ind w:left="520" w:hanging="515"/>
        <w:spacing w:after="0"/>
        <w:tabs>
          <w:tab w:leader="none" w:pos="5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72"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001-36708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73660</wp:posOffset>
            </wp:positionV>
            <wp:extent cx="1528445" cy="1061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8445" cy="1061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2"/>
          <w:szCs w:val="42"/>
          <w:b w:val="1"/>
          <w:bCs w:val="1"/>
          <w:color w:val="auto"/>
        </w:rPr>
        <w:t>Communications Sales &amp; Leasing, Inc.</w:t>
      </w:r>
    </w:p>
    <w:p>
      <w:pPr>
        <w:spacing w:after="0" w:line="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59690</wp:posOffset>
            </wp:positionV>
            <wp:extent cx="145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145" w:lineRule="exact"/>
        <w:rPr>
          <w:sz w:val="24"/>
          <w:szCs w:val="24"/>
          <w:color w:val="auto"/>
        </w:rPr>
      </w:pPr>
    </w:p>
    <w:tbl>
      <w:tblPr>
        <w:tblLayout w:type="fixed"/>
        <w:tblInd w:w="1700" w:type="dxa"/>
        <w:tblCellMar>
          <w:top w:w="0" w:type="dxa"/>
          <w:left w:w="0" w:type="dxa"/>
          <w:bottom w:w="0" w:type="dxa"/>
          <w:right w:w="0" w:type="dxa"/>
        </w:tblCellMar>
      </w:tblPr>
      <w:tr>
        <w:trPr>
          <w:trHeight w:val="207"/>
        </w:trPr>
        <w:tc>
          <w:tcPr>
            <w:tcW w:w="6180" w:type="dxa"/>
            <w:vAlign w:val="bottom"/>
          </w:tcPr>
          <w:p>
            <w:pPr>
              <w:jc w:val="center"/>
              <w:ind w:right="3781"/>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8"/>
                <w:szCs w:val="18"/>
                <w:b w:val="1"/>
                <w:bCs w:val="1"/>
                <w:color w:val="auto"/>
              </w:rPr>
              <w:t>46-5230630</w:t>
            </w:r>
          </w:p>
        </w:tc>
      </w:tr>
      <w:tr>
        <w:trPr>
          <w:trHeight w:val="145"/>
        </w:trPr>
        <w:tc>
          <w:tcPr>
            <w:tcW w:w="6180" w:type="dxa"/>
            <w:vAlign w:val="bottom"/>
          </w:tcPr>
          <w:p>
            <w:pPr>
              <w:jc w:val="center"/>
              <w:ind w:right="3781"/>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40" w:type="dxa"/>
            <w:vAlign w:val="bottom"/>
          </w:tcPr>
          <w:p>
            <w:pPr>
              <w:jc w:val="center"/>
              <w:ind w:left="63"/>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6180" w:type="dxa"/>
            <w:vAlign w:val="bottom"/>
          </w:tcPr>
          <w:p>
            <w:pPr>
              <w:jc w:val="center"/>
              <w:ind w:right="378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40" w:type="dxa"/>
            <w:vAlign w:val="bottom"/>
          </w:tcPr>
          <w:p>
            <w:pPr>
              <w:jc w:val="center"/>
              <w:ind w:left="6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3"/>
        </w:trPr>
        <w:tc>
          <w:tcPr>
            <w:tcW w:w="6180" w:type="dxa"/>
            <w:vAlign w:val="bottom"/>
          </w:tcPr>
          <w:p>
            <w:pPr>
              <w:jc w:val="center"/>
              <w:ind w:right="3781"/>
              <w:spacing w:after="0"/>
              <w:rPr>
                <w:sz w:val="20"/>
                <w:szCs w:val="20"/>
                <w:color w:val="auto"/>
              </w:rPr>
            </w:pPr>
            <w:r>
              <w:rPr>
                <w:rFonts w:ascii="Times New Roman" w:cs="Times New Roman" w:eastAsia="Times New Roman" w:hAnsi="Times New Roman"/>
                <w:sz w:val="18"/>
                <w:szCs w:val="18"/>
                <w:b w:val="1"/>
                <w:bCs w:val="1"/>
                <w:color w:val="auto"/>
                <w:w w:val="97"/>
              </w:rPr>
              <w:t>10802 Executive Center Drive</w:t>
            </w:r>
          </w:p>
        </w:tc>
        <w:tc>
          <w:tcPr>
            <w:tcW w:w="1240" w:type="dxa"/>
            <w:vAlign w:val="bottom"/>
          </w:tcPr>
          <w:p>
            <w:pPr>
              <w:spacing w:after="0"/>
              <w:rPr>
                <w:sz w:val="22"/>
                <w:szCs w:val="22"/>
                <w:color w:val="auto"/>
              </w:rPr>
            </w:pPr>
          </w:p>
        </w:tc>
      </w:tr>
      <w:tr>
        <w:trPr>
          <w:trHeight w:val="210"/>
        </w:trPr>
        <w:tc>
          <w:tcPr>
            <w:tcW w:w="6180" w:type="dxa"/>
            <w:vAlign w:val="bottom"/>
          </w:tcPr>
          <w:p>
            <w:pPr>
              <w:jc w:val="center"/>
              <w:ind w:right="3781"/>
              <w:spacing w:after="0"/>
              <w:rPr>
                <w:sz w:val="20"/>
                <w:szCs w:val="20"/>
                <w:color w:val="auto"/>
              </w:rPr>
            </w:pPr>
            <w:r>
              <w:rPr>
                <w:rFonts w:ascii="Times New Roman" w:cs="Times New Roman" w:eastAsia="Times New Roman" w:hAnsi="Times New Roman"/>
                <w:sz w:val="18"/>
                <w:szCs w:val="18"/>
                <w:b w:val="1"/>
                <w:bCs w:val="1"/>
                <w:color w:val="auto"/>
                <w:w w:val="97"/>
              </w:rPr>
              <w:t>Benton Building Suite 300</w:t>
            </w:r>
          </w:p>
        </w:tc>
        <w:tc>
          <w:tcPr>
            <w:tcW w:w="1240" w:type="dxa"/>
            <w:vAlign w:val="bottom"/>
          </w:tcPr>
          <w:p>
            <w:pPr>
              <w:spacing w:after="0"/>
              <w:rPr>
                <w:sz w:val="18"/>
                <w:szCs w:val="18"/>
                <w:color w:val="auto"/>
              </w:rPr>
            </w:pPr>
          </w:p>
        </w:tc>
      </w:tr>
      <w:tr>
        <w:trPr>
          <w:trHeight w:val="206"/>
        </w:trPr>
        <w:tc>
          <w:tcPr>
            <w:tcW w:w="6180" w:type="dxa"/>
            <w:vAlign w:val="bottom"/>
          </w:tcPr>
          <w:p>
            <w:pPr>
              <w:jc w:val="center"/>
              <w:ind w:right="3781"/>
              <w:spacing w:after="0"/>
              <w:rPr>
                <w:sz w:val="20"/>
                <w:szCs w:val="20"/>
                <w:color w:val="auto"/>
              </w:rPr>
            </w:pPr>
            <w:r>
              <w:rPr>
                <w:rFonts w:ascii="Times New Roman" w:cs="Times New Roman" w:eastAsia="Times New Roman" w:hAnsi="Times New Roman"/>
                <w:sz w:val="18"/>
                <w:szCs w:val="18"/>
                <w:b w:val="1"/>
                <w:bCs w:val="1"/>
                <w:color w:val="auto"/>
                <w:w w:val="97"/>
              </w:rPr>
              <w:t>Little Rock, Arkansas</w:t>
            </w:r>
          </w:p>
        </w:tc>
        <w:tc>
          <w:tcPr>
            <w:tcW w:w="1240" w:type="dxa"/>
            <w:vAlign w:val="bottom"/>
          </w:tcPr>
          <w:p>
            <w:pPr>
              <w:jc w:val="right"/>
              <w:ind w:right="263"/>
              <w:spacing w:after="0"/>
              <w:rPr>
                <w:sz w:val="20"/>
                <w:szCs w:val="20"/>
                <w:color w:val="auto"/>
              </w:rPr>
            </w:pPr>
            <w:r>
              <w:rPr>
                <w:rFonts w:ascii="Times New Roman" w:cs="Times New Roman" w:eastAsia="Times New Roman" w:hAnsi="Times New Roman"/>
                <w:sz w:val="18"/>
                <w:szCs w:val="18"/>
                <w:b w:val="1"/>
                <w:bCs w:val="1"/>
                <w:color w:val="auto"/>
              </w:rPr>
              <w:t>72211</w:t>
            </w:r>
          </w:p>
        </w:tc>
      </w:tr>
      <w:tr>
        <w:trPr>
          <w:trHeight w:val="185"/>
        </w:trPr>
        <w:tc>
          <w:tcPr>
            <w:tcW w:w="6180" w:type="dxa"/>
            <w:vAlign w:val="bottom"/>
          </w:tcPr>
          <w:p>
            <w:pPr>
              <w:jc w:val="center"/>
              <w:ind w:right="37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jc w:val="center"/>
              <w:ind w:left="63"/>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10"/>
        </w:trPr>
        <w:tc>
          <w:tcPr>
            <w:tcW w:w="6180" w:type="dxa"/>
            <w:vAlign w:val="bottom"/>
          </w:tcPr>
          <w:p>
            <w:pPr>
              <w:ind w:left="20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(501) 850-0820</w:t>
            </w:r>
          </w:p>
        </w:tc>
        <w:tc>
          <w:tcPr>
            <w:tcW w:w="12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57150</wp:posOffset>
            </wp:positionV>
            <wp:extent cx="145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130" w:lineRule="exact"/>
        <w:rPr>
          <w:sz w:val="24"/>
          <w:szCs w:val="24"/>
          <w:color w:val="auto"/>
        </w:rPr>
      </w:pPr>
    </w:p>
    <w:p>
      <w:pPr>
        <w:ind w:right="260" w:firstLine="518"/>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30" w:lineRule="exact"/>
        <w:rPr>
          <w:sz w:val="24"/>
          <w:szCs w:val="24"/>
          <w:color w:val="auto"/>
        </w:rPr>
      </w:pPr>
    </w:p>
    <w:p>
      <w:pPr>
        <w:jc w:val="both"/>
        <w:ind w:right="40" w:firstLine="518"/>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43" w:lineRule="exact"/>
        <w:rPr>
          <w:sz w:val="24"/>
          <w:szCs w:val="24"/>
          <w:color w:val="auto"/>
        </w:rPr>
      </w:pPr>
    </w:p>
    <w:p>
      <w:pPr>
        <w:ind w:right="200" w:firstLine="518"/>
        <w:spacing w:after="0" w:line="26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8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3"/>
                <w:szCs w:val="23"/>
                <w:color w:val="auto"/>
              </w:rPr>
            </w:pPr>
          </w:p>
        </w:tc>
      </w:tr>
      <w:tr>
        <w:trPr>
          <w:trHeight w:val="289"/>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82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 reporting company)</w:t>
            </w:r>
          </w:p>
        </w:tc>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 reporting company</w:t>
            </w:r>
          </w:p>
        </w:tc>
        <w:tc>
          <w:tcPr>
            <w:tcW w:w="5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276"/>
        </w:trPr>
        <w:tc>
          <w:tcPr>
            <w:tcW w:w="8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8"/>
              </w:rPr>
              <w:t>Indicate by check mark whether the registrant is a shell company (as defined in Rule 12b-2 of the Exchange Act).</w:t>
            </w:r>
          </w:p>
        </w:tc>
        <w:tc>
          <w:tcPr>
            <w:tcW w:w="228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Yes o  No </w:t>
            </w: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May 6, 2016, the registrant had 151,623,214 shares of common stock, $0.0001 par value per share, outstanding.</w:t>
            </w:r>
          </w:p>
        </w:tc>
        <w:tc>
          <w:tcPr>
            <w:tcW w:w="2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06"/>
        </w:trPr>
        <w:tc>
          <w:tcPr>
            <w:tcW w:w="1780" w:type="dxa"/>
            <w:vAlign w:val="bottom"/>
            <w:tcBorders>
              <w:bottom w:val="single" w:sz="8" w:color="auto"/>
            </w:tcBorders>
          </w:tcPr>
          <w:p>
            <w:pPr>
              <w:spacing w:after="0"/>
              <w:rPr>
                <w:sz w:val="9"/>
                <w:szCs w:val="9"/>
                <w:color w:val="auto"/>
              </w:rPr>
            </w:pPr>
          </w:p>
        </w:tc>
        <w:tc>
          <w:tcPr>
            <w:tcW w:w="682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33"/>
        </w:trPr>
        <w:tc>
          <w:tcPr>
            <w:tcW w:w="1780" w:type="dxa"/>
            <w:vAlign w:val="bottom"/>
            <w:tcBorders>
              <w:bottom w:val="single" w:sz="8" w:color="auto"/>
            </w:tcBorders>
          </w:tcPr>
          <w:p>
            <w:pPr>
              <w:spacing w:after="0"/>
              <w:rPr>
                <w:sz w:val="2"/>
                <w:szCs w:val="2"/>
                <w:color w:val="auto"/>
              </w:rPr>
            </w:pPr>
          </w:p>
        </w:tc>
        <w:tc>
          <w:tcPr>
            <w:tcW w:w="6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31"/>
        </w:trPr>
        <w:tc>
          <w:tcPr>
            <w:tcW w:w="1780" w:type="dxa"/>
            <w:vAlign w:val="bottom"/>
            <w:tcBorders>
              <w:bottom w:val="single" w:sz="8" w:color="9A9A9A"/>
            </w:tcBorders>
          </w:tcPr>
          <w:p>
            <w:pPr>
              <w:spacing w:after="0"/>
              <w:rPr>
                <w:sz w:val="11"/>
                <w:szCs w:val="11"/>
                <w:color w:val="auto"/>
              </w:rPr>
            </w:pPr>
          </w:p>
        </w:tc>
        <w:tc>
          <w:tcPr>
            <w:tcW w:w="6820" w:type="dxa"/>
            <w:vAlign w:val="bottom"/>
            <w:tcBorders>
              <w:bottom w:val="single" w:sz="8" w:color="9A9A9A"/>
            </w:tcBorders>
          </w:tcPr>
          <w:p>
            <w:pPr>
              <w:spacing w:after="0"/>
              <w:rPr>
                <w:sz w:val="11"/>
                <w:szCs w:val="11"/>
                <w:color w:val="auto"/>
              </w:rPr>
            </w:pPr>
          </w:p>
        </w:tc>
        <w:tc>
          <w:tcPr>
            <w:tcW w:w="228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226" w:right="21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11" w:lineRule="exact"/>
        <w:rPr>
          <w:sz w:val="20"/>
          <w:szCs w:val="20"/>
          <w:color w:val="auto"/>
        </w:rPr>
      </w:pPr>
    </w:p>
    <w:p>
      <w:pPr>
        <w:ind w:right="160" w:firstLine="518"/>
        <w:spacing w:after="0" w:line="247" w:lineRule="auto"/>
        <w:rPr>
          <w:sz w:val="20"/>
          <w:szCs w:val="20"/>
          <w:color w:val="auto"/>
        </w:rPr>
      </w:pPr>
      <w:r>
        <w:rPr>
          <w:rFonts w:ascii="Times New Roman" w:cs="Times New Roman" w:eastAsia="Times New Roman" w:hAnsi="Times New Roman"/>
          <w:sz w:val="18"/>
          <w:szCs w:val="18"/>
          <w:color w:val="auto"/>
        </w:rPr>
        <w:t>Prior to April 24, 2015, Communications Sales &amp; Leasing, Inc. (the “Company,” “CS&amp;L,” “we,” “us” or “our”) was a wholly-owned subsidiary of Windstream Holdings, Inc. (“Windstream Holdings,” and together with its subsidiaries, “Windstream”). On April 24, 2015, Windstream contributed certain telecommunications network assets, including fiber and copper networks and other real estate (the “Distribution Systems”) and a small consumer competitive local exchange carrier (“CLEC”) business (the “Consumer CLEC Business”), to CS&amp;L. In exchange, CS&amp;L issued to Windstream (i) approximately 149.8 million shares of its common stock, (ii) $400.0 million aggregate principal amount of 6.00% Senior Secured Notes due April 15, 2023 (the “Senior Secured Notes”), (iii) $1.11 billion aggregate principal amount of 8.25% Senior Notes due October 15, 2023 (the “Senior Unsecured Notes” and together with the Senior Secured Notes, the “Notes”) and (iv) approximately $2.0 billion in cash obtained from borrowings under CS&amp;L’s senior credit facilities. The contribution of the Distribution Systems and the Consumer CLEC Business and the related issuance of cash, debt and equity securities are referred to herein as the “Spin-Off.” The Spin-Off was effective on April 24, 2015.</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11" w:lineRule="exact"/>
        <w:rPr>
          <w:sz w:val="20"/>
          <w:szCs w:val="20"/>
          <w:color w:val="auto"/>
        </w:rPr>
      </w:pPr>
    </w:p>
    <w:p>
      <w:pPr>
        <w:ind w:firstLine="518"/>
        <w:spacing w:after="0" w:line="248"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the benefits and tax treatment of the Spin-Off; future financing plans, business strategies, growth prospects and operating and financial performance; expectations regarding the impact of the acquisition of PEG Bandwidth, LLC (“PEG”); expectations regarding the closing of the acquisition of certain towers and operating rights from Windstream</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expectations regarding the making of distributions and the payment of dividends; and compliance with and changes in governmental regulations.</w:t>
      </w:r>
    </w:p>
    <w:p>
      <w:pPr>
        <w:spacing w:after="0" w:line="150" w:lineRule="exact"/>
        <w:rPr>
          <w:sz w:val="20"/>
          <w:szCs w:val="20"/>
          <w:color w:val="auto"/>
        </w:rPr>
      </w:pPr>
    </w:p>
    <w:p>
      <w:pPr>
        <w:ind w:right="20" w:firstLine="518"/>
        <w:spacing w:after="0" w:line="248" w:lineRule="auto"/>
        <w:rPr>
          <w:sz w:val="20"/>
          <w:szCs w:val="20"/>
          <w:color w:val="auto"/>
        </w:rPr>
      </w:pPr>
      <w:r>
        <w:rPr>
          <w:rFonts w:ascii="Times New Roman" w:cs="Times New Roman" w:eastAsia="Times New Roman" w:hAnsi="Times New Roman"/>
          <w:sz w:val="18"/>
          <w:szCs w:val="18"/>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realized. Factors which could have a material adverse effect on our operations and future prospects or which could cause actual results to differ materially from our expectations include, but are not limited to:</w:t>
      </w:r>
    </w:p>
    <w:p>
      <w:pPr>
        <w:spacing w:after="0" w:line="85" w:lineRule="exact"/>
        <w:rPr>
          <w:sz w:val="20"/>
          <w:szCs w:val="20"/>
          <w:color w:val="auto"/>
        </w:rPr>
      </w:pPr>
    </w:p>
    <w:p>
      <w:pPr>
        <w:ind w:left="1040" w:hanging="522"/>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some or all the benefits that we expect to achieve from the Spin-Off;</w:t>
      </w:r>
    </w:p>
    <w:p>
      <w:pPr>
        <w:spacing w:after="0" w:line="108" w:lineRule="exact"/>
        <w:rPr>
          <w:rFonts w:ascii="Times New Roman" w:cs="Times New Roman" w:eastAsia="Times New Roman" w:hAnsi="Times New Roman"/>
          <w:sz w:val="18"/>
          <w:szCs w:val="18"/>
          <w:color w:val="auto"/>
        </w:rPr>
      </w:pPr>
    </w:p>
    <w:p>
      <w:pPr>
        <w:jc w:val="both"/>
        <w:ind w:left="1040" w:right="280" w:hanging="522"/>
        <w:spacing w:after="0" w:line="25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Windstream and other current and future customers to meet and/or perform their obligations under any contractual arrangements entered into with us, including master lease arrangements, and any of their obligations to indemnify, defend and hold us harmless from and against various claims, litigation and liabilities;</w:t>
      </w:r>
    </w:p>
    <w:p>
      <w:pPr>
        <w:spacing w:after="0" w:line="74" w:lineRule="exact"/>
        <w:rPr>
          <w:rFonts w:ascii="Times New Roman" w:cs="Times New Roman" w:eastAsia="Times New Roman" w:hAnsi="Times New Roman"/>
          <w:sz w:val="18"/>
          <w:szCs w:val="18"/>
          <w:color w:val="auto"/>
        </w:rPr>
      </w:pPr>
    </w:p>
    <w:p>
      <w:pPr>
        <w:ind w:left="1040" w:right="140" w:hanging="522"/>
        <w:spacing w:after="0" w:line="268"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Windstream and other current and future customers to comply with laws, rules and regulations in the operation of the assets we lease to them;</w:t>
      </w:r>
    </w:p>
    <w:p>
      <w:pPr>
        <w:spacing w:after="0" w:line="63" w:lineRule="exact"/>
        <w:rPr>
          <w:rFonts w:ascii="Times New Roman" w:cs="Times New Roman" w:eastAsia="Times New Roman" w:hAnsi="Times New Roman"/>
          <w:sz w:val="18"/>
          <w:szCs w:val="18"/>
          <w:color w:val="auto"/>
        </w:rPr>
      </w:pPr>
    </w:p>
    <w:p>
      <w:pPr>
        <w:ind w:left="1040" w:right="60" w:hanging="522"/>
        <w:spacing w:after="0" w:line="268"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Windstream and other current and future customers to renew their leases with us upon their expiration, and the ability to reposition our properties on the same or better terms in the event of nonrenewal or in the event we replace an existing tenant;</w:t>
      </w:r>
    </w:p>
    <w:p>
      <w:pPr>
        <w:spacing w:after="0" w:line="63" w:lineRule="exact"/>
        <w:rPr>
          <w:rFonts w:ascii="Times New Roman" w:cs="Times New Roman" w:eastAsia="Times New Roman" w:hAnsi="Times New Roman"/>
          <w:sz w:val="18"/>
          <w:szCs w:val="18"/>
          <w:color w:val="auto"/>
        </w:rPr>
      </w:pPr>
    </w:p>
    <w:p>
      <w:pPr>
        <w:ind w:left="1040" w:right="480" w:hanging="522"/>
        <w:spacing w:after="0" w:line="268"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identify suitable acquisition opportunities and our ability to acquire and lease the respective properties on favorable terms or operate and integrate the acquired business;</w:t>
      </w:r>
    </w:p>
    <w:p>
      <w:pPr>
        <w:spacing w:after="0" w:line="63" w:lineRule="exact"/>
        <w:rPr>
          <w:rFonts w:ascii="Times New Roman" w:cs="Times New Roman" w:eastAsia="Times New Roman" w:hAnsi="Times New Roman"/>
          <w:sz w:val="18"/>
          <w:szCs w:val="18"/>
          <w:color w:val="auto"/>
        </w:rPr>
      </w:pPr>
    </w:p>
    <w:p>
      <w:pPr>
        <w:ind w:left="1040" w:hanging="522"/>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flows to service our outstanding indebtedness;</w:t>
      </w:r>
    </w:p>
    <w:p>
      <w:pPr>
        <w:spacing w:after="0" w:line="108" w:lineRule="exact"/>
        <w:rPr>
          <w:rFonts w:ascii="Times New Roman" w:cs="Times New Roman" w:eastAsia="Times New Roman" w:hAnsi="Times New Roman"/>
          <w:sz w:val="18"/>
          <w:szCs w:val="18"/>
          <w:color w:val="auto"/>
        </w:rPr>
      </w:pPr>
    </w:p>
    <w:p>
      <w:pPr>
        <w:ind w:left="1040" w:hanging="522"/>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debt and equity capital markets;</w:t>
      </w:r>
    </w:p>
    <w:p>
      <w:pPr>
        <w:spacing w:after="0" w:line="108" w:lineRule="exact"/>
        <w:rPr>
          <w:rFonts w:ascii="Times New Roman" w:cs="Times New Roman" w:eastAsia="Times New Roman" w:hAnsi="Times New Roman"/>
          <w:sz w:val="18"/>
          <w:szCs w:val="18"/>
          <w:color w:val="auto"/>
        </w:rPr>
      </w:pPr>
    </w:p>
    <w:p>
      <w:pPr>
        <w:ind w:left="1040" w:hanging="522"/>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or the business of our customers as a result of credit rating downgrades;</w:t>
      </w:r>
    </w:p>
    <w:p>
      <w:pPr>
        <w:spacing w:after="0" w:line="108" w:lineRule="exact"/>
        <w:rPr>
          <w:rFonts w:ascii="Times New Roman" w:cs="Times New Roman" w:eastAsia="Times New Roman" w:hAnsi="Times New Roman"/>
          <w:sz w:val="18"/>
          <w:szCs w:val="18"/>
          <w:color w:val="auto"/>
        </w:rPr>
      </w:pPr>
    </w:p>
    <w:p>
      <w:pPr>
        <w:ind w:left="1040" w:hanging="522"/>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interest rates;</w:t>
      </w:r>
    </w:p>
    <w:p>
      <w:pPr>
        <w:spacing w:after="0" w:line="108" w:lineRule="exact"/>
        <w:rPr>
          <w:rFonts w:ascii="Times New Roman" w:cs="Times New Roman" w:eastAsia="Times New Roman" w:hAnsi="Times New Roman"/>
          <w:sz w:val="18"/>
          <w:szCs w:val="18"/>
          <w:color w:val="auto"/>
        </w:rPr>
      </w:pPr>
    </w:p>
    <w:p>
      <w:pPr>
        <w:ind w:left="1040" w:hanging="522"/>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key management personnel;</w:t>
      </w:r>
    </w:p>
    <w:p>
      <w:pPr>
        <w:spacing w:after="0" w:line="108" w:lineRule="exact"/>
        <w:rPr>
          <w:rFonts w:ascii="Times New Roman" w:cs="Times New Roman" w:eastAsia="Times New Roman" w:hAnsi="Times New Roman"/>
          <w:sz w:val="18"/>
          <w:szCs w:val="18"/>
          <w:color w:val="auto"/>
        </w:rPr>
      </w:pPr>
    </w:p>
    <w:p>
      <w:pPr>
        <w:ind w:left="1040" w:hanging="522"/>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or maintain our status as a real estate investment trust (“REIT”);</w:t>
      </w:r>
    </w:p>
    <w:p>
      <w:pPr>
        <w:spacing w:after="0" w:line="108" w:lineRule="exact"/>
        <w:rPr>
          <w:rFonts w:ascii="Times New Roman" w:cs="Times New Roman" w:eastAsia="Times New Roman" w:hAnsi="Times New Roman"/>
          <w:sz w:val="18"/>
          <w:szCs w:val="18"/>
          <w:color w:val="auto"/>
        </w:rPr>
      </w:pPr>
    </w:p>
    <w:p>
      <w:pPr>
        <w:ind w:left="1040" w:hanging="522"/>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tax law and other federal, state or local laws, whether or not specific to REITs;</w:t>
      </w:r>
    </w:p>
    <w:p>
      <w:pPr>
        <w:spacing w:after="0" w:line="108" w:lineRule="exact"/>
        <w:rPr>
          <w:rFonts w:ascii="Times New Roman" w:cs="Times New Roman" w:eastAsia="Times New Roman" w:hAnsi="Times New Roman"/>
          <w:sz w:val="18"/>
          <w:szCs w:val="18"/>
          <w:color w:val="auto"/>
        </w:rPr>
      </w:pPr>
    </w:p>
    <w:p>
      <w:pPr>
        <w:ind w:left="1040" w:hanging="522"/>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in our debt agreements that may limit our operational flexibility;</w:t>
      </w:r>
    </w:p>
    <w:p>
      <w:pPr>
        <w:spacing w:after="0" w:line="108" w:lineRule="exact"/>
        <w:rPr>
          <w:rFonts w:ascii="Times New Roman" w:cs="Times New Roman" w:eastAsia="Times New Roman" w:hAnsi="Times New Roman"/>
          <w:sz w:val="18"/>
          <w:szCs w:val="18"/>
          <w:color w:val="auto"/>
        </w:rPr>
      </w:pPr>
    </w:p>
    <w:p>
      <w:pPr>
        <w:ind w:left="1040" w:hanging="522"/>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fail to full realize the potential benefits of the PEG transaction or have difficulty integrating PEG;</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19" w:lineRule="exact"/>
        <w:rPr>
          <w:sz w:val="20"/>
          <w:szCs w:val="20"/>
          <w:color w:val="auto"/>
        </w:rPr>
      </w:pPr>
    </w:p>
    <w:p>
      <w:pPr>
        <w:ind w:left="1040" w:right="420" w:hanging="522"/>
        <w:spacing w:after="0" w:line="268"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63" w:lineRule="exact"/>
        <w:rPr>
          <w:rFonts w:ascii="Times New Roman" w:cs="Times New Roman" w:eastAsia="Times New Roman" w:hAnsi="Times New Roman"/>
          <w:sz w:val="18"/>
          <w:szCs w:val="18"/>
          <w:color w:val="auto"/>
        </w:rPr>
      </w:pPr>
    </w:p>
    <w:p>
      <w:pPr>
        <w:ind w:left="1040" w:hanging="522"/>
        <w:spacing w:after="0" w:line="25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factors discussed in Part I, Item 2 “Management’s Discussion and Analysis of Financial Condition and Results of Operations” and Part II, Item 1A “Risk Factors” of this Quarterly Report on Form 10-Q and in Part I, Item 1A “Risk Factors” of our Annual Report on Form 10-K for the year ended December 31, 2015, as well as those described from time to time in our future reports filed with the U.S. Securities and Exchange Commission (the “SEC”).</w:t>
      </w:r>
    </w:p>
    <w:p>
      <w:pPr>
        <w:spacing w:after="0" w:line="144"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8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7"/>
              </w:rPr>
              <w:t>Communications Sales &amp; Leasing,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40" w:type="dxa"/>
            <w:vAlign w:val="bottom"/>
            <w:gridSpan w:val="5"/>
          </w:tcPr>
          <w:p>
            <w:pPr>
              <w:jc w:val="center"/>
              <w:ind w:right="424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300" w:type="dxa"/>
            <w:vAlign w:val="bottom"/>
            <w:gridSpan w:val="10"/>
            <w:vMerge w:val="restart"/>
          </w:tcPr>
          <w:p>
            <w:pPr>
              <w:spacing w:after="0"/>
              <w:rPr>
                <w:rFonts w:ascii="Times New Roman" w:cs="Times New Roman" w:eastAsia="Times New Roman" w:hAnsi="Times New Roman"/>
                <w:sz w:val="18"/>
                <w:szCs w:val="18"/>
                <w:b w:val="1"/>
                <w:bCs w:val="1"/>
                <w:color w:val="0000EE"/>
                <w:w w:val="94"/>
              </w:rPr>
            </w:pPr>
            <w:hyperlink w:anchor="page5">
              <w:r>
                <w:rPr>
                  <w:rFonts w:ascii="Times New Roman" w:cs="Times New Roman" w:eastAsia="Times New Roman" w:hAnsi="Times New Roman"/>
                  <w:sz w:val="18"/>
                  <w:szCs w:val="18"/>
                  <w:b w:val="1"/>
                  <w:bCs w:val="1"/>
                  <w:color w:val="0000EE"/>
                  <w:w w:val="94"/>
                </w:rPr>
                <w:t>FINANCIAL INFORMATION</w:t>
              </w:r>
            </w:hyperlink>
          </w:p>
        </w:tc>
        <w:tc>
          <w:tcPr>
            <w:tcW w:w="7600" w:type="dxa"/>
            <w:vAlign w:val="bottom"/>
            <w:gridSpan w:val="11"/>
            <w:vMerge w:val="restart"/>
          </w:tcPr>
          <w:p>
            <w:pPr>
              <w:spacing w:after="0"/>
              <w:rPr>
                <w:sz w:val="24"/>
                <w:szCs w:val="24"/>
                <w:color w:val="auto"/>
              </w:rPr>
            </w:pPr>
          </w:p>
        </w:tc>
        <w:tc>
          <w:tcPr>
            <w:tcW w:w="5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2"/>
        </w:trPr>
        <w:tc>
          <w:tcPr>
            <w:tcW w:w="960" w:type="dxa"/>
            <w:vAlign w:val="bottom"/>
            <w:gridSpan w:val="2"/>
            <w:vMerge w:val="continue"/>
          </w:tcPr>
          <w:p>
            <w:pPr>
              <w:spacing w:after="0"/>
              <w:rPr>
                <w:sz w:val="15"/>
                <w:szCs w:val="15"/>
                <w:color w:val="auto"/>
              </w:rPr>
            </w:pPr>
          </w:p>
        </w:tc>
        <w:tc>
          <w:tcPr>
            <w:tcW w:w="2300" w:type="dxa"/>
            <w:vAlign w:val="bottom"/>
            <w:tcBorders>
              <w:bottom w:val="single" w:sz="8" w:color="0000EE"/>
            </w:tcBorders>
            <w:gridSpan w:val="10"/>
            <w:vMerge w:val="continue"/>
          </w:tcPr>
          <w:p>
            <w:pPr>
              <w:spacing w:after="0"/>
              <w:rPr>
                <w:sz w:val="15"/>
                <w:szCs w:val="15"/>
                <w:color w:val="auto"/>
              </w:rPr>
            </w:pPr>
          </w:p>
        </w:tc>
        <w:tc>
          <w:tcPr>
            <w:tcW w:w="7600" w:type="dxa"/>
            <w:vAlign w:val="bottom"/>
            <w:gridSpan w:val="11"/>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7"/>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900" w:type="dxa"/>
            <w:vAlign w:val="bottom"/>
            <w:gridSpan w:val="21"/>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Financial Statements (Unaudited)</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Communication Sales &amp; Leasing, Inc.</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900" w:type="dxa"/>
            <w:vAlign w:val="bottom"/>
            <w:gridSpan w:val="21"/>
          </w:tcPr>
          <w:p>
            <w:pPr>
              <w:spacing w:after="0" w:line="189"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Balance Sheets</w:t>
              </w:r>
            </w:hyperlink>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tcBorders>
              <w:bottom w:val="single" w:sz="8" w:color="0000EE"/>
            </w:tcBorders>
            <w:gridSpan w:val="14"/>
          </w:tcPr>
          <w:p>
            <w:pPr>
              <w:spacing w:after="0" w:line="204" w:lineRule="exact"/>
              <w:rPr>
                <w:rFonts w:ascii="Times New Roman" w:cs="Times New Roman" w:eastAsia="Times New Roman" w:hAnsi="Times New Roman"/>
                <w:sz w:val="18"/>
                <w:szCs w:val="18"/>
                <w:color w:val="0000EE"/>
                <w:w w:val="95"/>
              </w:rPr>
            </w:pPr>
            <w:hyperlink w:anchor="page6">
              <w:r>
                <w:rPr>
                  <w:rFonts w:ascii="Times New Roman" w:cs="Times New Roman" w:eastAsia="Times New Roman" w:hAnsi="Times New Roman"/>
                  <w:sz w:val="18"/>
                  <w:szCs w:val="18"/>
                  <w:color w:val="0000EE"/>
                  <w:w w:val="95"/>
                </w:rPr>
                <w:t>Condensed Consolidated Statement of Income</w:t>
              </w:r>
            </w:hyperlink>
          </w:p>
        </w:tc>
        <w:tc>
          <w:tcPr>
            <w:tcW w:w="6680" w:type="dxa"/>
            <w:vAlign w:val="bottom"/>
            <w:gridSpan w:val="7"/>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4"/>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60" w:type="dxa"/>
            <w:vAlign w:val="bottom"/>
            <w:tcBorders>
              <w:bottom w:val="single" w:sz="8" w:color="0000EE"/>
            </w:tcBorders>
            <w:gridSpan w:val="19"/>
          </w:tcPr>
          <w:p>
            <w:pPr>
              <w:spacing w:after="0" w:line="204" w:lineRule="exact"/>
              <w:rPr>
                <w:rFonts w:ascii="Times New Roman" w:cs="Times New Roman" w:eastAsia="Times New Roman" w:hAnsi="Times New Roman"/>
                <w:sz w:val="18"/>
                <w:szCs w:val="18"/>
                <w:color w:val="0000EE"/>
                <w:w w:val="96"/>
              </w:rPr>
            </w:pPr>
            <w:hyperlink w:anchor="page7">
              <w:r>
                <w:rPr>
                  <w:rFonts w:ascii="Times New Roman" w:cs="Times New Roman" w:eastAsia="Times New Roman" w:hAnsi="Times New Roman"/>
                  <w:sz w:val="18"/>
                  <w:szCs w:val="18"/>
                  <w:color w:val="0000EE"/>
                  <w:w w:val="96"/>
                </w:rPr>
                <w:t>Condensed Consolidated Statement of Comprehensive Income (Loss)</w:t>
              </w:r>
            </w:hyperlink>
          </w:p>
        </w:tc>
        <w:tc>
          <w:tcPr>
            <w:tcW w:w="5040" w:type="dxa"/>
            <w:vAlign w:val="bottom"/>
            <w:gridSpan w:val="2"/>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4"/>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0" w:type="dxa"/>
            <w:vAlign w:val="bottom"/>
            <w:tcBorders>
              <w:bottom w:val="single" w:sz="8" w:color="0000EE"/>
            </w:tcBorders>
            <w:gridSpan w:val="17"/>
          </w:tcPr>
          <w:p>
            <w:pPr>
              <w:spacing w:after="0" w:line="204" w:lineRule="exact"/>
              <w:rPr>
                <w:rFonts w:ascii="Times New Roman" w:cs="Times New Roman" w:eastAsia="Times New Roman" w:hAnsi="Times New Roman"/>
                <w:sz w:val="18"/>
                <w:szCs w:val="18"/>
                <w:color w:val="0000EE"/>
                <w:w w:val="96"/>
              </w:rPr>
            </w:pPr>
            <w:hyperlink w:anchor="page7">
              <w:r>
                <w:rPr>
                  <w:rFonts w:ascii="Times New Roman" w:cs="Times New Roman" w:eastAsia="Times New Roman" w:hAnsi="Times New Roman"/>
                  <w:sz w:val="18"/>
                  <w:szCs w:val="18"/>
                  <w:color w:val="0000EE"/>
                  <w:w w:val="96"/>
                </w:rPr>
                <w:t>Condensed Consolidated Statement of Shareholders’ Deficit</w:t>
              </w:r>
            </w:hyperlink>
          </w:p>
        </w:tc>
        <w:tc>
          <w:tcPr>
            <w:tcW w:w="5700" w:type="dxa"/>
            <w:vAlign w:val="bottom"/>
            <w:gridSpan w:val="4"/>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4"/>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20" w:type="dxa"/>
            <w:vAlign w:val="bottom"/>
            <w:tcBorders>
              <w:bottom w:val="single" w:sz="8" w:color="0000EE"/>
            </w:tcBorders>
            <w:gridSpan w:val="15"/>
          </w:tcPr>
          <w:p>
            <w:pPr>
              <w:spacing w:after="0" w:line="204" w:lineRule="exact"/>
              <w:rPr>
                <w:rFonts w:ascii="Times New Roman" w:cs="Times New Roman" w:eastAsia="Times New Roman" w:hAnsi="Times New Roman"/>
                <w:sz w:val="18"/>
                <w:szCs w:val="18"/>
                <w:color w:val="0000EE"/>
                <w:w w:val="96"/>
              </w:rPr>
            </w:pPr>
            <w:hyperlink w:anchor="page9">
              <w:r>
                <w:rPr>
                  <w:rFonts w:ascii="Times New Roman" w:cs="Times New Roman" w:eastAsia="Times New Roman" w:hAnsi="Times New Roman"/>
                  <w:sz w:val="18"/>
                  <w:szCs w:val="18"/>
                  <w:color w:val="0000EE"/>
                  <w:w w:val="96"/>
                </w:rPr>
                <w:t>Condensed Consolidated Statement of Cash Flows</w:t>
              </w:r>
            </w:hyperlink>
          </w:p>
        </w:tc>
        <w:tc>
          <w:tcPr>
            <w:tcW w:w="6380" w:type="dxa"/>
            <w:vAlign w:val="bottom"/>
            <w:gridSpan w:val="6"/>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4"/>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tcBorders>
              <w:bottom w:val="single" w:sz="8" w:color="0000EE"/>
            </w:tcBorders>
            <w:gridSpan w:val="16"/>
          </w:tcPr>
          <w:p>
            <w:pPr>
              <w:spacing w:after="0" w:line="204" w:lineRule="exact"/>
              <w:rPr>
                <w:rFonts w:ascii="Times New Roman" w:cs="Times New Roman" w:eastAsia="Times New Roman" w:hAnsi="Times New Roman"/>
                <w:sz w:val="18"/>
                <w:szCs w:val="18"/>
                <w:color w:val="0000EE"/>
                <w:w w:val="96"/>
              </w:rPr>
            </w:pPr>
            <w:hyperlink w:anchor="page10">
              <w:r>
                <w:rPr>
                  <w:rFonts w:ascii="Times New Roman" w:cs="Times New Roman" w:eastAsia="Times New Roman" w:hAnsi="Times New Roman"/>
                  <w:sz w:val="18"/>
                  <w:szCs w:val="18"/>
                  <w:color w:val="0000EE"/>
                  <w:w w:val="96"/>
                </w:rPr>
                <w:t>Notes to Condensed Consolidated Financial Statements</w:t>
              </w:r>
            </w:hyperlink>
          </w:p>
        </w:tc>
        <w:tc>
          <w:tcPr>
            <w:tcW w:w="6040" w:type="dxa"/>
            <w:vAlign w:val="bottom"/>
            <w:gridSpan w:val="5"/>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CLEC Business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900" w:type="dxa"/>
            <w:vAlign w:val="bottom"/>
            <w:gridSpan w:val="21"/>
          </w:tcPr>
          <w:p>
            <w:pPr>
              <w:spacing w:after="0" w:line="189"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Statement of Revenues and Direct Expenses</w:t>
              </w:r>
            </w:hyperlink>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4"/>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tcBorders>
              <w:top w:val="single" w:sz="8" w:color="0000EE"/>
            </w:tcBorders>
            <w:gridSpan w:val="13"/>
          </w:tcPr>
          <w:p>
            <w:pPr>
              <w:spacing w:after="0" w:line="204"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Notes to Financial Statements</w:t>
              </w:r>
            </w:hyperlink>
          </w:p>
        </w:tc>
        <w:tc>
          <w:tcPr>
            <w:tcW w:w="6840" w:type="dxa"/>
            <w:vAlign w:val="bottom"/>
            <w:gridSpan w:val="8"/>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2.</w:t>
            </w:r>
          </w:p>
        </w:tc>
        <w:tc>
          <w:tcPr>
            <w:tcW w:w="6260" w:type="dxa"/>
            <w:vAlign w:val="bottom"/>
            <w:tcBorders>
              <w:bottom w:val="single" w:sz="8" w:color="0000EE"/>
            </w:tcBorders>
            <w:gridSpan w:val="20"/>
          </w:tcPr>
          <w:p>
            <w:pPr>
              <w:spacing w:after="0" w:line="204" w:lineRule="exact"/>
              <w:rPr>
                <w:rFonts w:ascii="Times New Roman" w:cs="Times New Roman" w:eastAsia="Times New Roman" w:hAnsi="Times New Roman"/>
                <w:sz w:val="18"/>
                <w:szCs w:val="18"/>
                <w:color w:val="0000EE"/>
                <w:w w:val="96"/>
              </w:rPr>
            </w:pPr>
            <w:hyperlink w:anchor="page27">
              <w:r>
                <w:rPr>
                  <w:rFonts w:ascii="Times New Roman" w:cs="Times New Roman" w:eastAsia="Times New Roman" w:hAnsi="Times New Roman"/>
                  <w:sz w:val="18"/>
                  <w:szCs w:val="18"/>
                  <w:color w:val="0000EE"/>
                  <w:w w:val="96"/>
                </w:rPr>
                <w:t>Management’s Discussion and Analysis of Financial Condition and Results of Operations</w:t>
              </w:r>
            </w:hyperlink>
          </w:p>
        </w:tc>
        <w:tc>
          <w:tcPr>
            <w:tcW w:w="3640" w:type="dxa"/>
            <w:vAlign w:val="bottom"/>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4"/>
        </w:trPr>
        <w:tc>
          <w:tcPr>
            <w:tcW w:w="9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3.</w:t>
            </w:r>
          </w:p>
        </w:tc>
        <w:tc>
          <w:tcPr>
            <w:tcW w:w="4220" w:type="dxa"/>
            <w:vAlign w:val="bottom"/>
            <w:tcBorders>
              <w:bottom w:val="single" w:sz="8" w:color="0000EE"/>
            </w:tcBorders>
            <w:gridSpan w:val="18"/>
          </w:tcPr>
          <w:p>
            <w:pPr>
              <w:spacing w:after="0" w:line="204" w:lineRule="exact"/>
              <w:rPr>
                <w:rFonts w:ascii="Times New Roman" w:cs="Times New Roman" w:eastAsia="Times New Roman" w:hAnsi="Times New Roman"/>
                <w:sz w:val="18"/>
                <w:szCs w:val="18"/>
                <w:color w:val="0000EE"/>
                <w:w w:val="96"/>
              </w:rPr>
            </w:pPr>
            <w:hyperlink w:anchor="page33">
              <w:r>
                <w:rPr>
                  <w:rFonts w:ascii="Times New Roman" w:cs="Times New Roman" w:eastAsia="Times New Roman" w:hAnsi="Times New Roman"/>
                  <w:sz w:val="18"/>
                  <w:szCs w:val="18"/>
                  <w:color w:val="0000EE"/>
                  <w:w w:val="96"/>
                </w:rPr>
                <w:t>Quantitative and Qualitative Disclosures About Market Risk</w:t>
              </w:r>
            </w:hyperlink>
          </w:p>
        </w:tc>
        <w:tc>
          <w:tcPr>
            <w:tcW w:w="5680" w:type="dxa"/>
            <w:vAlign w:val="bottom"/>
            <w:gridSpan w:val="3"/>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4"/>
        </w:trPr>
        <w:tc>
          <w:tcPr>
            <w:tcW w:w="9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4.</w:t>
            </w:r>
          </w:p>
        </w:tc>
        <w:tc>
          <w:tcPr>
            <w:tcW w:w="1700" w:type="dxa"/>
            <w:vAlign w:val="bottom"/>
            <w:tcBorders>
              <w:bottom w:val="single" w:sz="8" w:color="0000EE"/>
            </w:tcBorders>
            <w:gridSpan w:val="6"/>
          </w:tcPr>
          <w:p>
            <w:pPr>
              <w:spacing w:after="0" w:line="204" w:lineRule="exact"/>
              <w:rPr>
                <w:rFonts w:ascii="Times New Roman" w:cs="Times New Roman" w:eastAsia="Times New Roman" w:hAnsi="Times New Roman"/>
                <w:sz w:val="18"/>
                <w:szCs w:val="18"/>
                <w:color w:val="0000EE"/>
                <w:w w:val="94"/>
              </w:rPr>
            </w:pPr>
            <w:hyperlink w:anchor="page33">
              <w:r>
                <w:rPr>
                  <w:rFonts w:ascii="Times New Roman" w:cs="Times New Roman" w:eastAsia="Times New Roman" w:hAnsi="Times New Roman"/>
                  <w:sz w:val="18"/>
                  <w:szCs w:val="18"/>
                  <w:color w:val="0000EE"/>
                  <w:w w:val="94"/>
                </w:rPr>
                <w:t>Controls and Procedures</w:t>
              </w:r>
            </w:hyperlink>
          </w:p>
        </w:tc>
        <w:tc>
          <w:tcPr>
            <w:tcW w:w="8200" w:type="dxa"/>
            <w:vAlign w:val="bottom"/>
            <w:gridSpan w:val="15"/>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27"/>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4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4"/>
              </w:rPr>
            </w:pPr>
            <w:hyperlink w:anchor="page34">
              <w:r>
                <w:rPr>
                  <w:rFonts w:ascii="Times New Roman" w:cs="Times New Roman" w:eastAsia="Times New Roman" w:hAnsi="Times New Roman"/>
                  <w:sz w:val="18"/>
                  <w:szCs w:val="18"/>
                  <w:b w:val="1"/>
                  <w:bCs w:val="1"/>
                  <w:color w:val="0000EE"/>
                  <w:w w:val="94"/>
                </w:rPr>
                <w:t>OTHER INFORMATION</w:t>
              </w:r>
            </w:hyperlink>
          </w:p>
        </w:tc>
        <w:tc>
          <w:tcPr>
            <w:tcW w:w="7960" w:type="dxa"/>
            <w:vAlign w:val="bottom"/>
            <w:gridSpan w:val="14"/>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900" w:type="dxa"/>
            <w:vAlign w:val="bottom"/>
            <w:gridSpan w:val="21"/>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Legal Proceedings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4"/>
        </w:trPr>
        <w:tc>
          <w:tcPr>
            <w:tcW w:w="9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1A.</w:t>
            </w:r>
          </w:p>
        </w:tc>
        <w:tc>
          <w:tcPr>
            <w:tcW w:w="1260" w:type="dxa"/>
            <w:vAlign w:val="bottom"/>
            <w:tcBorders>
              <w:top w:val="single" w:sz="8" w:color="0000EE"/>
            </w:tcBorders>
            <w:gridSpan w:val="4"/>
          </w:tcPr>
          <w:p>
            <w:pPr>
              <w:spacing w:after="0" w:line="204"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Risk Factors</w:t>
              </w:r>
            </w:hyperlink>
          </w:p>
        </w:tc>
        <w:tc>
          <w:tcPr>
            <w:tcW w:w="8640" w:type="dxa"/>
            <w:vAlign w:val="bottom"/>
            <w:gridSpan w:val="17"/>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2.</w:t>
            </w:r>
          </w:p>
        </w:tc>
        <w:tc>
          <w:tcPr>
            <w:tcW w:w="9900" w:type="dxa"/>
            <w:vAlign w:val="bottom"/>
            <w:gridSpan w:val="21"/>
          </w:tcPr>
          <w:p>
            <w:pPr>
              <w:spacing w:after="0" w:line="204"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Unregistered Sales of Equity Securities and Use of Proceeds</w:t>
              </w:r>
            </w:hyperlink>
          </w:p>
        </w:tc>
        <w:tc>
          <w:tcPr>
            <w:tcW w:w="5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4"/>
        </w:trPr>
        <w:tc>
          <w:tcPr>
            <w:tcW w:w="9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3.</w:t>
            </w:r>
          </w:p>
        </w:tc>
        <w:tc>
          <w:tcPr>
            <w:tcW w:w="4200" w:type="dxa"/>
            <w:vAlign w:val="bottom"/>
            <w:tcBorders>
              <w:top w:val="single" w:sz="8" w:color="0000EE"/>
            </w:tcBorders>
            <w:gridSpan w:val="17"/>
          </w:tcPr>
          <w:p>
            <w:pPr>
              <w:spacing w:after="0" w:line="204"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Defaults Upon Senior Securities</w:t>
              </w:r>
            </w:hyperlink>
          </w:p>
        </w:tc>
        <w:tc>
          <w:tcPr>
            <w:tcW w:w="5700" w:type="dxa"/>
            <w:vAlign w:val="bottom"/>
            <w:gridSpan w:val="4"/>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4"/>
        </w:trPr>
        <w:tc>
          <w:tcPr>
            <w:tcW w:w="9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4.</w:t>
            </w:r>
          </w:p>
        </w:tc>
        <w:tc>
          <w:tcPr>
            <w:tcW w:w="2220" w:type="dxa"/>
            <w:vAlign w:val="bottom"/>
            <w:tcBorders>
              <w:top w:val="single" w:sz="8" w:color="0000EE"/>
            </w:tcBorders>
            <w:gridSpan w:val="9"/>
          </w:tcPr>
          <w:p>
            <w:pPr>
              <w:spacing w:after="0" w:line="204"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Mine Safety Disclosures</w:t>
              </w:r>
            </w:hyperlink>
          </w:p>
        </w:tc>
        <w:tc>
          <w:tcPr>
            <w:tcW w:w="7680" w:type="dxa"/>
            <w:vAlign w:val="bottom"/>
            <w:gridSpan w:val="12"/>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4"/>
        </w:trPr>
        <w:tc>
          <w:tcPr>
            <w:tcW w:w="9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5.</w:t>
            </w:r>
          </w:p>
        </w:tc>
        <w:tc>
          <w:tcPr>
            <w:tcW w:w="1680" w:type="dxa"/>
            <w:vAlign w:val="bottom"/>
            <w:tcBorders>
              <w:top w:val="single" w:sz="8" w:color="0000EE"/>
            </w:tcBorders>
            <w:gridSpan w:val="5"/>
          </w:tcPr>
          <w:p>
            <w:pPr>
              <w:spacing w:after="0" w:line="204"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Other Information</w:t>
              </w:r>
            </w:hyperlink>
          </w:p>
        </w:tc>
        <w:tc>
          <w:tcPr>
            <w:tcW w:w="8220" w:type="dxa"/>
            <w:vAlign w:val="bottom"/>
            <w:gridSpan w:val="16"/>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4"/>
        </w:trPr>
        <w:tc>
          <w:tcPr>
            <w:tcW w:w="9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6.</w:t>
            </w:r>
          </w:p>
        </w:tc>
        <w:tc>
          <w:tcPr>
            <w:tcW w:w="1240" w:type="dxa"/>
            <w:vAlign w:val="bottom"/>
            <w:tcBorders>
              <w:top w:val="single" w:sz="8" w:color="0000EE"/>
            </w:tcBorders>
            <w:gridSpan w:val="3"/>
          </w:tcPr>
          <w:p>
            <w:pPr>
              <w:spacing w:after="0" w:line="204"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Exhibits</w:t>
              </w:r>
            </w:hyperlink>
          </w:p>
        </w:tc>
        <w:tc>
          <w:tcPr>
            <w:tcW w:w="8660" w:type="dxa"/>
            <w:vAlign w:val="bottom"/>
            <w:gridSpan w:val="18"/>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27"/>
        </w:trPr>
        <w:tc>
          <w:tcPr>
            <w:tcW w:w="960" w:type="dxa"/>
            <w:vAlign w:val="bottom"/>
            <w:gridSpan w:val="2"/>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Signatures</w:t>
              </w:r>
            </w:hyperlink>
          </w:p>
        </w:tc>
        <w:tc>
          <w:tcPr>
            <w:tcW w:w="5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900" w:type="dxa"/>
            <w:vAlign w:val="bottom"/>
            <w:gridSpan w:val="2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10860" w:type="dxa"/>
            <w:vAlign w:val="bottom"/>
            <w:gridSpan w:val="23"/>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Exhibit Index</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 except par value)</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60" w:type="dxa"/>
            <w:vAlign w:val="bottom"/>
          </w:tcPr>
          <w:p>
            <w:pPr>
              <w:spacing w:after="0"/>
              <w:rPr>
                <w:sz w:val="13"/>
                <w:szCs w:val="13"/>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FF0FC"/>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360" w:type="dxa"/>
            <w:vAlign w:val="bottom"/>
            <w:tcBorders>
              <w:top w:val="single" w:sz="8" w:color="auto"/>
            </w:tcBorders>
            <w:shd w:val="clear" w:color="auto" w:fill="CFF0FC"/>
          </w:tcPr>
          <w:p>
            <w:pPr>
              <w:spacing w:after="0"/>
              <w:rPr>
                <w:sz w:val="21"/>
                <w:szCs w:val="21"/>
                <w:color w:val="auto"/>
              </w:rPr>
            </w:pPr>
          </w:p>
        </w:tc>
        <w:tc>
          <w:tcPr>
            <w:tcW w:w="280" w:type="dxa"/>
            <w:vAlign w:val="bottom"/>
            <w:tcBorders>
              <w:top w:val="single" w:sz="8" w:color="CFF0FC"/>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42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investments</w:t>
            </w:r>
          </w:p>
        </w:tc>
        <w:tc>
          <w:tcPr>
            <w:tcW w:w="4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6,127,422</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Accumulated depreciation - real estate investments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(3,806,298)</w:t>
            </w: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(3,720,890)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real estate investments</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2,321,124</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2,372,651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165,340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Straight-line rent receivable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spacing w:after="0"/>
              <w:rPr>
                <w:sz w:val="22"/>
                <w:szCs w:val="22"/>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2,517,915</w:t>
            </w:r>
          </w:p>
        </w:tc>
        <w:tc>
          <w:tcPr>
            <w:tcW w:w="2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2,542,636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00" w:type="dxa"/>
            <w:vAlign w:val="bottom"/>
            <w:tcBorders>
              <w:top w:val="single" w:sz="8" w:color="CFF0FC"/>
            </w:tcBorders>
            <w:shd w:val="clear" w:color="auto" w:fill="CFF0FC"/>
          </w:tcPr>
          <w:p>
            <w:pPr>
              <w:spacing w:after="0"/>
              <w:rPr>
                <w:sz w:val="24"/>
                <w:szCs w:val="24"/>
                <w:color w:val="auto"/>
              </w:rPr>
            </w:pPr>
          </w:p>
        </w:tc>
        <w:tc>
          <w:tcPr>
            <w:tcW w:w="200" w:type="dxa"/>
            <w:vAlign w:val="bottom"/>
            <w:tcBorders>
              <w:top w:val="single" w:sz="8" w:color="auto"/>
            </w:tcBorders>
            <w:shd w:val="clear" w:color="auto" w:fill="CFF0FC"/>
          </w:tcPr>
          <w:p>
            <w:pPr>
              <w:spacing w:after="0"/>
              <w:rPr>
                <w:sz w:val="24"/>
                <w:szCs w:val="24"/>
                <w:color w:val="auto"/>
              </w:rPr>
            </w:pPr>
          </w:p>
        </w:tc>
        <w:tc>
          <w:tcPr>
            <w:tcW w:w="1360" w:type="dxa"/>
            <w:vAlign w:val="bottom"/>
            <w:tcBorders>
              <w:top w:val="single" w:sz="8" w:color="auto"/>
            </w:tcBorders>
            <w:shd w:val="clear" w:color="auto" w:fill="CFF0FC"/>
          </w:tcPr>
          <w:p>
            <w:pPr>
              <w:spacing w:after="0"/>
              <w:rPr>
                <w:sz w:val="24"/>
                <w:szCs w:val="24"/>
                <w:color w:val="auto"/>
              </w:rPr>
            </w:pPr>
          </w:p>
        </w:tc>
        <w:tc>
          <w:tcPr>
            <w:tcW w:w="280" w:type="dxa"/>
            <w:vAlign w:val="bottom"/>
            <w:tcBorders>
              <w:top w:val="single" w:sz="8" w:color="CFF0FC"/>
            </w:tcBorders>
            <w:shd w:val="clear" w:color="auto" w:fill="CFF0FC"/>
          </w:tcPr>
          <w:p>
            <w:pPr>
              <w:spacing w:after="0"/>
              <w:rPr>
                <w:sz w:val="24"/>
                <w:szCs w:val="24"/>
                <w:color w:val="auto"/>
              </w:rPr>
            </w:pPr>
          </w:p>
        </w:tc>
        <w:tc>
          <w:tcPr>
            <w:tcW w:w="160" w:type="dxa"/>
            <w:vAlign w:val="bottom"/>
            <w:tcBorders>
              <w:top w:val="single" w:sz="8" w:color="auto"/>
            </w:tcBorders>
            <w:shd w:val="clear" w:color="auto" w:fill="CFF0FC"/>
          </w:tcPr>
          <w:p>
            <w:pPr>
              <w:spacing w:after="0"/>
              <w:rPr>
                <w:sz w:val="24"/>
                <w:szCs w:val="24"/>
                <w:color w:val="auto"/>
              </w:rPr>
            </w:pPr>
          </w:p>
        </w:tc>
        <w:tc>
          <w:tcPr>
            <w:tcW w:w="1420" w:type="dxa"/>
            <w:vAlign w:val="bottom"/>
            <w:tcBorders>
              <w:top w:val="single" w:sz="8" w:color="auto"/>
            </w:tcBorders>
            <w:shd w:val="clear" w:color="auto" w:fill="CFF0FC"/>
          </w:tcPr>
          <w:p>
            <w:pPr>
              <w:spacing w:after="0"/>
              <w:rPr>
                <w:sz w:val="24"/>
                <w:szCs w:val="24"/>
                <w:color w:val="auto"/>
              </w:rPr>
            </w:pPr>
          </w:p>
        </w:tc>
        <w:tc>
          <w:tcPr>
            <w:tcW w:w="120" w:type="dxa"/>
            <w:vAlign w:val="bottom"/>
            <w:tcBorders>
              <w:top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4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53,340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99,260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Derivative liability</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45,869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payable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Notes and other debt, net</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3,503,642</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3,505,228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3,806,826</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3,709,542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Preferred stock, $0.0001 par value, 50,000 shares authorized, no shares issued and outstanding</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60" w:type="dxa"/>
            <w:vAlign w:val="bottom"/>
          </w:tcPr>
          <w:p>
            <w:pPr>
              <w:ind w:left="220"/>
              <w:spacing w:after="0" w:line="205" w:lineRule="exact"/>
              <w:rPr>
                <w:sz w:val="20"/>
                <w:szCs w:val="20"/>
                <w:color w:val="auto"/>
              </w:rPr>
            </w:pPr>
            <w:r>
              <w:rPr>
                <w:rFonts w:ascii="Times New Roman" w:cs="Times New Roman" w:eastAsia="Times New Roman" w:hAnsi="Times New Roman"/>
                <w:sz w:val="18"/>
                <w:szCs w:val="18"/>
                <w:color w:val="auto"/>
                <w:w w:val="98"/>
              </w:rPr>
              <w:t>Common stock, $0.0001 par value, 500,000 shares authorized, issued and outstanding: 150,034 shares at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March 31, 2016 and 149,862 at December 31, 2015</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(45,789)</w:t>
            </w:r>
          </w:p>
        </w:tc>
        <w:tc>
          <w:tcPr>
            <w:tcW w:w="16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(5,427)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Distributions in excess of accumulated earnings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(1,246,544)</w:t>
            </w: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(1,162,886)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6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20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(1,288,911)</w:t>
            </w:r>
          </w:p>
        </w:tc>
        <w:tc>
          <w:tcPr>
            <w:tcW w:w="2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(1,166,906)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2,517,915</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2,542,636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580" w:type="dxa"/>
            <w:vAlign w:val="bottom"/>
            <w:gridSpan w:val="2"/>
          </w:tcPr>
          <w:p>
            <w:pPr>
              <w:jc w:val="center"/>
              <w:ind w:left="2712"/>
              <w:spacing w:after="0"/>
              <w:rPr>
                <w:sz w:val="20"/>
                <w:szCs w:val="20"/>
                <w:color w:val="auto"/>
              </w:rPr>
            </w:pPr>
            <w:r>
              <w:rPr>
                <w:rFonts w:ascii="Times New Roman" w:cs="Times New Roman" w:eastAsia="Times New Roman" w:hAnsi="Times New Roman"/>
                <w:sz w:val="18"/>
                <w:szCs w:val="18"/>
                <w:b w:val="1"/>
                <w:bCs w:val="1"/>
                <w:color w:val="auto"/>
                <w:w w:val="97"/>
              </w:rPr>
              <w:t>Communications Sales &amp; Leasing, Inc.</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gridSpan w:val="2"/>
          </w:tcPr>
          <w:p>
            <w:pPr>
              <w:jc w:val="center"/>
              <w:ind w:left="2732"/>
              <w:spacing w:after="0"/>
              <w:rPr>
                <w:sz w:val="20"/>
                <w:szCs w:val="20"/>
                <w:color w:val="auto"/>
              </w:rPr>
            </w:pPr>
            <w:r>
              <w:rPr>
                <w:rFonts w:ascii="Times New Roman" w:cs="Times New Roman" w:eastAsia="Times New Roman" w:hAnsi="Times New Roman"/>
                <w:sz w:val="18"/>
                <w:szCs w:val="18"/>
                <w:b w:val="1"/>
                <w:bCs w:val="1"/>
                <w:color w:val="auto"/>
                <w:w w:val="97"/>
              </w:rPr>
              <w:t>Condensed Consolidated Statement of Income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gridSpan w:val="2"/>
          </w:tcPr>
          <w:p>
            <w:pPr>
              <w:jc w:val="center"/>
              <w:ind w:left="2732"/>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21"/>
        </w:trPr>
        <w:tc>
          <w:tcPr>
            <w:tcW w:w="8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2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Rental revenues</w:t>
            </w:r>
          </w:p>
        </w:tc>
        <w:tc>
          <w:tcPr>
            <w:tcW w:w="40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Consumer CLEC</w:t>
            </w: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Operating expense</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tcBorders>
              <w:bottom w:val="single" w:sz="8" w:color="CFF0FC"/>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57"/>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 applicable to common shareholders</w:t>
            </w:r>
          </w:p>
        </w:tc>
        <w:tc>
          <w:tcPr>
            <w:tcW w:w="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2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4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gridSpan w:val="2"/>
            <w:shd w:val="clear" w:color="auto" w:fill="CFF0FC"/>
          </w:tcPr>
          <w:p>
            <w:pPr>
              <w:jc w:val="right"/>
              <w:ind w:right="218"/>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Borders>
              <w:top w:val="single" w:sz="8" w:color="CFF0FC"/>
              <w:bottom w:val="single" w:sz="8" w:color="CFF0FC"/>
            </w:tcBorders>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580" w:type="dxa"/>
            <w:vAlign w:val="bottom"/>
            <w:tcBorders>
              <w:bottom w:val="single" w:sz="8" w:color="CFF0FC"/>
            </w:tcBorders>
            <w:gridSpan w:val="2"/>
            <w:vMerge w:val="continue"/>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2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149,918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580" w:type="dxa"/>
            <w:vAlign w:val="bottom"/>
            <w:tcBorders>
              <w:bottom w:val="single" w:sz="8" w:color="CFF0FC"/>
            </w:tcBorders>
            <w:gridSpan w:val="2"/>
            <w:vMerge w:val="continue"/>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149,984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400" w:type="dxa"/>
            <w:vAlign w:val="bottom"/>
            <w:tcBorders>
              <w:bottom w:val="single" w:sz="8" w:color="auto"/>
            </w:tcBorders>
            <w:gridSpan w:val="2"/>
          </w:tcPr>
          <w:p>
            <w:pPr>
              <w:jc w:val="right"/>
              <w:ind w:right="218"/>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29234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Comprehensive Income (Loss)</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150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15049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 income:</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Unrealized loss on derivative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142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142240"/>
                    </a:xfrm>
                    <a:prstGeom prst="rect">
                      <a:avLst/>
                    </a:prstGeom>
                    <a:noFill/>
                  </pic:spPr>
                </pic:pic>
              </a:graphicData>
            </a:graphic>
          </wp:anchor>
        </w:drawing>
      </w:r>
    </w:p>
    <w:p>
      <w:pPr>
        <w:spacing w:after="0" w:line="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Changes in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150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15049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155575</wp:posOffset>
            </wp:positionV>
            <wp:extent cx="7250430" cy="158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 2016</w:t>
      </w:r>
    </w:p>
    <w:p>
      <w:pPr>
        <w:spacing w:after="0" w:line="24"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8,036</w:t>
      </w: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(40,442)</w:t>
      </w:r>
    </w:p>
    <w:p>
      <w:pPr>
        <w:spacing w:after="0" w:line="2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80</w:t>
      </w:r>
    </w:p>
    <w:p>
      <w:pPr>
        <w:spacing w:after="0" w:line="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(40,362)</w:t>
      </w:r>
    </w:p>
    <w:p>
      <w:pPr>
        <w:spacing w:after="0" w:line="253"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(32,326)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1544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60" w:space="720"/>
            <w:col w:w="2500"/>
          </w:cols>
          <w:pgMar w:left="240" w:top="121"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380"/>
          </w:cols>
          <w:pgMar w:left="240" w:top="121"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29234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Deficit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7"/>
              </w:rPr>
              <w:t>Accumulated</w:t>
            </w:r>
          </w:p>
        </w:tc>
        <w:tc>
          <w:tcPr>
            <w:tcW w:w="8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Distributions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Additional</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Other</w:t>
            </w:r>
          </w:p>
        </w:tc>
        <w:tc>
          <w:tcPr>
            <w:tcW w:w="80" w:type="dxa"/>
            <w:vAlign w:val="bottom"/>
          </w:tcPr>
          <w:p>
            <w:pPr>
              <w:spacing w:after="0"/>
              <w:rPr>
                <w:sz w:val="18"/>
                <w:szCs w:val="18"/>
                <w:color w:val="auto"/>
              </w:rPr>
            </w:pPr>
          </w:p>
        </w:tc>
        <w:tc>
          <w:tcPr>
            <w:tcW w:w="1180" w:type="dxa"/>
            <w:vAlign w:val="bottom"/>
            <w:gridSpan w:val="3"/>
          </w:tcPr>
          <w:p>
            <w:pPr>
              <w:jc w:val="right"/>
              <w:ind w:right="198"/>
              <w:spacing w:after="0"/>
              <w:rPr>
                <w:sz w:val="20"/>
                <w:szCs w:val="20"/>
                <w:color w:val="auto"/>
              </w:rPr>
            </w:pPr>
            <w:r>
              <w:rPr>
                <w:rFonts w:ascii="Times New Roman" w:cs="Times New Roman" w:eastAsia="Times New Roman" w:hAnsi="Times New Roman"/>
                <w:sz w:val="18"/>
                <w:szCs w:val="18"/>
                <w:color w:val="auto"/>
                <w:w w:val="99"/>
              </w:rPr>
              <w:t>in Excess of</w:t>
            </w:r>
          </w:p>
        </w:tc>
        <w:tc>
          <w:tcPr>
            <w:tcW w:w="140" w:type="dxa"/>
            <w:vAlign w:val="bottom"/>
          </w:tcPr>
          <w:p>
            <w:pPr>
              <w:spacing w:after="0"/>
              <w:rPr>
                <w:sz w:val="18"/>
                <w:szCs w:val="18"/>
                <w:color w:val="auto"/>
              </w:rPr>
            </w:pPr>
          </w:p>
        </w:tc>
        <w:tc>
          <w:tcPr>
            <w:tcW w:w="92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6"/>
              </w:rPr>
              <w:t>Paid-in</w:t>
            </w: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Comprehensive</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Accumulated</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w:t>
            </w:r>
          </w:p>
        </w:tc>
      </w:tr>
      <w:tr>
        <w:trPr>
          <w:trHeight w:val="229"/>
        </w:trPr>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5"/>
          </w:tcPr>
          <w:p>
            <w:pPr>
              <w:jc w:val="right"/>
              <w:ind w:right="132"/>
              <w:spacing w:after="0"/>
              <w:rPr>
                <w:sz w:val="20"/>
                <w:szCs w:val="20"/>
                <w:color w:val="auto"/>
              </w:rPr>
            </w:pPr>
            <w:r>
              <w:rPr>
                <w:rFonts w:ascii="Times New Roman" w:cs="Times New Roman" w:eastAsia="Times New Roman" w:hAnsi="Times New Roman"/>
                <w:sz w:val="18"/>
                <w:szCs w:val="18"/>
                <w:color w:val="auto"/>
              </w:rPr>
              <w:t>Preferred Stock</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5"/>
          </w:tcPr>
          <w:p>
            <w:pPr>
              <w:jc w:val="right"/>
              <w:ind w:right="52"/>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6"/>
              </w:rPr>
              <w:t>Capital</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3"/>
              </w:rPr>
              <w:t>Loss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w w:val="99"/>
              </w:rPr>
              <w:t>Earnings</w:t>
            </w:r>
          </w:p>
        </w:tc>
        <w:tc>
          <w:tcPr>
            <w:tcW w:w="140" w:type="dxa"/>
            <w:vAlign w:val="bottom"/>
          </w:tcPr>
          <w:p>
            <w:pPr>
              <w:spacing w:after="0"/>
              <w:rPr>
                <w:sz w:val="19"/>
                <w:szCs w:val="19"/>
                <w:color w:val="auto"/>
              </w:rPr>
            </w:pPr>
          </w:p>
        </w:tc>
        <w:tc>
          <w:tcPr>
            <w:tcW w:w="92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Deficit</w:t>
            </w:r>
          </w:p>
        </w:tc>
      </w:tr>
      <w:tr>
        <w:trPr>
          <w:trHeight w:val="178"/>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 except share data)</w:t>
            </w: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line="164" w:lineRule="exact"/>
              <w:rPr>
                <w:sz w:val="20"/>
                <w:szCs w:val="20"/>
                <w:color w:val="auto"/>
              </w:rPr>
            </w:pPr>
            <w:r>
              <w:rPr>
                <w:rFonts w:ascii="Times New Roman" w:cs="Times New Roman" w:eastAsia="Times New Roman" w:hAnsi="Times New Roman"/>
                <w:sz w:val="18"/>
                <w:szCs w:val="18"/>
                <w:color w:val="auto"/>
                <w:w w:val="91"/>
              </w:rPr>
              <w:t>Shares</w:t>
            </w:r>
          </w:p>
        </w:tc>
        <w:tc>
          <w:tcPr>
            <w:tcW w:w="360" w:type="dxa"/>
            <w:vAlign w:val="bottom"/>
            <w:tcBorders>
              <w:top w:val="single" w:sz="8" w:color="auto"/>
              <w:bottom w:val="single" w:sz="8" w:color="auto"/>
            </w:tcBorders>
            <w:gridSpan w:val="2"/>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w w:val="94"/>
              </w:rPr>
              <w:t>Amount</w:t>
            </w:r>
          </w:p>
        </w:tc>
        <w:tc>
          <w:tcPr>
            <w:tcW w:w="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line="164" w:lineRule="exact"/>
              <w:rPr>
                <w:sz w:val="20"/>
                <w:szCs w:val="20"/>
                <w:color w:val="auto"/>
              </w:rPr>
            </w:pPr>
            <w:r>
              <w:rPr>
                <w:rFonts w:ascii="Times New Roman" w:cs="Times New Roman" w:eastAsia="Times New Roman" w:hAnsi="Times New Roman"/>
                <w:sz w:val="18"/>
                <w:szCs w:val="18"/>
                <w:color w:val="auto"/>
                <w:w w:val="95"/>
              </w:rPr>
              <w:t>Shares</w:t>
            </w:r>
          </w:p>
        </w:tc>
        <w:tc>
          <w:tcPr>
            <w:tcW w:w="500" w:type="dxa"/>
            <w:vAlign w:val="bottom"/>
            <w:tcBorders>
              <w:top w:val="single" w:sz="8" w:color="auto"/>
              <w:bottom w:val="single" w:sz="8" w:color="auto"/>
            </w:tcBorders>
            <w:gridSpan w:val="2"/>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gridSpan w:val="2"/>
          </w:tcPr>
          <w:p>
            <w:pPr>
              <w:spacing w:after="0" w:line="164" w:lineRule="exact"/>
              <w:rPr>
                <w:sz w:val="20"/>
                <w:szCs w:val="20"/>
                <w:color w:val="auto"/>
              </w:rPr>
            </w:pPr>
            <w:r>
              <w:rPr>
                <w:rFonts w:ascii="Times New Roman" w:cs="Times New Roman" w:eastAsia="Times New Roman" w:hAnsi="Times New Roman"/>
                <w:sz w:val="18"/>
                <w:szCs w:val="18"/>
                <w:color w:val="auto"/>
                <w:w w:val="94"/>
              </w:rPr>
              <w:t>Amount</w:t>
            </w:r>
          </w:p>
        </w:tc>
        <w:tc>
          <w:tcPr>
            <w:tcW w:w="80" w:type="dxa"/>
            <w:vAlign w:val="bottom"/>
            <w:tcBorders>
              <w:top w:val="single" w:sz="8" w:color="auto"/>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66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8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16"/>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12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149,862,459</w:t>
            </w:r>
          </w:p>
        </w:tc>
        <w:tc>
          <w:tcPr>
            <w:tcW w:w="2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52"/>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4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(5,427)</w:t>
            </w: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(1,162,886)</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(1,166,906)</w:t>
            </w:r>
          </w:p>
        </w:tc>
      </w:tr>
      <w:tr>
        <w:trPr>
          <w:trHeight w:val="22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00" w:type="dxa"/>
            <w:vAlign w:val="bottom"/>
          </w:tcPr>
          <w:p>
            <w:pPr>
              <w:spacing w:after="0"/>
              <w:rPr>
                <w:sz w:val="19"/>
                <w:szCs w:val="19"/>
                <w:color w:val="auto"/>
              </w:rPr>
            </w:pPr>
          </w:p>
        </w:tc>
      </w:tr>
      <w:tr>
        <w:trPr>
          <w:trHeight w:val="205"/>
        </w:trPr>
        <w:tc>
          <w:tcPr>
            <w:tcW w:w="2780" w:type="dxa"/>
            <w:vAlign w:val="bottom"/>
            <w:gridSpan w:val="2"/>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Equity consideration related to</w:t>
            </w: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9"/>
        </w:trPr>
        <w:tc>
          <w:tcPr>
            <w:tcW w:w="2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Summit Wireless acquisition</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FF0FC"/>
          </w:tcPr>
          <w:p>
            <w:pPr>
              <w:spacing w:after="0"/>
              <w:rPr>
                <w:sz w:val="19"/>
                <w:szCs w:val="19"/>
                <w:color w:val="auto"/>
              </w:rPr>
            </w:pPr>
          </w:p>
        </w:tc>
      </w:tr>
      <w:tr>
        <w:trPr>
          <w:trHeight w:val="22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(40,362)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(40,362)</w:t>
            </w:r>
          </w:p>
        </w:tc>
      </w:tr>
      <w:tr>
        <w:trPr>
          <w:trHeight w:val="224"/>
        </w:trPr>
        <w:tc>
          <w:tcPr>
            <w:tcW w:w="2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dividends</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(90,428)</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(90,428)</w:t>
            </w:r>
          </w:p>
        </w:tc>
      </w:tr>
      <w:tr>
        <w:trPr>
          <w:trHeight w:val="22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share settlement (Note 9)</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(1,266)</w:t>
            </w: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24"/>
        </w:trPr>
        <w:tc>
          <w:tcPr>
            <w:tcW w:w="2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171,785</w:t>
            </w:r>
          </w:p>
        </w:tc>
        <w:tc>
          <w:tcPr>
            <w:tcW w:w="2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FF0FC"/>
          </w:tcPr>
          <w:p>
            <w:pPr>
              <w:spacing w:after="0"/>
              <w:rPr>
                <w:sz w:val="19"/>
                <w:szCs w:val="19"/>
                <w:color w:val="auto"/>
              </w:rPr>
            </w:pPr>
          </w:p>
        </w:tc>
      </w:tr>
      <w:tr>
        <w:trPr>
          <w:trHeight w:val="217"/>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2016</w:t>
            </w: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Borders>
              <w:bottom w:val="single" w:sz="8" w:color="auto"/>
            </w:tcBorders>
            <w:gridSpan w:val="2"/>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150,034,244</w:t>
            </w:r>
          </w:p>
        </w:tc>
        <w:tc>
          <w:tcPr>
            <w:tcW w:w="240" w:type="dxa"/>
            <w:vAlign w:val="bottom"/>
          </w:tcPr>
          <w:p>
            <w:pPr>
              <w:spacing w:after="0"/>
              <w:rPr>
                <w:sz w:val="18"/>
                <w:szCs w:val="18"/>
                <w:color w:val="auto"/>
              </w:rPr>
            </w:pPr>
          </w:p>
        </w:tc>
        <w:tc>
          <w:tcPr>
            <w:tcW w:w="420" w:type="dxa"/>
            <w:vAlign w:val="bottom"/>
            <w:tcBorders>
              <w:bottom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(1,246,544</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(1,288,911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000" w:type="dxa"/>
            <w:vAlign w:val="bottom"/>
            <w:gridSpan w:val="2"/>
          </w:tcPr>
          <w:p>
            <w:pPr>
              <w:jc w:val="center"/>
              <w:ind w:left="2292"/>
              <w:spacing w:after="0"/>
              <w:rPr>
                <w:sz w:val="20"/>
                <w:szCs w:val="20"/>
                <w:color w:val="auto"/>
              </w:rPr>
            </w:pPr>
            <w:r>
              <w:rPr>
                <w:rFonts w:ascii="Times New Roman" w:cs="Times New Roman" w:eastAsia="Times New Roman" w:hAnsi="Times New Roman"/>
                <w:sz w:val="18"/>
                <w:szCs w:val="18"/>
                <w:b w:val="1"/>
                <w:bCs w:val="1"/>
                <w:color w:val="auto"/>
                <w:w w:val="97"/>
              </w:rPr>
              <w:t>Communications Sales &amp; Leasing, Inc.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gridSpan w:val="2"/>
          </w:tcPr>
          <w:p>
            <w:pPr>
              <w:jc w:val="center"/>
              <w:ind w:left="2312"/>
              <w:spacing w:after="0"/>
              <w:rPr>
                <w:sz w:val="20"/>
                <w:szCs w:val="20"/>
                <w:color w:val="auto"/>
              </w:rPr>
            </w:pPr>
            <w:r>
              <w:rPr>
                <w:rFonts w:ascii="Times New Roman" w:cs="Times New Roman" w:eastAsia="Times New Roman" w:hAnsi="Times New Roman"/>
                <w:sz w:val="18"/>
                <w:szCs w:val="18"/>
                <w:b w:val="1"/>
                <w:bCs w:val="1"/>
                <w:color w:val="auto"/>
                <w:w w:val="97"/>
              </w:rPr>
              <w:t>Condensed Consolidated Statement of Cash Flows</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gridSpan w:val="2"/>
          </w:tcPr>
          <w:p>
            <w:pPr>
              <w:jc w:val="center"/>
              <w:ind w:left="2312"/>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21"/>
        </w:trPr>
        <w:tc>
          <w:tcPr>
            <w:tcW w:w="9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Pr>
          <w:p>
            <w:pPr>
              <w:spacing w:after="0"/>
              <w:rPr>
                <w:sz w:val="19"/>
                <w:szCs w:val="19"/>
                <w:color w:val="auto"/>
              </w:rPr>
            </w:pPr>
          </w:p>
        </w:tc>
        <w:tc>
          <w:tcPr>
            <w:tcW w:w="21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Straight-line rental revenues</w:t>
            </w:r>
          </w:p>
        </w:tc>
        <w:tc>
          <w:tcPr>
            <w:tcW w:w="300" w:type="dxa"/>
            <w:vAlign w:val="bottom"/>
          </w:tcPr>
          <w:p>
            <w:pPr>
              <w:spacing w:after="0"/>
              <w:rPr>
                <w:sz w:val="19"/>
                <w:szCs w:val="19"/>
                <w:color w:val="auto"/>
              </w:rPr>
            </w:pPr>
          </w:p>
        </w:tc>
        <w:tc>
          <w:tcPr>
            <w:tcW w:w="2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(4,322)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2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Changes in:</w:t>
            </w:r>
          </w:p>
        </w:tc>
        <w:tc>
          <w:tcPr>
            <w:tcW w:w="30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tcBorders>
              <w:bottom w:val="single" w:sz="8" w:color="CFF0FC"/>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9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30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300" w:type="dxa"/>
            <w:vAlign w:val="bottom"/>
          </w:tcPr>
          <w:p>
            <w:pPr>
              <w:spacing w:after="0"/>
              <w:rPr>
                <w:sz w:val="19"/>
                <w:szCs w:val="19"/>
                <w:color w:val="auto"/>
              </w:rPr>
            </w:pPr>
          </w:p>
        </w:tc>
        <w:tc>
          <w:tcPr>
            <w:tcW w:w="2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Acquisition of business, to include cash acquired</w:t>
            </w:r>
          </w:p>
        </w:tc>
        <w:tc>
          <w:tcPr>
            <w:tcW w:w="30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9"/>
                <w:szCs w:val="19"/>
                <w:color w:val="auto"/>
              </w:rPr>
            </w:pPr>
          </w:p>
        </w:tc>
        <w:tc>
          <w:tcPr>
            <w:tcW w:w="2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9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30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payment on debt</w:t>
            </w:r>
          </w:p>
        </w:tc>
        <w:tc>
          <w:tcPr>
            <w:tcW w:w="300" w:type="dxa"/>
            <w:vAlign w:val="bottom"/>
          </w:tcPr>
          <w:p>
            <w:pPr>
              <w:spacing w:after="0"/>
              <w:rPr>
                <w:sz w:val="19"/>
                <w:szCs w:val="19"/>
                <w:color w:val="auto"/>
              </w:rPr>
            </w:pPr>
          </w:p>
        </w:tc>
        <w:tc>
          <w:tcPr>
            <w:tcW w:w="2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(6,044)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share settlement (Note 9)</w:t>
            </w:r>
          </w:p>
        </w:tc>
        <w:tc>
          <w:tcPr>
            <w:tcW w:w="30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300" w:type="dxa"/>
            <w:vAlign w:val="bottom"/>
          </w:tcPr>
          <w:p>
            <w:pPr>
              <w:spacing w:after="0"/>
              <w:rPr>
                <w:sz w:val="19"/>
                <w:szCs w:val="19"/>
                <w:color w:val="auto"/>
              </w:rPr>
            </w:pPr>
          </w:p>
        </w:tc>
        <w:tc>
          <w:tcPr>
            <w:tcW w:w="2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(90,314)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top w:val="single" w:sz="8" w:color="auto"/>
            </w:tcBorders>
            <w:shd w:val="clear" w:color="auto" w:fill="CFF0FC"/>
          </w:tcPr>
          <w:p>
            <w:pPr>
              <w:spacing w:after="0"/>
              <w:rPr>
                <w:sz w:val="18"/>
                <w:szCs w:val="18"/>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(97,624)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8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9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300" w:type="dxa"/>
            <w:vAlign w:val="bottom"/>
            <w:tcBorders>
              <w:bottom w:val="single" w:sz="8" w:color="auto"/>
            </w:tcBorders>
            <w:shd w:val="clear" w:color="auto" w:fill="CFF0FC"/>
          </w:tcPr>
          <w:p>
            <w:pPr>
              <w:spacing w:after="0"/>
              <w:rPr>
                <w:sz w:val="19"/>
                <w:szCs w:val="19"/>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9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165,340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tcPr>
          <w:p>
            <w:pPr>
              <w:spacing w:after="0"/>
              <w:rPr>
                <w:sz w:val="17"/>
                <w:szCs w:val="17"/>
                <w:color w:val="auto"/>
              </w:rPr>
            </w:pPr>
          </w:p>
        </w:tc>
        <w:tc>
          <w:tcPr>
            <w:tcW w:w="8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9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0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8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9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00" w:type="dxa"/>
            <w:vAlign w:val="bottom"/>
            <w:shd w:val="clear" w:color="auto" w:fill="CFF0FC"/>
          </w:tcPr>
          <w:p>
            <w:pPr>
              <w:spacing w:after="0"/>
              <w:rPr>
                <w:sz w:val="20"/>
                <w:szCs w:val="20"/>
                <w:color w:val="auto"/>
              </w:rPr>
            </w:pPr>
          </w:p>
        </w:tc>
        <w:tc>
          <w:tcPr>
            <w:tcW w:w="1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Accrual of dividends declared</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Tenant capital improvements</w:t>
            </w:r>
          </w:p>
        </w:tc>
        <w:tc>
          <w:tcPr>
            <w:tcW w:w="3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 of business through equity consideration</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11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CS&amp;L was incorporated in the state of Maryland on September 4, 2014 as a subsidiary of Windstream. In connection with the the Spin-Off, Windstream and CS&amp;L entered into a long-term, triple-net lease (the “Master Lease”) pursuant to which CS&amp;L leases the Distribution Systems to Windstream. The assets and liabilities of the Distribution Systems and Consumer CLEC Business were recorded in our Condensed Consolidated Financial Statements on a carryover basis as of the date of the Spin-Off.</w:t>
      </w:r>
    </w:p>
    <w:p>
      <w:pPr>
        <w:spacing w:after="0" w:line="18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CS&amp;L is an independent, internally managed real estate investment trust (“REIT”) engaged in the acquisition and construction of mission critical infrastructure in the communications industry. The Company is principally focused on acquiring and constructing fiber optic broadband networks, wireless communications towers, copper and coaxial broadband networks and data centers. With the acquisition of PEG Bandwidth LLC, the Company has also become a leading provider of infrastructure solutions to the telecommunications industry. Presently, CS&amp;L’s primary source of revenue is rental revenues from leasing the Distribution Systems to Windstream Holdings pursuant to the Master Lease. CS&amp;L intends to elect on our U.S. federal income tax return for the taxable year ending December 31, 2015 to be treated as a REIT.</w:t>
      </w:r>
    </w:p>
    <w:p>
      <w:pPr>
        <w:spacing w:after="0" w:line="19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Consumer CLEC Business, which was reported as an integrated operation within Windstream prior to the Spin-Off,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 We have elected to treat Talk America Services, LLC, an indirect, wholly-owned subsidiary of CS&amp;L (“Talk America”), through which we operate the Consumer CLEC Business as a “taxable REIT subsidiary” effective as of the first day of CS&amp;L’s initial REIT tax year.</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1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6"/>
          <w:szCs w:val="16"/>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Consolidated Financial Statements and related notes should be read in conjunction with the audited consolidated financial statements and notes thereto included in our Annual Report on Form 10-K for the year ended December 31, 2015 (“Annual Report”), filed with the SEC on March 7, 2016. Accordingly, significant accounting policies and other disclosures normally provided have been omitted since such items are disclosed in our Annual Report. All material intercompany balances and transactions have been eliminated.</w:t>
      </w:r>
    </w:p>
    <w:p>
      <w:pPr>
        <w:spacing w:after="0" w:line="36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—We currently have no liabilities for uncertain income tax positions. We have not yet filed our initial corporate tax return and therefore are not yet subject to examination.</w:t>
      </w:r>
    </w:p>
    <w:p>
      <w:pPr>
        <w:spacing w:after="0" w:line="16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u w:val="single" w:color="auto"/>
          <w:color w:val="auto"/>
        </w:rPr>
        <w:t>Business Combinations</w:t>
      </w: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we apply the acquisition method of accounting for acquisitions meeting the definition of a business combination, where assets acquired and liabilities assumed are recorded at fair value at the date of each acquisition, and the results of operations are included with those of the Company from the dates of the respective acquisitions. Any excess of the purchase price paid by the Company over the amounts recognized for assets acquired and liabilities assumed is recorded as goodwill. The Company continues to evaluate acquisitions for a period not to exceed one year after the applicable acquisition date of each transaction to determine whether any additional adjustments are needed to the allocation of the purchase price paid for the assets acquired and liabilities assumed.</w:t>
      </w:r>
    </w:p>
    <w:p>
      <w:pPr>
        <w:spacing w:after="0" w:line="125"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u w:val="single" w:color="auto"/>
          <w:color w:val="auto"/>
        </w:rPr>
        <w:t>Real Property Interests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During the quarter ended March 31, 2016, we initiated a program whereby we acquire real property interests from third parties owning land where communications infrastructure assets are located and who desired to monetize the underlying real property. These real property interests entitle us to receive rental payments from leases on our sites. The financial results of the acquired real property interests are included in the Leasing segment from the date of acquisition and were not material, individually or in the aggregate, to our results of operations. During the three months ended March 31, 2016, we invested approximately $1.3 million for the acquisition of real property interests which are recorded into real estate investments on our Condensed Consolidated Balance Sheet.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196"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u w:val="single" w:color="auto"/>
          <w:color w:val="auto"/>
        </w:rPr>
        <w:t>Foreign Currency Translation</w:t>
      </w:r>
      <w:r>
        <w:rPr>
          <w:rFonts w:ascii="Times New Roman" w:cs="Times New Roman" w:eastAsia="Times New Roman" w:hAnsi="Times New Roman"/>
          <w:sz w:val="18"/>
          <w:szCs w:val="18"/>
          <w:color w:val="auto"/>
        </w:rPr>
        <w:t>—The financial statements of our international subsidiaries whose functional currency is the local currency are translated into U.S. dollars using the exchange rate at the balance sheet date for assets and liabilities and the weighted average exchange rate for the applicable period for revenues, expenses, gains and losses. Translation adjustments are recorded as a separate component of comprehensive income in stockholders’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w:t>
      </w:r>
      <w:r>
        <w:rPr>
          <w:rFonts w:ascii="Times New Roman" w:cs="Times New Roman" w:eastAsia="Times New Roman" w:hAnsi="Times New Roman"/>
          <w:sz w:val="18"/>
          <w:szCs w:val="18"/>
          <w:color w:val="auto"/>
        </w:rPr>
        <w:t>—In May 2014, the Financial Accounting Standards Board (“FASB”) issued Accounting Standards Update (“ASU”)</w:t>
      </w:r>
    </w:p>
    <w:p>
      <w:pPr>
        <w:spacing w:after="0" w:line="2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 xml:space="preserve">No. 2014-09,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(“ASU 2014-09”). The standard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2017 and interim periods within those annual periods. Early adoption is permitted for public companies for annual periods beginning after December 15, 2016. </w:t>
      </w:r>
      <w:r>
        <w:rPr>
          <w:rFonts w:ascii="Times New Roman" w:cs="Times New Roman" w:eastAsia="Times New Roman" w:hAnsi="Times New Roman"/>
          <w:sz w:val="16"/>
          <w:szCs w:val="16"/>
          <w:color w:val="2F2F2F"/>
        </w:rPr>
        <w:t>The Company is in the process of evaluating this guidance to determine the impact it will have on our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w:t>
      </w:r>
      <w:r>
        <w:rPr>
          <w:rFonts w:ascii="Times New Roman" w:cs="Times New Roman" w:eastAsia="Times New Roman" w:hAnsi="Times New Roman"/>
          <w:sz w:val="18"/>
          <w:szCs w:val="18"/>
          <w:color w:val="2F2F2F"/>
        </w:rPr>
        <w:t>which sets out the principles for the recognition, measurement, presentation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F2F2F"/>
        </w:rPr>
        <w:t>disclosure of leases for both parties to a contract (i.e. lessees and lessors). The new standard requires lessees to apply a dual approach, classifying leases as either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finance or operating leases based on the principle of whether or not the lease is effectively a financed purchase by the lessee. This classification will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F2F2F"/>
        </w:rPr>
        <w:t xml:space="preserve">determine </w:t>
      </w:r>
      <w:r>
        <w:rPr>
          <w:rFonts w:ascii="Times New Roman" w:cs="Times New Roman" w:eastAsia="Times New Roman" w:hAnsi="Times New Roman"/>
          <w:sz w:val="16"/>
          <w:szCs w:val="16"/>
          <w:color w:val="000000"/>
        </w:rPr>
        <w:t>whether lease expense is recognized</w:t>
      </w:r>
      <w:r>
        <w:rPr>
          <w:rFonts w:ascii="Times New Roman" w:cs="Times New Roman" w:eastAsia="Times New Roman" w:hAnsi="Times New Roman"/>
          <w:sz w:val="16"/>
          <w:szCs w:val="16"/>
          <w:color w:val="2F2F2F"/>
        </w:rPr>
        <w:t xml:space="preserve"> based on an effective interest method </w:t>
      </w:r>
      <w:r>
        <w:rPr>
          <w:rFonts w:ascii="Times New Roman" w:cs="Times New Roman" w:eastAsia="Times New Roman" w:hAnsi="Times New Roman"/>
          <w:sz w:val="16"/>
          <w:szCs w:val="16"/>
          <w:color w:val="000000"/>
        </w:rPr>
        <w:t>or</w:t>
      </w:r>
      <w:r>
        <w:rPr>
          <w:rFonts w:ascii="Times New Roman" w:cs="Times New Roman" w:eastAsia="Times New Roman" w:hAnsi="Times New Roman"/>
          <w:sz w:val="16"/>
          <w:szCs w:val="16"/>
          <w:color w:val="2F2F2F"/>
        </w:rPr>
        <w:t xml:space="preserve"> on a straight line basis over the term of the lease, respectively. A lessee 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F2F2F"/>
        </w:rPr>
        <w:t>also required to record a right-of-use asset and a lease liability for all leases with a term of greater than 12 months regardless of their classification. Leases with 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F2F2F"/>
        </w:rPr>
        <w:t xml:space="preserve">term of 12 months or less will be accounted for similar to existing guidance for operating leases today. </w:t>
      </w:r>
      <w:r>
        <w:rPr>
          <w:rFonts w:ascii="Times New Roman" w:cs="Times New Roman" w:eastAsia="Times New Roman" w:hAnsi="Times New Roman"/>
          <w:sz w:val="16"/>
          <w:szCs w:val="16"/>
          <w:color w:val="000000"/>
        </w:rPr>
        <w:t>ASC 842 is effective for fiscal years and interim periods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beginning after December 15, 2018, and early adoption is permitted. The Company is in the </w:t>
      </w:r>
      <w:r>
        <w:rPr>
          <w:rFonts w:ascii="Times New Roman" w:cs="Times New Roman" w:eastAsia="Times New Roman" w:hAnsi="Times New Roman"/>
          <w:sz w:val="16"/>
          <w:szCs w:val="16"/>
          <w:color w:val="2F2F2F"/>
        </w:rPr>
        <w:t>process of evaluating this guidance to determine the impact it will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have on our financial statements.</w:t>
      </w:r>
    </w:p>
    <w:p>
      <w:pPr>
        <w:spacing w:after="0" w:line="19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(ASU 2016-09”) </w:t>
      </w:r>
      <w:r>
        <w:rPr>
          <w:rFonts w:ascii="Times New Roman" w:cs="Times New Roman" w:eastAsia="Times New Roman" w:hAnsi="Times New Roman"/>
          <w:sz w:val="18"/>
          <w:szCs w:val="18"/>
          <w:color w:val="2F2F2F"/>
        </w:rPr>
        <w:t>ASU 2016-09 simplifies several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F2F2F"/>
        </w:rPr>
        <w:t>aspects of the accounting for share-based payment transactions, including the income tax consequences, classification of awards as either equity or liabilities, and classification on the statement of cash flows. ASU 2016-09 is effective for fiscal years beginning after December 15, 2016, and interim periods within those fiscal years and early adoption is permitted. The Company is currently in the process of evaluating the impact of adoption of the ASU 2016-09 on its consolidated financial statements.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22, 2016, we acquired 100% of the outstanding equity of Summit Wireless Infrastructure LLC (“Summit”). Summit builds, owns and</w:t>
      </w:r>
    </w:p>
    <w:p>
      <w:pPr>
        <w:spacing w:after="0" w:line="21"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operates telecommunication infrastructure serving wireless carriers in Mexico. Consideration given to acquire Summit included performance-based shares of common equity valued at $1.1 million, which will vest in full on the third anniversary of closing subject to Summit meeting certain performance targets, and the assumption of Summit’s existing debt. The financial results of Summit are included in the Leasing segment from the date of acquisition and were not material, individually or in the aggregate, to our results of operations and therefore, pro forma financial information has not been presented.</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09"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 xml:space="preserve">FASB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1 </w:t>
      </w:r>
      <w:r>
        <w:rPr>
          <w:rFonts w:ascii="Times New Roman" w:cs="Times New Roman" w:eastAsia="Times New Roman" w:hAnsi="Times New Roman"/>
          <w:sz w:val="18"/>
          <w:szCs w:val="18"/>
          <w:color w:val="auto"/>
        </w:rPr>
        <w:t>– Quoted prices (unadjusted) in active markets for identical assets or liabilities that the reporting entity can access at the assessment date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2 </w:t>
      </w:r>
      <w:r>
        <w:rPr>
          <w:rFonts w:ascii="Times New Roman" w:cs="Times New Roman" w:eastAsia="Times New Roman" w:hAnsi="Times New Roman"/>
          <w:sz w:val="18"/>
          <w:szCs w:val="18"/>
          <w:color w:val="auto"/>
        </w:rPr>
        <w:t>– Inputs other than quoted prices included within Level 1 that are observable for the asset or liability, either directly or indirectly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3 </w:t>
      </w:r>
      <w:r>
        <w:rPr>
          <w:rFonts w:ascii="Times New Roman" w:cs="Times New Roman" w:eastAsia="Times New Roman" w:hAnsi="Times New Roman"/>
          <w:sz w:val="18"/>
          <w:szCs w:val="18"/>
          <w:color w:val="auto"/>
        </w:rPr>
        <w:t>– Unobservable inputs for the asset or liability</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196"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accounts and other receivables, a derivative liability, our outstanding notes and other debt, and accounts, interest and dividends payable.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our financial instruments at March 31, 2016 and December 31, 2015: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3"/>
                <w:szCs w:val="13"/>
                <w:color w:val="auto"/>
              </w:rPr>
            </w:pPr>
          </w:p>
        </w:tc>
        <w:tc>
          <w:tcPr>
            <w:tcW w:w="12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8"/>
              </w:rPr>
              <w:t>Prices with Other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Prices with</w:t>
            </w:r>
          </w:p>
        </w:tc>
        <w:tc>
          <w:tcPr>
            <w:tcW w:w="0" w:type="dxa"/>
            <w:vAlign w:val="bottom"/>
          </w:tcPr>
          <w:p>
            <w:pPr>
              <w:spacing w:after="0"/>
              <w:rPr>
                <w:sz w:val="1"/>
                <w:szCs w:val="1"/>
                <w:color w:val="auto"/>
              </w:rPr>
            </w:pPr>
          </w:p>
        </w:tc>
      </w:tr>
      <w:tr>
        <w:trPr>
          <w:trHeight w:val="145"/>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3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Active Markets</w:t>
            </w:r>
          </w:p>
        </w:tc>
        <w:tc>
          <w:tcPr>
            <w:tcW w:w="100" w:type="dxa"/>
            <w:vAlign w:val="bottom"/>
          </w:tcPr>
          <w:p>
            <w:pPr>
              <w:spacing w:after="0"/>
              <w:rPr>
                <w:sz w:val="12"/>
                <w:szCs w:val="12"/>
                <w:color w:val="auto"/>
              </w:rPr>
            </w:pPr>
          </w:p>
        </w:tc>
        <w:tc>
          <w:tcPr>
            <w:tcW w:w="1240" w:type="dxa"/>
            <w:vAlign w:val="bottom"/>
          </w:tcPr>
          <w:p>
            <w:pPr>
              <w:jc w:val="center"/>
              <w:ind w:right="37"/>
              <w:spacing w:after="0" w:line="14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3"/>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69"/>
        </w:trPr>
        <w:tc>
          <w:tcPr>
            <w:tcW w:w="5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Pr>
          <w:p>
            <w:pPr>
              <w:spacing w:after="0"/>
              <w:rPr>
                <w:sz w:val="14"/>
                <w:szCs w:val="14"/>
                <w:color w:val="auto"/>
              </w:rPr>
            </w:pPr>
          </w:p>
        </w:tc>
        <w:tc>
          <w:tcPr>
            <w:tcW w:w="12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At March 31, 2016</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165,340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165,340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166,172</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166,172</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Senior secured notes - 6.00%, due April 15, 2023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388,000</w:t>
            </w:r>
          </w:p>
        </w:tc>
        <w:tc>
          <w:tcPr>
            <w:tcW w:w="320" w:type="dxa"/>
            <w:vAlign w:val="bottom"/>
            <w:gridSpan w:val="3"/>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unsecured notes - 8.25%, due October 15, 2023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1,023,975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1,023,975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Senior secured term loan B - variable rate, due October 24, 2022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2,044,302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2,044,302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 liability</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Accounts, interest and dividends payable</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152,557</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152,557</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3,654,703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152,557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3,502,146</w:t>
            </w:r>
          </w:p>
        </w:tc>
        <w:tc>
          <w:tcPr>
            <w:tcW w:w="32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24"/>
                <w:szCs w:val="24"/>
                <w:color w:val="auto"/>
              </w:rPr>
            </w:pPr>
          </w:p>
        </w:tc>
        <w:tc>
          <w:tcPr>
            <w:tcW w:w="12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8"/>
              </w:rPr>
              <w:t>Prices with Other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Prices with</w:t>
            </w:r>
          </w:p>
        </w:tc>
        <w:tc>
          <w:tcPr>
            <w:tcW w:w="0" w:type="dxa"/>
            <w:vAlign w:val="bottom"/>
          </w:tcPr>
          <w:p>
            <w:pPr>
              <w:spacing w:after="0"/>
              <w:rPr>
                <w:sz w:val="1"/>
                <w:szCs w:val="1"/>
                <w:color w:val="auto"/>
              </w:rPr>
            </w:pPr>
          </w:p>
        </w:tc>
      </w:tr>
      <w:tr>
        <w:trPr>
          <w:trHeight w:val="145"/>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3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Active Markets</w:t>
            </w:r>
          </w:p>
        </w:tc>
        <w:tc>
          <w:tcPr>
            <w:tcW w:w="100" w:type="dxa"/>
            <w:vAlign w:val="bottom"/>
          </w:tcPr>
          <w:p>
            <w:pPr>
              <w:spacing w:after="0"/>
              <w:rPr>
                <w:sz w:val="12"/>
                <w:szCs w:val="12"/>
                <w:color w:val="auto"/>
              </w:rPr>
            </w:pPr>
          </w:p>
        </w:tc>
        <w:tc>
          <w:tcPr>
            <w:tcW w:w="1240" w:type="dxa"/>
            <w:vAlign w:val="bottom"/>
          </w:tcPr>
          <w:p>
            <w:pPr>
              <w:jc w:val="center"/>
              <w:ind w:right="37"/>
              <w:spacing w:after="0" w:line="14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3"/>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69"/>
        </w:trPr>
        <w:tc>
          <w:tcPr>
            <w:tcW w:w="5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Pr>
          <w:p>
            <w:pPr>
              <w:spacing w:after="0"/>
              <w:rPr>
                <w:sz w:val="14"/>
                <w:szCs w:val="14"/>
                <w:color w:val="auto"/>
              </w:rPr>
            </w:pPr>
          </w:p>
        </w:tc>
        <w:tc>
          <w:tcPr>
            <w:tcW w:w="12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At December 31, 2015</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142,498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142,498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144,581</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144,581</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2"/>
                <w:szCs w:val="22"/>
                <w:color w:val="auto"/>
              </w:rPr>
            </w:pPr>
          </w:p>
        </w:tc>
        <w:tc>
          <w:tcPr>
            <w:tcW w:w="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Senior secured notes - 6.00%, due April 15, 2023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376,000</w:t>
            </w:r>
          </w:p>
        </w:tc>
        <w:tc>
          <w:tcPr>
            <w:tcW w:w="320" w:type="dxa"/>
            <w:vAlign w:val="bottom"/>
            <w:gridSpan w:val="3"/>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unsecured notes - 8.25%, due October 15, 2023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937,950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937,950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Senior secured term loan B - variable rate, due October 24, 2022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1,986,198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1,986,198</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 liability</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Accounts, interest and dividends payable</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125,356</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125,356</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3,430,931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125,356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3,305,575</w:t>
            </w:r>
          </w:p>
        </w:tc>
        <w:tc>
          <w:tcPr>
            <w:tcW w:w="32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 carrying value of cash and cash equivalents, accounts and other receivables, accounts, interest and dividends payable approximate fair values due to the short-term nature of these financial instruments.</w:t>
      </w:r>
    </w:p>
    <w:p>
      <w:pPr>
        <w:spacing w:after="0" w:line="169" w:lineRule="exact"/>
        <w:rPr>
          <w:sz w:val="20"/>
          <w:szCs w:val="20"/>
          <w:color w:val="auto"/>
        </w:rPr>
      </w:pPr>
    </w:p>
    <w:p>
      <w:pPr>
        <w:ind w:right="12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principal balance of our Notes and other debt was $3.63 billion at March 31, 2016, with a fair value of $3.46 billion. The estimated fair value of our Notes and other debt was based on available external pricing data and current market rates for similar debt instruments, among other factors, which are classified as Level 2 inputs within the fair value hierarchy. Derivative liabilities are carried at fair value. </w:t>
      </w:r>
      <w:hyperlink w:anchor="page13">
        <w:r>
          <w:rPr>
            <w:rFonts w:ascii="Times New Roman" w:cs="Times New Roman" w:eastAsia="Times New Roman" w:hAnsi="Times New Roman"/>
            <w:sz w:val="18"/>
            <w:szCs w:val="18"/>
            <w:u w:val="single" w:color="auto"/>
            <w:color w:val="0000EE"/>
          </w:rPr>
          <w:t>See Note 6</w:t>
        </w:r>
      </w:hyperlink>
      <w:r>
        <w:rPr>
          <w:rFonts w:ascii="Times New Roman" w:cs="Times New Roman" w:eastAsia="Times New Roman" w:hAnsi="Times New Roman"/>
          <w:sz w:val="18"/>
          <w:szCs w:val="18"/>
          <w:color w:val="auto"/>
        </w:rPr>
        <w:t>. The fair value of an interest rate swap is determined based on the present value of expected future cash flows using observable, quoted LIBOR swap rates for the full term of the swap and also incorporate credit valuation adjustments to appropriately reflect both CS&amp;L’s own non-performance risk and non-performance risk of the respective counterparties. The Company has determined that the majority of the inputs used to value its derivative liabilities fall within Level 2 of the fair value hierarchy; however the associated credit valuation adjustments utilized Level 3 inputs, such as estimates of credit spreads, to evaluate the likelihood of default by the Company and its counterparties. As of March 31, 2016, the Company has assessed the significance of</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196" w:lineRule="exact"/>
        <w:rPr>
          <w:sz w:val="20"/>
          <w:szCs w:val="20"/>
          <w:color w:val="auto"/>
        </w:rPr>
      </w:pPr>
    </w:p>
    <w:p>
      <w:pPr>
        <w:ind w:right="340"/>
        <w:spacing w:after="0" w:line="332" w:lineRule="auto"/>
        <w:rPr>
          <w:sz w:val="20"/>
          <w:szCs w:val="20"/>
          <w:color w:val="auto"/>
        </w:rPr>
      </w:pPr>
      <w:r>
        <w:rPr>
          <w:rFonts w:ascii="Times New Roman" w:cs="Times New Roman" w:eastAsia="Times New Roman" w:hAnsi="Times New Roman"/>
          <w:sz w:val="16"/>
          <w:szCs w:val="16"/>
          <w:color w:val="auto"/>
        </w:rPr>
        <w:t>the impact of the credit valuation adjustments on the overall valuation of its derivative positions and has determined that the credit valuation adjustment is not significant to the overall value of the derivatives. As such, the Company classifies its derivative liabilities valuation in Level 2 of the fair value hierarchy.</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Real Estate Investments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real estate investments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(Thousands)</w:t>
            </w:r>
          </w:p>
        </w:tc>
        <w:tc>
          <w:tcPr>
            <w:tcW w:w="210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Depreciable Lives</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260" w:type="dxa"/>
            <w:vAlign w:val="bottom"/>
          </w:tcPr>
          <w:p>
            <w:pPr>
              <w:spacing w:after="0"/>
              <w:rPr>
                <w:sz w:val="14"/>
                <w:szCs w:val="14"/>
                <w:color w:val="auto"/>
              </w:rPr>
            </w:pP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17"/>
        </w:trPr>
        <w:tc>
          <w:tcPr>
            <w:tcW w:w="2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33,769</w:t>
            </w:r>
          </w:p>
        </w:tc>
        <w:tc>
          <w:tcPr>
            <w:tcW w:w="340" w:type="dxa"/>
            <w:vAlign w:val="bottom"/>
          </w:tcPr>
          <w:p>
            <w:pPr>
              <w:spacing w:after="0"/>
              <w:rPr>
                <w:sz w:val="18"/>
                <w:szCs w:val="18"/>
                <w:color w:val="auto"/>
              </w:rPr>
            </w:pPr>
          </w:p>
        </w:tc>
        <w:tc>
          <w:tcPr>
            <w:tcW w:w="2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33,386</w:t>
            </w:r>
          </w:p>
        </w:tc>
        <w:tc>
          <w:tcPr>
            <w:tcW w:w="1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gridSpan w:val="3"/>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95"/>
              </w:rPr>
              <w:t>- 40 years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314,040</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313,736</w:t>
            </w:r>
          </w:p>
        </w:tc>
        <w:tc>
          <w:tcPr>
            <w:tcW w:w="120" w:type="dxa"/>
            <w:vAlign w:val="bottom"/>
            <w:shd w:val="clear" w:color="auto" w:fill="CFF0FC"/>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property interests</w:t>
            </w:r>
          </w:p>
        </w:tc>
        <w:tc>
          <w:tcPr>
            <w:tcW w:w="860" w:type="dxa"/>
            <w:vAlign w:val="bottom"/>
          </w:tcPr>
          <w:p>
            <w:pPr>
              <w:spacing w:after="0"/>
              <w:rPr>
                <w:sz w:val="19"/>
                <w:szCs w:val="19"/>
                <w:color w:val="auto"/>
              </w:rPr>
            </w:pPr>
          </w:p>
        </w:tc>
        <w:tc>
          <w:tcPr>
            <w:tcW w:w="1240" w:type="dxa"/>
            <w:vAlign w:val="bottom"/>
            <w:gridSpan w:val="3"/>
          </w:tcPr>
          <w:p>
            <w:pPr>
              <w:jc w:val="right"/>
              <w:ind w:right="452"/>
              <w:spacing w:after="0"/>
              <w:rPr>
                <w:sz w:val="20"/>
                <w:szCs w:val="20"/>
                <w:color w:val="auto"/>
              </w:rPr>
            </w:pPr>
            <w:r>
              <w:rPr>
                <w:rFonts w:ascii="Times New Roman" w:cs="Times New Roman" w:eastAsia="Times New Roman" w:hAnsi="Times New Roman"/>
                <w:sz w:val="18"/>
                <w:szCs w:val="18"/>
                <w:color w:val="auto"/>
              </w:rPr>
              <w:t>50 years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Poles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gridSpan w:val="3"/>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95"/>
              </w:rPr>
              <w:t>- 40 years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228,585</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228,031</w:t>
            </w:r>
          </w:p>
        </w:tc>
        <w:tc>
          <w:tcPr>
            <w:tcW w:w="120" w:type="dxa"/>
            <w:vAlign w:val="bottom"/>
            <w:shd w:val="clear" w:color="auto" w:fill="CFF0FC"/>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Fiber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3"/>
          </w:tcPr>
          <w:p>
            <w:pPr>
              <w:jc w:val="right"/>
              <w:ind w:right="452"/>
              <w:spacing w:after="0"/>
              <w:rPr>
                <w:sz w:val="20"/>
                <w:szCs w:val="20"/>
                <w:color w:val="auto"/>
              </w:rPr>
            </w:pPr>
            <w:r>
              <w:rPr>
                <w:rFonts w:ascii="Times New Roman" w:cs="Times New Roman" w:eastAsia="Times New Roman" w:hAnsi="Times New Roman"/>
                <w:sz w:val="18"/>
                <w:szCs w:val="18"/>
                <w:color w:val="auto"/>
                <w:w w:val="95"/>
              </w:rPr>
              <w:t>- 40 years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1,973,547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1,948,192</w:t>
            </w:r>
          </w:p>
        </w:tc>
        <w:tc>
          <w:tcPr>
            <w:tcW w:w="1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Copper</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3"/>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95"/>
              </w:rPr>
              <w:t>- 40 years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3,483,885</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3,475,987</w:t>
            </w:r>
          </w:p>
        </w:tc>
        <w:tc>
          <w:tcPr>
            <w:tcW w:w="120" w:type="dxa"/>
            <w:vAlign w:val="bottom"/>
            <w:shd w:val="clear" w:color="auto" w:fill="CFF0FC"/>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Conduit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gridSpan w:val="3"/>
          </w:tcPr>
          <w:p>
            <w:pPr>
              <w:jc w:val="right"/>
              <w:ind w:right="452"/>
              <w:spacing w:after="0"/>
              <w:rPr>
                <w:sz w:val="20"/>
                <w:szCs w:val="20"/>
                <w:color w:val="auto"/>
              </w:rPr>
            </w:pPr>
            <w:r>
              <w:rPr>
                <w:rFonts w:ascii="Times New Roman" w:cs="Times New Roman" w:eastAsia="Times New Roman" w:hAnsi="Times New Roman"/>
                <w:sz w:val="18"/>
                <w:szCs w:val="18"/>
                <w:color w:val="auto"/>
                <w:w w:val="95"/>
              </w:rPr>
              <w:t>- 47 years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89,460</w:t>
            </w:r>
          </w:p>
        </w:tc>
        <w:tc>
          <w:tcPr>
            <w:tcW w:w="1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8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3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20" w:type="dxa"/>
            <w:vAlign w:val="bottom"/>
            <w:shd w:val="clear" w:color="auto" w:fill="CFF0FC"/>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6,127,422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6,093,541</w:t>
            </w:r>
          </w:p>
        </w:tc>
        <w:tc>
          <w:tcPr>
            <w:tcW w:w="1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(3,806,298)</w:t>
            </w:r>
          </w:p>
        </w:tc>
        <w:tc>
          <w:tcPr>
            <w:tcW w:w="26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(3,720,890)</w:t>
            </w:r>
          </w:p>
        </w:tc>
      </w:tr>
      <w:tr>
        <w:trPr>
          <w:trHeight w:val="217"/>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real estate investments</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2,321,124</w:t>
            </w:r>
          </w:p>
        </w:tc>
        <w:tc>
          <w:tcPr>
            <w:tcW w:w="3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2,372,651</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related to real estate investments for the three months ended March 31, 2016 was $85.4 million.</w:t>
      </w:r>
    </w:p>
    <w:p>
      <w:pPr>
        <w:spacing w:after="0" w:line="21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color w:val="auto"/>
        </w:rPr>
        <w:t>Construction in progress represents in process capital projects that were transferred to us at the time of the Spin-Off. As Windstream completes these projects, amounts are reclassified to depreciable assets.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 Instruments and Hedging Activities</w:t>
      </w:r>
    </w:p>
    <w:p>
      <w:pPr>
        <w:spacing w:after="0" w:line="11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6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On April 27, 2015, we entered into interest rate swap agreements to mitigate the interest rate risk inherent in our variable rate Senior Secured Term Loan B facility. These interest rate swaps are designated as cash flow hedges and have a notional value of $2.12 billion and mature on October 24, 2022. The weighted average fixed rate paid is 2.105%, and the variable rate received resets monthly to the one-month LIBOR subject to a minimum rate of 1.0%. The Company does not currently have any master netting arrangements related to its derivative contracts.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the presentation in our Condensed Consolidated Balance Sheet: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Location on Condensed Consolidated</w:t>
            </w:r>
          </w:p>
        </w:tc>
        <w:tc>
          <w:tcPr>
            <w:tcW w:w="240" w:type="dxa"/>
            <w:vAlign w:val="bottom"/>
          </w:tcPr>
          <w:p>
            <w:pPr>
              <w:spacing w:after="0"/>
              <w:rPr>
                <w:sz w:val="13"/>
                <w:szCs w:val="13"/>
                <w:color w:val="auto"/>
              </w:rPr>
            </w:pPr>
          </w:p>
        </w:tc>
        <w:tc>
          <w:tcPr>
            <w:tcW w:w="1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80" w:type="dxa"/>
            <w:vAlign w:val="bottom"/>
          </w:tcPr>
          <w:p>
            <w:pPr>
              <w:spacing w:after="0"/>
              <w:rPr>
                <w:sz w:val="13"/>
                <w:szCs w:val="13"/>
                <w:color w:val="auto"/>
              </w:rPr>
            </w:pPr>
          </w:p>
        </w:tc>
        <w:tc>
          <w:tcPr>
            <w:tcW w:w="1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169"/>
        </w:trPr>
        <w:tc>
          <w:tcPr>
            <w:tcW w:w="4780" w:type="dxa"/>
            <w:vAlign w:val="bottom"/>
            <w:gridSpan w:val="2"/>
            <w:vMerge w:val="continue"/>
          </w:tcPr>
          <w:p>
            <w:pPr>
              <w:spacing w:after="0"/>
              <w:rPr>
                <w:sz w:val="14"/>
                <w:szCs w:val="14"/>
                <w:color w:val="auto"/>
              </w:rPr>
            </w:pPr>
          </w:p>
        </w:tc>
        <w:tc>
          <w:tcPr>
            <w:tcW w:w="2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24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6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Borders>
              <w:top w:val="single" w:sz="8" w:color="CFF0FC"/>
            </w:tcBorders>
            <w:shd w:val="clear" w:color="auto" w:fill="CFF0FC"/>
          </w:tcPr>
          <w:p>
            <w:pPr>
              <w:spacing w:after="0"/>
              <w:rPr>
                <w:sz w:val="18"/>
                <w:szCs w:val="18"/>
                <w:color w:val="auto"/>
              </w:rPr>
            </w:pPr>
          </w:p>
        </w:tc>
        <w:tc>
          <w:tcPr>
            <w:tcW w:w="26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Derivative liability</w:t>
            </w: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45,869</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As of March 31, 2016 and December 31, 2015, all of the interest rate swaps were valued in net unrealized loss positions and recognized as liability balances within the derivative liability balance. For the three months ended March 31, 2016, the amount recorded in other comprehensive income related to the unrealized loss on derivative instruments was $46.4 million. The amount reclassified out of other comprehensive income into interest expense on our Condensed Consolidated Statement of Income for the three months ended March 31, 2016 was $5.9 million. For the three months ended March 31, 2016, there was no ineffective portion of the change in fair value derivatives.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19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Amounts reported in accumulated other comprehensive income (loss) related to derivatives will be reclassified to interest expense as interest payments are made on our variable-rate debt. During the next twelve months, beginning April 1, 2016, we estimate that $23.6 million will be reclassified as an increase to interest expense.</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 intangible assets is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17"/>
        </w:trPr>
        <w:tc>
          <w:tcPr>
            <w:tcW w:w="54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30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ind w:right="378"/>
              <w:spacing w:after="0"/>
              <w:rPr>
                <w:sz w:val="20"/>
                <w:szCs w:val="20"/>
                <w:color w:val="auto"/>
              </w:rPr>
            </w:pPr>
            <w:r>
              <w:rPr>
                <w:rFonts w:ascii="Times New Roman" w:cs="Times New Roman" w:eastAsia="Times New Roman" w:hAnsi="Times New Roman"/>
                <w:sz w:val="16"/>
                <w:szCs w:val="16"/>
                <w:color w:val="auto"/>
                <w:w w:val="74"/>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2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gridSpan w:val="2"/>
            <w:shd w:val="clear" w:color="auto" w:fill="CFF0FC"/>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34,501</w:t>
            </w:r>
          </w:p>
        </w:tc>
        <w:tc>
          <w:tcPr>
            <w:tcW w:w="120" w:type="dxa"/>
            <w:vAlign w:val="bottom"/>
            <w:tcBorders>
              <w:top w:val="single" w:sz="8" w:color="CFF0FC"/>
            </w:tcBorders>
            <w:shd w:val="clear" w:color="auto" w:fill="CFF0FC"/>
          </w:tcPr>
          <w:p>
            <w:pPr>
              <w:spacing w:after="0"/>
              <w:rPr>
                <w:sz w:val="18"/>
                <w:szCs w:val="18"/>
                <w:color w:val="auto"/>
              </w:rPr>
            </w:pPr>
          </w:p>
        </w:tc>
      </w:tr>
      <w:tr>
        <w:trPr>
          <w:trHeight w:val="22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(24,811)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(23,971)</w:t>
            </w:r>
          </w:p>
        </w:tc>
      </w:tr>
      <w:tr>
        <w:trPr>
          <w:trHeight w:val="217"/>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378"/>
              <w:spacing w:after="0"/>
              <w:rPr>
                <w:sz w:val="20"/>
                <w:szCs w:val="20"/>
                <w:color w:val="auto"/>
              </w:rPr>
            </w:pPr>
            <w:r>
              <w:rPr>
                <w:rFonts w:ascii="Times New Roman" w:cs="Times New Roman" w:eastAsia="Times New Roman" w:hAnsi="Times New Roman"/>
                <w:sz w:val="16"/>
                <w:szCs w:val="16"/>
                <w:color w:val="auto"/>
                <w:w w:val="74"/>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Amortization expense was $0.8 million for the three months ended March 31, 2016. Amortization expense is estimated to be $3.4 million for the full year of 2016, $2.8 million in 2017, $2.1 million in 2018, $1.5 million in 2019, $1.0 million in 2020 and $0.6 million in 2021.</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Notes and Other Debt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other debt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top w:val="single" w:sz="8" w:color="auto"/>
            </w:tcBorders>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3,633,950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6"/>
              </w:rPr>
              <w:t>(130,308)</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(134,072)</w:t>
            </w:r>
          </w:p>
        </w:tc>
        <w:tc>
          <w:tcPr>
            <w:tcW w:w="0" w:type="dxa"/>
            <w:vAlign w:val="bottom"/>
          </w:tcPr>
          <w:p>
            <w:pPr>
              <w:spacing w:after="0"/>
              <w:rPr>
                <w:sz w:val="1"/>
                <w:szCs w:val="1"/>
                <w:color w:val="auto"/>
              </w:rPr>
            </w:pPr>
          </w:p>
        </w:tc>
      </w:tr>
      <w:tr>
        <w:trPr>
          <w:trHeight w:val="223"/>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Notes and other debt less unamortized discount and debt issuance costs</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3,503,642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w w:val="99"/>
              </w:rPr>
              <w:t>Notes and other debt at March 31, 2016 and December 31, 2015 consisted of the following:</w:t>
            </w: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6600" w:type="dxa"/>
            <w:vAlign w:val="bottom"/>
            <w:gridSpan w:val="6"/>
            <w:vMerge w:val="continue"/>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40" w:type="dxa"/>
            <w:vAlign w:val="bottom"/>
            <w:gridSpan w:val="7"/>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4"/>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Unamortized Discount</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Unamortized Discount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2"/>
                <w:szCs w:val="12"/>
                <w:color w:val="auto"/>
              </w:rPr>
            </w:pPr>
          </w:p>
        </w:tc>
        <w:tc>
          <w:tcPr>
            <w:tcW w:w="1520" w:type="dxa"/>
            <w:vAlign w:val="bottom"/>
            <w:gridSpan w:val="4"/>
          </w:tcPr>
          <w:p>
            <w:pPr>
              <w:jc w:val="right"/>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and Debt Issuance</w:t>
            </w:r>
          </w:p>
        </w:tc>
        <w:tc>
          <w:tcPr>
            <w:tcW w:w="100" w:type="dxa"/>
            <w:vAlign w:val="bottom"/>
          </w:tcPr>
          <w:p>
            <w:pPr>
              <w:spacing w:after="0"/>
              <w:rPr>
                <w:sz w:val="12"/>
                <w:szCs w:val="12"/>
                <w:color w:val="auto"/>
              </w:rPr>
            </w:pPr>
          </w:p>
        </w:tc>
        <w:tc>
          <w:tcPr>
            <w:tcW w:w="1300" w:type="dxa"/>
            <w:vAlign w:val="bottom"/>
            <w:gridSpan w:val="4"/>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and Debt Issuance</w:t>
            </w:r>
          </w:p>
        </w:tc>
        <w:tc>
          <w:tcPr>
            <w:tcW w:w="0" w:type="dxa"/>
            <w:vAlign w:val="bottom"/>
          </w:tcPr>
          <w:p>
            <w:pPr>
              <w:spacing w:after="0"/>
              <w:rPr>
                <w:sz w:val="1"/>
                <w:szCs w:val="1"/>
                <w:color w:val="auto"/>
              </w:rPr>
            </w:pPr>
          </w:p>
        </w:tc>
      </w:tr>
      <w:tr>
        <w:trPr>
          <w:trHeight w:val="169"/>
        </w:trPr>
        <w:tc>
          <w:tcPr>
            <w:tcW w:w="4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Borders>
              <w:top w:val="single" w:sz="8" w:color="auto"/>
            </w:tcBorders>
            <w:shd w:val="clear" w:color="auto" w:fill="CFF0FC"/>
          </w:tcPr>
          <w:p>
            <w:pPr>
              <w:spacing w:after="0" w:line="199" w:lineRule="exact"/>
              <w:rPr>
                <w:sz w:val="20"/>
                <w:szCs w:val="20"/>
                <w:color w:val="auto"/>
              </w:rPr>
            </w:pPr>
            <w:r>
              <w:rPr>
                <w:rFonts w:ascii="Times New Roman" w:cs="Times New Roman" w:eastAsia="Times New Roman" w:hAnsi="Times New Roman"/>
                <w:sz w:val="18"/>
                <w:szCs w:val="18"/>
                <w:color w:val="auto"/>
              </w:rPr>
              <w:t>Senior secured notes - 6.00%, due April 15, 2023</w:t>
            </w:r>
          </w:p>
        </w:tc>
        <w:tc>
          <w:tcPr>
            <w:tcW w:w="1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is based on imputed interest rate of 6.29%)</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(6,582)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400,000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(6,767)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Senior unsecured notes - 8.25%, due October 15, 2023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is based on imputed interest rate of 9.06%)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(49,074)</w:t>
            </w:r>
          </w:p>
        </w:tc>
        <w:tc>
          <w:tcPr>
            <w:tcW w:w="100" w:type="dxa"/>
            <w:vAlign w:val="bottom"/>
          </w:tcPr>
          <w:p>
            <w:pPr>
              <w:spacing w:after="0"/>
              <w:rPr>
                <w:sz w:val="19"/>
                <w:szCs w:val="19"/>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1,110,000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(50,200)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00" w:type="dxa"/>
            <w:vAlign w:val="bottom"/>
            <w:shd w:val="clear" w:color="auto" w:fill="CFF0FC"/>
          </w:tcPr>
          <w:p>
            <w:pPr>
              <w:spacing w:after="0" w:line="206" w:lineRule="exact"/>
              <w:rPr>
                <w:sz w:val="20"/>
                <w:szCs w:val="20"/>
                <w:color w:val="auto"/>
              </w:rPr>
            </w:pPr>
            <w:r>
              <w:rPr>
                <w:rFonts w:ascii="Times New Roman" w:cs="Times New Roman" w:eastAsia="Times New Roman" w:hAnsi="Times New Roman"/>
                <w:sz w:val="18"/>
                <w:szCs w:val="18"/>
                <w:color w:val="auto"/>
              </w:rPr>
              <w:t>Senior secured term loan B - variable rate, due October 24, 2022</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is based on imputed interest rate of 5.66%)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2,123,950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(74,652)</w:t>
            </w:r>
          </w:p>
        </w:tc>
        <w:tc>
          <w:tcPr>
            <w:tcW w:w="100" w:type="dxa"/>
            <w:vAlign w:val="bottom"/>
            <w:shd w:val="clear" w:color="auto" w:fill="CFF0FC"/>
          </w:tcPr>
          <w:p>
            <w:pPr>
              <w:spacing w:after="0"/>
              <w:rPr>
                <w:sz w:val="19"/>
                <w:szCs w:val="19"/>
                <w:color w:val="auto"/>
              </w:rPr>
            </w:pPr>
          </w:p>
        </w:tc>
        <w:tc>
          <w:tcPr>
            <w:tcW w:w="13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2,129,300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(77,105)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98"/>
              </w:rPr>
              <w:t>Senior secured revolving credit facility, variable rate, due April 24,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vMerge w:val="continue"/>
            <w:shd w:val="clear" w:color="auto" w:fill="CFF0FC"/>
          </w:tcPr>
          <w:p>
            <w:pPr>
              <w:spacing w:after="0"/>
              <w:rPr>
                <w:sz w:val="19"/>
                <w:szCs w:val="19"/>
                <w:color w:val="auto"/>
              </w:rPr>
            </w:pP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3,633,950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(130,308)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3,639,300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(134,072)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On April 24, 2015 we, along with our wholly owned subsidiary CSL Capital, LLC (“CSL Capital”), co-issued $400 million aggregate principal amount of 6.00% Senior Secured Notes due April 15, 2023 (the “Senior Secured Notes”) and $1.11 billion aggregate principal amount of 8.25% Senior Unsecured Notes due October 15, 2023 (the “Senior Unsecured Notes” and together with the Secured Notes, the “Notes”). The Senior Secured Notes were issued at an issue price of 100% of par value, while the Senior Unsecured Notes were issued at an issue price of 97.055% of par value. The Notes are guaranteed by each of CS&amp;L’s wholly-owned domestic subsidiaries that guarantee indebtedness under CS&amp;L’s senior credit facilities. The Notes were issued to Windstream Services as partial consideration for the contribution of the Distribution Systems and the Consumer CLEC Business in connection with the Spin-Off. As such, CS&amp;L did not receive any proceeds from the issuance of the Notes. The issuance of the Notes and their exchange by Windstream Services for certain of its outstanding indebtedness were not registered under the Securities Act of 1933, as amended (the “Securities Act”), but were exempt from registration under Rule 144A, Regulation S and other applicable exemptions of the Securities Act. Pursuant to a registration rights agreement entered into by the Company in connection with the sale of the Senior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19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Unsecured Notes, the Company subsequently filed with the SEC a registration statement relating to an exchange offer pursuant to which 8.25% Senior Notes due 2023 (the “Exchange Notes”) that were registered with the SEC, were offered in exchange for Senior Unsecured Notes tendered by the holders of those notes. The terms of the Exchange Notes are substantially identical to the terms of the Senior Unsecured Notes in all material respects, except that the Exchange Notes are registered under the Securities Act, and the transfer restrictions, registration rights and additional interest provision applicable to the Senior Unsecured Notes do not apply to the Exchange Notes. The exchange offer was launched on August 5, 2015, and completed on September 2, 2015, with all outstanding Senior Unsecured Notes being tendered and exchanged for Exchange Notes.</w:t>
      </w:r>
    </w:p>
    <w:p>
      <w:pPr>
        <w:spacing w:after="0" w:line="19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Notes contain customary high yield covenants limiting our ability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our assets; and create restrictions on the ability of CS&amp;L, CSL Capital and our restricted subsidiaries to pay dividends. The covenants are subject to a number of important and significant limitations, qualifications and exceptions. As of March 31, 2016, we were in compliance with all of the covenants under the Notes.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6"/>
          <w:szCs w:val="16"/>
          <w:color w:val="auto"/>
        </w:rPr>
        <w:t>In addition, on April 24, 2015, the Company and CSL Capital entered into a credit agreement (the “Credit Agreement”), which provides for a $2.14 billion Senior Secured Term Loan B facility due October 24, 2022 (the “Term Loan Facility”) and a $500 million senior secured revolving credit facility maturing April 24,</w:t>
      </w:r>
    </w:p>
    <w:p>
      <w:pPr>
        <w:spacing w:after="0" w:line="244" w:lineRule="auto"/>
        <w:rPr>
          <w:sz w:val="20"/>
          <w:szCs w:val="20"/>
          <w:color w:val="auto"/>
        </w:rPr>
      </w:pPr>
      <w:r>
        <w:rPr>
          <w:rFonts w:ascii="Times New Roman" w:cs="Times New Roman" w:eastAsia="Times New Roman" w:hAnsi="Times New Roman"/>
          <w:sz w:val="18"/>
          <w:szCs w:val="18"/>
          <w:color w:val="auto"/>
        </w:rPr>
        <w:t>2020 (the “Revolving Credit Facility” and, together with the Term Loan Facility, the “Facilities”). The term loans under the Facilities were issued at an issue price of 98.00% of par value, bear interest at a rate equal to a Eurodollar rate, subject to a 1.0% floor, plus an applicable margin equal to 4.00%, and are subject to amortization of 1.0% per annum. The loans have been incurred by the Company and CSL Capital, are guaranteed by certain of CS&amp;L’s wholly-owned subsidiaries (the “Guarantors”), and are secured by substantially all of the assets of CS&amp;L, CSL Capital and the Guarantors, subject to certain exceptions, which assets also secure the Senior Secured Notes. The Revolving Credit Facility bears interest at a rate equal to LIBOR plus 1.75% to 2.25% based on our consolidated secured leverage ratio, as defined in the Credit Agreement.</w:t>
      </w:r>
    </w:p>
    <w:p>
      <w:pPr>
        <w:spacing w:after="0" w:line="19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We are subject to customary covenants under the Credit Agreement, including an obligation to maintain a consolidated secured leverage ratio, as defined in the Credit Agreement, not to exceed 5.00 to 1.00. We are permitted, subject to customary conditions, to incur incremental term loan borrowings and/or increased commitments under the Credit Agreement in an aggregate amount equal to $150 million plus, an unlimited amount, so long as, on a pro forma basis after giving effect to any such increases, our consolidated total leverage ratio, as defined in the Credit Agreement, does not exceed 6.50 to 1.00 and our consolidated secured leverage ratio, as defined in the Credit Agreement, does not exceed 4.00 to 1.00. As of March 31, 2016, we were in compliance with all of the covenants under the Credit Agreement.</w:t>
      </w:r>
    </w:p>
    <w:p>
      <w:pPr>
        <w:spacing w:after="0" w:line="19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The Company transferred $1.04 billion of cash proceeds under the Facilities to Windstream Services, the Company’s parent immediately preceding the Spin-Off, as partial consideration for the contribution of the Distribution Systems and the Consumer CLEC Business in connection with the Spin-Off. After giving effect to the borrowings under the Facilities, the issuance of the Notes and the transfer of cash to Windstream Services, the Company retained net borrowing proceeds of $62.2 million.</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Deferred financing costs were incurred in connection with the issuance of the Notes and the Facilities. These costs are amortized using the effective interest method over the term of the related indebtedness, and are included in interest expense in our Condensed Consolidated Statement of Income. For the three months ended March 31, 2016, we recognized $1.8 million of non-cash interest expense related to the amortization of deferred financing costs.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Related Party Transactions</w:t>
      </w:r>
    </w:p>
    <w:p>
      <w:pPr>
        <w:spacing w:after="0" w:line="11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connection with the Spin-Off, we issued approximately 149.8 million shares of our common stock, par value $0.0001 per share, to Windstream as partial consideration for the contribution of the Distribution Systems and the Consumer CLEC Business. Windstream Holdings distributed approximately 80.4% of the CS&amp;L shares it received to existing stockholders of Windstream Holdings and retained a passive ownership interest of approximately 19.6% of the common stock of CS&amp;L. As a result of this ownership Windstream is deemed to be a related party. Our Condensed Consolidated Financial Statements reflect the following transactions with Windstream:</w:t>
      </w:r>
    </w:p>
    <w:p>
      <w:pPr>
        <w:spacing w:after="0" w:line="18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u w:val="single" w:color="auto"/>
          <w:color w:val="auto"/>
        </w:rPr>
        <w:t>Revenues</w:t>
      </w:r>
      <w:r>
        <w:rPr>
          <w:rFonts w:ascii="Times New Roman" w:cs="Times New Roman" w:eastAsia="Times New Roman" w:hAnsi="Times New Roman"/>
          <w:sz w:val="18"/>
          <w:szCs w:val="18"/>
          <w:color w:val="auto"/>
        </w:rPr>
        <w:t xml:space="preserve"> – The Company records leasing revenue pursuant to the Master Lease. For the three months ended March 31, 2016, we recognized leasing revenues of $168.6 million related to the Master Lease.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19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Expenses</w:t>
      </w:r>
      <w:r>
        <w:rPr>
          <w:rFonts w:ascii="Times New Roman" w:cs="Times New Roman" w:eastAsia="Times New Roman" w:hAnsi="Times New Roman"/>
          <w:sz w:val="18"/>
          <w:szCs w:val="18"/>
          <w:color w:val="auto"/>
        </w:rPr>
        <w:t xml:space="preserve"> – We are party to a Transition Services Agreement (“TSA”) pursuant to which Windstream and its affiliates provide, on an interim basis, various services, including but not limited to information technology services, payment processing and collection services, financial and tax services, regulatory compliance and other support services. For the three months ended March 31, 2016, we incurred $19,000 of TSA expense.</w:t>
      </w:r>
    </w:p>
    <w:p>
      <w:pPr>
        <w:spacing w:after="0" w:line="17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u w:val="single" w:color="auto"/>
          <w:color w:val="auto"/>
        </w:rPr>
        <w:t>Operating Expenses</w:t>
      </w:r>
      <w:r>
        <w:rPr>
          <w:rFonts w:ascii="Times New Roman" w:cs="Times New Roman" w:eastAsia="Times New Roman" w:hAnsi="Times New Roman"/>
          <w:sz w:val="18"/>
          <w:szCs w:val="18"/>
          <w:color w:val="auto"/>
        </w:rPr>
        <w:t xml:space="preserve"> – We are party to a Wholesale Master Services Agreement (“Wholesale Agreement”) and a Master Services Agreement with Windstream related to the Consumer CLEC Business. Under the Wholesale Agreement, Windstream provides us transport services (local and long distance telecommunications service), provisioning services (directory assistance, directory listing, service activation and service changes), and repair services (routine and emergency network maintenance, network audits and network security). Under the Master Services Agreement, Windstream provides billing and collections services to CS&amp;L. During the three months ended March 31, 2016, we incurred expenses of $3.4 million and $0.4 million related to the Wholesale Agreement and Master Services Agreement, respectively.</w:t>
      </w:r>
    </w:p>
    <w:p>
      <w:pPr>
        <w:spacing w:after="0" w:line="190"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 xml:space="preserve"> – As of March 31, 2016 and December 31, 2015, there were $0.3 million and $1.7 million accounts receivable, respectively, from Windstream related to the collection of Consumer CLEC Business revenues, net of amounts owed to Windstream under the Wholesale Agreement and Master Services Agreement recorded in accounts receivable on our Condensed Consolidated Balance Sheet.</w:t>
      </w:r>
    </w:p>
    <w:p>
      <w:pPr>
        <w:spacing w:after="0" w:line="17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u w:val="single" w:color="auto"/>
          <w:color w:val="auto"/>
        </w:rPr>
        <w:t>Dividend Payable</w:t>
      </w:r>
      <w:r>
        <w:rPr>
          <w:rFonts w:ascii="Times New Roman" w:cs="Times New Roman" w:eastAsia="Times New Roman" w:hAnsi="Times New Roman"/>
          <w:sz w:val="18"/>
          <w:szCs w:val="18"/>
          <w:color w:val="auto"/>
        </w:rPr>
        <w:t xml:space="preserve"> – At March 31, 2016, there was a $17.6 million dividend payable to Windstream related to the dividend declared on March 1, 2016, based on Windstream ownership of CS&amp;L shares as of the March 31, 2016 record date. This amount was paid to Windstream on April 15, 2016 along with the dividends payable to all common shareholders. At December 31, 2015, there was a $17.6 million dividend payable to Windstream related to the dividend declared on November 6, 2015, based on Windstream ownership of CS&amp;L shares as of the December 31, 2015 record date. This amount was paid to Windstream on January 15, 2016 along with the dividends payable to all common shareholders.</w:t>
      </w:r>
    </w:p>
    <w:p>
      <w:pPr>
        <w:spacing w:after="0" w:line="185"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u w:val="single" w:color="auto"/>
          <w:color w:val="auto"/>
        </w:rPr>
        <w:t>Employee Matters Agreement</w:t>
      </w:r>
      <w:r>
        <w:rPr>
          <w:rFonts w:ascii="Times New Roman" w:cs="Times New Roman" w:eastAsia="Times New Roman" w:hAnsi="Times New Roman"/>
          <w:sz w:val="18"/>
          <w:szCs w:val="18"/>
          <w:color w:val="auto"/>
        </w:rPr>
        <w:t xml:space="preserve"> – We are party to an Employee Matters Agreement (“Employee Matters Agreement”) with Windstream that governs the respective compensation and employee benefit obligations of the Company and Windstream in connection with and following the Spin-Off. Under the Employee Matters Agreement, if requested by a Windstream employee, the Company is required to withhold shares to satisfy the employee’s tax obligations arising from the recognition of income and the vesting of shares related to awards of CS&amp;L restricted stock held by the employee that were granted in connection with the Spin-Off. In that case, the Company must pay to Windstream an amount of cash equal to the amount required to be withheld to satisfy minimum statutory tax withholding obligations or, at the request of Windstream, remit such cash directly to the applicable taxing authorities. During the three months ended March 31, 2016, we withheld 91,412 common shares to satisfy these minimum statutory tax-withholding obligations and delivered $1.3 million to Windstream for remittance to the applicable taxing authorities.</w:t>
      </w:r>
    </w:p>
    <w:p>
      <w:pPr>
        <w:spacing w:after="0" w:line="190" w:lineRule="exact"/>
        <w:rPr>
          <w:sz w:val="20"/>
          <w:szCs w:val="20"/>
          <w:color w:val="auto"/>
        </w:rPr>
      </w:pPr>
    </w:p>
    <w:p>
      <w:pPr>
        <w:jc w:val="both"/>
        <w:ind w:right="120"/>
        <w:spacing w:after="0" w:line="252" w:lineRule="auto"/>
        <w:rPr>
          <w:sz w:val="20"/>
          <w:szCs w:val="20"/>
          <w:color w:val="auto"/>
        </w:rPr>
      </w:pPr>
      <w:r>
        <w:rPr>
          <w:rFonts w:ascii="Times New Roman" w:cs="Times New Roman" w:eastAsia="Times New Roman" w:hAnsi="Times New Roman"/>
          <w:sz w:val="18"/>
          <w:szCs w:val="18"/>
          <w:u w:val="single" w:color="auto"/>
          <w:color w:val="auto"/>
        </w:rPr>
        <w:t>Tower Purchase</w:t>
      </w:r>
      <w:r>
        <w:rPr>
          <w:rFonts w:ascii="Times New Roman" w:cs="Times New Roman" w:eastAsia="Times New Roman" w:hAnsi="Times New Roman"/>
          <w:sz w:val="18"/>
          <w:szCs w:val="18"/>
          <w:color w:val="auto"/>
        </w:rPr>
        <w:t xml:space="preserve"> – On March 29, 2016, we entered into an agreement with Windstream to acquire 32 wireless towers owned by Windstream and operating rights for 49 wireless towers previously conveyed to the Company in the Spin-Off for a purchase price of approximately $3 million. Wireless carriers currently leasing access to these towers will become customers of CS&amp;L. The acquisition of the ownership and operating rights to the 81 towers is subject to regulatory approvals and other customary terms and conditions. Closing is expected during the second quarter of 2016.</w:t>
      </w:r>
    </w:p>
    <w:p>
      <w:pPr>
        <w:spacing w:after="0" w:line="18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u w:val="single" w:color="auto"/>
          <w:color w:val="auto"/>
        </w:rPr>
        <w:t>Lease Amendment</w:t>
      </w:r>
      <w:r>
        <w:rPr>
          <w:rFonts w:ascii="Times New Roman" w:cs="Times New Roman" w:eastAsia="Times New Roman" w:hAnsi="Times New Roman"/>
          <w:sz w:val="18"/>
          <w:szCs w:val="18"/>
          <w:color w:val="auto"/>
        </w:rPr>
        <w:t xml:space="preserve"> – During the quarter ended March 31, 2016, we amended the Master Lease with Windstream (the “Master Lease Amendment”) to allow for the transfer of ownership rights or exchanges of indefeasible rights of use (an “IRU”) and other long term rights in certain fiber and associated assets constituting leased property under the Master Lease. We will enter into such transactions pursuant to certain fiber exchange agreements under which we will grant to a third party ownership rights in certain fiber assets or an IRU in certain fiber assets that constitute leased property under the Master Lease in exchange for CS&amp;L receiving ownership rights in certain fiber assets or an IRU in certain fiber assets of the third party, which we will then lease to Windstream as leased property under the Master Lease. Under the terms of the Master Lease Amendment, Windstream is responsible for any taxes imposed on CS&amp;L related to the sale, exchange or other disposition of the fiber assets delivered to a third party or granting of rights to the leased property that arise from fiber exchange agreements. As of March 31, 2016, no such transactions have been consummated. The Master Lease Amendment also permits us to install, own and operate certain wireless communication towers, antennas and related equipment on designated portions of the leased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Earnings Per Share</w:t>
      </w:r>
    </w:p>
    <w:p>
      <w:pPr>
        <w:spacing w:after="0" w:line="111" w:lineRule="exact"/>
        <w:rPr>
          <w:sz w:val="20"/>
          <w:szCs w:val="20"/>
          <w:color w:val="auto"/>
        </w:rPr>
      </w:pPr>
    </w:p>
    <w:p>
      <w:pPr>
        <w:ind w:right="580"/>
        <w:spacing w:after="0" w:line="256" w:lineRule="auto"/>
        <w:rPr>
          <w:sz w:val="20"/>
          <w:szCs w:val="20"/>
          <w:color w:val="auto"/>
        </w:rPr>
      </w:pPr>
      <w:r>
        <w:rPr>
          <w:rFonts w:ascii="Times New Roman" w:cs="Times New Roman" w:eastAsia="Times New Roman" w:hAnsi="Times New Roman"/>
          <w:sz w:val="18"/>
          <w:szCs w:val="18"/>
          <w:color w:val="auto"/>
        </w:rPr>
        <w:t xml:space="preserve">Our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the computation of basic and diluted earnings per share under the two-class method: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49282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823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earnings per share: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142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142240"/>
                    </a:xfrm>
                    <a:prstGeom prst="rect">
                      <a:avLst/>
                    </a:prstGeom>
                    <a:noFill/>
                  </pic:spPr>
                </pic:pic>
              </a:graphicData>
            </a:graphic>
          </wp:anchor>
        </w:drawing>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income</w:t>
      </w:r>
    </w:p>
    <w:p>
      <w:pPr>
        <w:spacing w:after="0" w:line="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142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142240"/>
                    </a:xfrm>
                    <a:prstGeom prst="rect">
                      <a:avLst/>
                    </a:prstGeom>
                    <a:noFill/>
                  </pic:spPr>
                </pic:pic>
              </a:graphicData>
            </a:graphic>
          </wp:anchor>
        </w:drawing>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income applicable to common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142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14224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6"/>
          <w:szCs w:val="16"/>
          <w:color w:val="auto"/>
        </w:rPr>
        <w:t>Basic weighted-average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158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15875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earnings per common share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(Thousands, except per share data)</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2860" w:type="dxa"/>
            <w:vAlign w:val="bottom"/>
          </w:tcPr>
          <w:p>
            <w:pPr>
              <w:jc w:val="right"/>
              <w:ind w:right="103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9"/>
        </w:trPr>
        <w:tc>
          <w:tcPr>
            <w:tcW w:w="5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jc w:val="right"/>
              <w:ind w:right="1217"/>
              <w:spacing w:after="0"/>
              <w:rPr>
                <w:sz w:val="20"/>
                <w:szCs w:val="20"/>
                <w:color w:val="auto"/>
              </w:rPr>
            </w:pPr>
            <w:r>
              <w:rPr>
                <w:rFonts w:ascii="Times New Roman" w:cs="Times New Roman" w:eastAsia="Times New Roman" w:hAnsi="Times New Roman"/>
                <w:sz w:val="14"/>
                <w:szCs w:val="14"/>
                <w:b w:val="1"/>
                <w:bCs w:val="1"/>
                <w:color w:val="auto"/>
              </w:rPr>
              <w:t>March 31, 2016</w:t>
            </w:r>
          </w:p>
        </w:tc>
      </w:tr>
      <w:tr>
        <w:trPr>
          <w:trHeight w:val="672"/>
        </w:trPr>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8,036</w:t>
            </w:r>
          </w:p>
        </w:tc>
      </w:tr>
      <w:tr>
        <w:trPr>
          <w:trHeight w:val="229"/>
        </w:trPr>
        <w:tc>
          <w:tcPr>
            <w:tcW w:w="5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(355 )</w:t>
            </w:r>
          </w:p>
        </w:tc>
      </w:tr>
      <w:tr>
        <w:trPr>
          <w:trHeight w:val="222"/>
        </w:trPr>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7,681</w:t>
            </w:r>
          </w:p>
        </w:tc>
      </w:tr>
      <w:tr>
        <w:trPr>
          <w:trHeight w:val="442"/>
        </w:trPr>
        <w:tc>
          <w:tcPr>
            <w:tcW w:w="5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149,918</w:t>
            </w:r>
          </w:p>
        </w:tc>
      </w:tr>
      <w:tr>
        <w:trPr>
          <w:trHeight w:val="217"/>
        </w:trPr>
        <w:tc>
          <w:tcPr>
            <w:tcW w:w="5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2016</w:t>
      </w:r>
    </w:p>
    <w:p>
      <w:pPr>
        <w:spacing w:after="0" w:line="1" w:lineRule="exact"/>
        <w:rPr>
          <w:sz w:val="20"/>
          <w:szCs w:val="20"/>
          <w:color w:val="auto"/>
        </w:rPr>
      </w:pPr>
    </w:p>
    <w:p>
      <w:pPr>
        <w:sectPr>
          <w:pgSz w:w="11900" w:h="16838" w:orient="portrait"/>
          <w:cols w:equalWidth="0" w:num="2">
            <w:col w:w="7280" w:space="720"/>
            <w:col w:w="342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77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w:t>
            </w:r>
          </w:p>
        </w:tc>
        <w:tc>
          <w:tcPr>
            <w:tcW w:w="14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8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00" w:type="dxa"/>
            <w:vAlign w:val="bottom"/>
            <w:shd w:val="clear" w:color="auto" w:fill="CFF0FC"/>
          </w:tcPr>
          <w:p>
            <w:pPr>
              <w:spacing w:after="0"/>
              <w:rPr>
                <w:sz w:val="19"/>
                <w:szCs w:val="19"/>
                <w:color w:val="auto"/>
              </w:rPr>
            </w:pPr>
          </w:p>
        </w:tc>
      </w:tr>
      <w:tr>
        <w:trPr>
          <w:trHeight w:val="224"/>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1420" w:type="dxa"/>
            <w:vAlign w:val="bottom"/>
          </w:tcPr>
          <w:p>
            <w:pPr>
              <w:spacing w:after="0"/>
              <w:rPr>
                <w:sz w:val="19"/>
                <w:szCs w:val="19"/>
                <w:color w:val="auto"/>
              </w:rPr>
            </w:pP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r>
      <w:tr>
        <w:trPr>
          <w:trHeight w:val="217"/>
        </w:trPr>
        <w:tc>
          <w:tcPr>
            <w:tcW w:w="8000" w:type="dxa"/>
            <w:vAlign w:val="bottom"/>
            <w:tcBorders>
              <w:top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 applicable to common shares</w:t>
            </w:r>
          </w:p>
        </w:tc>
        <w:tc>
          <w:tcPr>
            <w:tcW w:w="1420" w:type="dxa"/>
            <w:vAlign w:val="bottom"/>
            <w:tcBorders>
              <w:top w:val="single" w:sz="8" w:color="auto"/>
            </w:tcBorders>
            <w:shd w:val="clear" w:color="auto" w:fill="CFF0FC"/>
          </w:tcPr>
          <w:p>
            <w:pPr>
              <w:jc w:val="right"/>
              <w:ind w:right="123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00" w:type="dxa"/>
            <w:vAlign w:val="bottom"/>
            <w:tcBorders>
              <w:top w:val="single" w:sz="8" w:color="CFF0FC"/>
            </w:tcBorders>
            <w:shd w:val="clear" w:color="auto" w:fill="CFF0FC"/>
          </w:tcPr>
          <w:p>
            <w:pPr>
              <w:spacing w:after="0"/>
              <w:rPr>
                <w:sz w:val="18"/>
                <w:szCs w:val="18"/>
                <w:color w:val="auto"/>
              </w:rPr>
            </w:pPr>
          </w:p>
        </w:tc>
      </w:tr>
      <w:tr>
        <w:trPr>
          <w:trHeight w:val="22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4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8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142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149,918</w:t>
            </w:r>
          </w:p>
        </w:tc>
        <w:tc>
          <w:tcPr>
            <w:tcW w:w="100" w:type="dxa"/>
            <w:vAlign w:val="bottom"/>
            <w:shd w:val="clear" w:color="auto" w:fill="CFF0FC"/>
          </w:tcPr>
          <w:p>
            <w:pPr>
              <w:spacing w:after="0"/>
              <w:rPr>
                <w:sz w:val="19"/>
                <w:szCs w:val="19"/>
                <w:color w:val="auto"/>
              </w:rPr>
            </w:pPr>
          </w:p>
        </w:tc>
      </w:tr>
      <w:tr>
        <w:trPr>
          <w:trHeight w:val="224"/>
        </w:trPr>
        <w:tc>
          <w:tcPr>
            <w:tcW w:w="8000" w:type="dxa"/>
            <w:vAlign w:val="bottom"/>
            <w:tcBorders>
              <w:bottom w:val="single" w:sz="8" w:color="CFF0FC"/>
            </w:tcBorders>
            <w:gridSpan w:val="2"/>
          </w:tcPr>
          <w:p>
            <w:pPr>
              <w:ind w:left="360"/>
              <w:spacing w:after="0"/>
              <w:rPr>
                <w:sz w:val="20"/>
                <w:szCs w:val="20"/>
                <w:color w:val="auto"/>
              </w:rPr>
            </w:pPr>
            <w:r>
              <w:rPr>
                <w:rFonts w:ascii="Times New Roman" w:cs="Times New Roman" w:eastAsia="Times New Roman" w:hAnsi="Times New Roman"/>
                <w:sz w:val="18"/>
                <w:szCs w:val="18"/>
                <w:color w:val="auto"/>
              </w:rPr>
              <w:t>Effect of dilutive non-participating securities</w:t>
            </w:r>
          </w:p>
        </w:tc>
        <w:tc>
          <w:tcPr>
            <w:tcW w:w="14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FF0FC"/>
            </w:tcBorders>
          </w:tcPr>
          <w:p>
            <w:pPr>
              <w:spacing w:after="0"/>
              <w:rPr>
                <w:sz w:val="19"/>
                <w:szCs w:val="19"/>
                <w:color w:val="auto"/>
              </w:rPr>
            </w:pPr>
          </w:p>
        </w:tc>
      </w:tr>
      <w:tr>
        <w:trPr>
          <w:trHeight w:val="217"/>
        </w:trPr>
        <w:tc>
          <w:tcPr>
            <w:tcW w:w="8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Weighted-average shares for dilutive earnings per common share</w:t>
            </w:r>
          </w:p>
        </w:tc>
        <w:tc>
          <w:tcPr>
            <w:tcW w:w="142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149,984</w:t>
            </w:r>
          </w:p>
        </w:tc>
        <w:tc>
          <w:tcPr>
            <w:tcW w:w="100" w:type="dxa"/>
            <w:vAlign w:val="bottom"/>
            <w:shd w:val="clear" w:color="auto" w:fill="CFF0FC"/>
          </w:tcPr>
          <w:p>
            <w:pPr>
              <w:spacing w:after="0"/>
              <w:rPr>
                <w:sz w:val="18"/>
                <w:szCs w:val="18"/>
                <w:color w:val="auto"/>
              </w:rPr>
            </w:pPr>
          </w:p>
        </w:tc>
      </w:tr>
      <w:tr>
        <w:trPr>
          <w:trHeight w:val="21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Dilutive earnings per common share</w:t>
            </w:r>
          </w:p>
        </w:tc>
        <w:tc>
          <w:tcPr>
            <w:tcW w:w="1420" w:type="dxa"/>
            <w:vAlign w:val="bottom"/>
            <w:tcBorders>
              <w:bottom w:val="single" w:sz="8" w:color="auto"/>
            </w:tcBorders>
          </w:tcPr>
          <w:p>
            <w:pPr>
              <w:jc w:val="right"/>
              <w:ind w:right="123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Segment Information</w:t>
      </w:r>
    </w:p>
    <w:p>
      <w:pPr>
        <w:spacing w:after="0" w:line="111"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6"/>
          <w:szCs w:val="16"/>
          <w:color w:val="auto"/>
        </w:rPr>
        <w:t>Our management, including our chief executive officer, who is our chief operating decision maker, manages our operations as two reportable business segments: Leasing and Consumer CLEC. Our Leasing segment represents our REIT operations and corporate expenses not directly attributable to the Consumer CLEC segment. The Consumer CLEC segment represents the operations of our Consumer CLEC Business and corporate expenses directly attributable to the operation of that business. We evaluate the performance of each segment based on Adjusted EBITDA, which is an operating performance measure defined as net income determined in accordance with GAAP, before interest expense, provision for income taxes, depreciation and amortization, stock-based compensation expense, the impact, which may be recurring in nature, of transaction related expenses, the write off of unamortized deferred financing costs, costs incurred as a result of the early repayment of debt, changes in the fair value of contingent consideration and financial instruments, and other similar items.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data related to our segments is presented below for the three months ended March 31, 2016:</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 2016</w:t>
            </w:r>
          </w:p>
        </w:tc>
        <w:tc>
          <w:tcPr>
            <w:tcW w:w="7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38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jc w:val="right"/>
              <w:ind w:right="336"/>
              <w:spacing w:after="0" w:line="151" w:lineRule="exact"/>
              <w:rPr>
                <w:sz w:val="20"/>
                <w:szCs w:val="20"/>
                <w:color w:val="auto"/>
              </w:rPr>
            </w:pPr>
            <w:r>
              <w:rPr>
                <w:rFonts w:ascii="Times New Roman" w:cs="Times New Roman" w:eastAsia="Times New Roman" w:hAnsi="Times New Roman"/>
                <w:sz w:val="14"/>
                <w:szCs w:val="14"/>
                <w:b w:val="1"/>
                <w:bCs w:val="1"/>
                <w:color w:val="auto"/>
              </w:rPr>
              <w:t>Leasing Operations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80" w:type="dxa"/>
            <w:vAlign w:val="bottom"/>
            <w:gridSpan w:val="3"/>
          </w:tcPr>
          <w:p>
            <w:pPr>
              <w:jc w:val="center"/>
              <w:ind w:right="660"/>
              <w:spacing w:after="0" w:line="151" w:lineRule="exact"/>
              <w:rPr>
                <w:sz w:val="20"/>
                <w:szCs w:val="20"/>
                <w:color w:val="auto"/>
              </w:rPr>
            </w:pPr>
            <w:r>
              <w:rPr>
                <w:rFonts w:ascii="Times New Roman" w:cs="Times New Roman" w:eastAsia="Times New Roman" w:hAnsi="Times New Roman"/>
                <w:sz w:val="14"/>
                <w:szCs w:val="14"/>
                <w:b w:val="1"/>
                <w:bCs w:val="1"/>
                <w:color w:val="auto"/>
              </w:rPr>
              <w:t>Consumer CLEC</w:t>
            </w:r>
          </w:p>
        </w:tc>
        <w:tc>
          <w:tcPr>
            <w:tcW w:w="19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w w:val="99"/>
              </w:rPr>
              <w:t>Subtotal of Reportable Segments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Revenues</w:t>
            </w:r>
          </w:p>
        </w:tc>
        <w:tc>
          <w:tcPr>
            <w:tcW w:w="148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168,641</w:t>
            </w:r>
          </w:p>
        </w:tc>
        <w:tc>
          <w:tcPr>
            <w:tcW w:w="100" w:type="dxa"/>
            <w:vAlign w:val="bottom"/>
          </w:tcPr>
          <w:p>
            <w:pPr>
              <w:spacing w:after="0"/>
              <w:rPr>
                <w:sz w:val="18"/>
                <w:szCs w:val="18"/>
                <w:color w:val="auto"/>
              </w:rPr>
            </w:pPr>
          </w:p>
        </w:tc>
        <w:tc>
          <w:tcPr>
            <w:tcW w:w="54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164,377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165,709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85,525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36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7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7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by business segment as of March 31, 2016 and December 31, 2015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40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00" w:type="dxa"/>
            <w:vAlign w:val="bottom"/>
            <w:tcBorders>
              <w:bottom w:val="single" w:sz="8" w:color="CFF0FC"/>
            </w:tcBorders>
          </w:tcPr>
          <w:p>
            <w:pPr>
              <w:spacing w:after="0"/>
              <w:rPr>
                <w:sz w:val="14"/>
                <w:szCs w:val="14"/>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Leasing operations</w:t>
            </w:r>
          </w:p>
        </w:tc>
        <w:tc>
          <w:tcPr>
            <w:tcW w:w="800" w:type="dxa"/>
            <w:vAlign w:val="bottom"/>
            <w:gridSpan w:val="2"/>
            <w:shd w:val="clear" w:color="auto" w:fill="CFF0FC"/>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2,502,957</w:t>
            </w:r>
          </w:p>
        </w:tc>
        <w:tc>
          <w:tcPr>
            <w:tcW w:w="4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2,527,915</w:t>
            </w:r>
          </w:p>
        </w:tc>
        <w:tc>
          <w:tcPr>
            <w:tcW w:w="100" w:type="dxa"/>
            <w:vAlign w:val="bottom"/>
            <w:shd w:val="clear" w:color="auto" w:fill="CFF0FC"/>
          </w:tcPr>
          <w:p>
            <w:pPr>
              <w:spacing w:after="0"/>
              <w:rPr>
                <w:sz w:val="19"/>
                <w:szCs w:val="19"/>
                <w:color w:val="auto"/>
              </w:rPr>
            </w:pPr>
          </w:p>
        </w:tc>
      </w:tr>
      <w:tr>
        <w:trPr>
          <w:trHeight w:val="224"/>
        </w:trPr>
        <w:tc>
          <w:tcPr>
            <w:tcW w:w="5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 CLEC</w:t>
            </w:r>
          </w:p>
        </w:tc>
        <w:tc>
          <w:tcPr>
            <w:tcW w:w="3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14,958</w:t>
            </w:r>
          </w:p>
        </w:tc>
        <w:tc>
          <w:tcPr>
            <w:tcW w:w="4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14,721</w:t>
            </w:r>
          </w:p>
        </w:tc>
        <w:tc>
          <w:tcPr>
            <w:tcW w:w="100" w:type="dxa"/>
            <w:vAlign w:val="bottom"/>
            <w:tcBorders>
              <w:bottom w:val="single" w:sz="8" w:color="CFF0FC"/>
            </w:tcBorders>
          </w:tcPr>
          <w:p>
            <w:pPr>
              <w:spacing w:after="0"/>
              <w:rPr>
                <w:sz w:val="19"/>
                <w:szCs w:val="19"/>
                <w:color w:val="auto"/>
              </w:rPr>
            </w:pPr>
          </w:p>
        </w:tc>
      </w:tr>
      <w:tr>
        <w:trPr>
          <w:trHeight w:val="217"/>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 of reportable segments</w:t>
            </w:r>
          </w:p>
        </w:tc>
        <w:tc>
          <w:tcPr>
            <w:tcW w:w="3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2,517,915</w:t>
            </w:r>
          </w:p>
        </w:tc>
        <w:tc>
          <w:tcPr>
            <w:tcW w:w="4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2,542,636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1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69"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Pursuant to the Separation and Distribution Agreement,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w:t>
      </w:r>
    </w:p>
    <w:p>
      <w:pPr>
        <w:spacing w:after="0" w:line="159"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Under the terms of the Tax Matters Agreement entered into with Windstream, we are generally responsible for any taxes imposed on Windstream that arise from the failure of the Spin-Off and the debt exchanges to qualify as tax-free for U.S. federal income tax purposes, within the meaning of Section 355 and Section 368(a)(1)(D) of the Internal Revenue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have recorded no such liabilities in our consolidated balance sheet.</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Accumulated Other Comprehensive Income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income by component is as follows for the three months ended March 31, 2016:</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Currency Translation</w:t>
            </w:r>
          </w:p>
        </w:tc>
        <w:tc>
          <w:tcPr>
            <w:tcW w:w="19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Changes in Fair Value of</w:t>
            </w: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2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Effective Cash Flow</w:t>
            </w:r>
          </w:p>
        </w:tc>
        <w:tc>
          <w:tcPr>
            <w:tcW w:w="360" w:type="dxa"/>
            <w:vAlign w:val="bottom"/>
          </w:tcPr>
          <w:p>
            <w:pPr>
              <w:spacing w:after="0"/>
              <w:rPr>
                <w:sz w:val="12"/>
                <w:szCs w:val="12"/>
                <w:color w:val="auto"/>
              </w:rPr>
            </w:pPr>
          </w:p>
        </w:tc>
        <w:tc>
          <w:tcPr>
            <w:tcW w:w="138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5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Adjustment</w:t>
            </w:r>
          </w:p>
        </w:tc>
        <w:tc>
          <w:tcPr>
            <w:tcW w:w="140" w:type="dxa"/>
            <w:vAlign w:val="bottom"/>
          </w:tcPr>
          <w:p>
            <w:pPr>
              <w:spacing w:after="0"/>
              <w:rPr>
                <w:sz w:val="14"/>
                <w:szCs w:val="14"/>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Hedge</w:t>
            </w:r>
          </w:p>
        </w:tc>
        <w:tc>
          <w:tcPr>
            <w:tcW w:w="3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at December 31, 2015</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(46,379)</w:t>
            </w:r>
          </w:p>
        </w:tc>
        <w:tc>
          <w:tcPr>
            <w:tcW w:w="3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(46,299)</w:t>
            </w:r>
          </w:p>
        </w:tc>
        <w:tc>
          <w:tcPr>
            <w:tcW w:w="0" w:type="dxa"/>
            <w:vAlign w:val="bottom"/>
          </w:tcPr>
          <w:p>
            <w:pPr>
              <w:spacing w:after="0"/>
              <w:rPr>
                <w:sz w:val="1"/>
                <w:szCs w:val="1"/>
                <w:color w:val="auto"/>
              </w:rPr>
            </w:pPr>
          </w:p>
        </w:tc>
      </w:tr>
      <w:tr>
        <w:trPr>
          <w:trHeight w:val="224"/>
        </w:trPr>
        <w:tc>
          <w:tcPr>
            <w:tcW w:w="5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 at March 31, 2016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(45,869)</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Supplemental Guarantor Information</w:t>
      </w:r>
    </w:p>
    <w:p>
      <w:pPr>
        <w:spacing w:after="0" w:line="11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In connection with the issuance of the Senior Secured Notes, Senior Unsecured Notes and Term Loan Facility due 2022, the Guarantors provided guarantees of that indebtedness. These guarantees are full and unconditional as well as joint and several. All property assets and related operations of the Guarantors are pledged as collateral under these obligations and the Guarantors are subject to restrictions on certain investments and payments. Subject to the terms and provisions of the debt agreements, in certain circumstances, a Guarantor may be released from its guarantee obligation including, upon the sale or transfer of any portion of its equity interest or all or substantially all its property, and upon any Guarantor being designated an Unrestricted Subsidiary, as defined in the Credit Agreement, or otherwise no longer being required to remain a Guarantor given its size or regulatory restrictions.</w:t>
      </w:r>
    </w:p>
    <w:p>
      <w:pPr>
        <w:spacing w:after="0" w:line="19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following information summarizes our Condensed Consolidating Balance Sheets as of March 31, 2016 and December 31, 2015, Condensed Consolidating Statement of Comprehensive Income (Loss) for the three months ended March 31, 2016, and the Condensed Consolidating Statement of Cash Flows for the three months ended March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40" w:type="dxa"/>
            <w:vAlign w:val="bottom"/>
            <w:gridSpan w:val="8"/>
          </w:tcPr>
          <w:p>
            <w:pPr>
              <w:jc w:val="center"/>
              <w:ind w:left="694"/>
              <w:spacing w:after="0"/>
              <w:rPr>
                <w:sz w:val="20"/>
                <w:szCs w:val="20"/>
                <w:color w:val="auto"/>
              </w:rPr>
            </w:pPr>
            <w:r>
              <w:rPr>
                <w:rFonts w:ascii="Times New Roman" w:cs="Times New Roman" w:eastAsia="Times New Roman" w:hAnsi="Times New Roman"/>
                <w:sz w:val="14"/>
                <w:szCs w:val="14"/>
                <w:b w:val="1"/>
                <w:bCs w:val="1"/>
                <w:color w:val="auto"/>
                <w:w w:val="99"/>
              </w:rPr>
              <w:t>Condensed Consolidating Balance Sheet</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As of March 31, 2016</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0"/>
                <w:szCs w:val="10"/>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CS&amp;L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w w:val="98"/>
              </w:rPr>
              <w:t>CSL Capital</w:t>
            </w: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0"/>
                <w:szCs w:val="10"/>
                <w:color w:val="auto"/>
              </w:rPr>
            </w:pPr>
          </w:p>
        </w:tc>
        <w:tc>
          <w:tcPr>
            <w:tcW w:w="920" w:type="dxa"/>
            <w:vAlign w:val="bottom"/>
            <w:gridSpan w:val="2"/>
          </w:tcPr>
          <w:p>
            <w:pPr>
              <w:jc w:val="center"/>
              <w:ind w:right="420"/>
              <w:spacing w:after="0" w:line="127" w:lineRule="exact"/>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0"/>
                <w:szCs w:val="10"/>
                <w:color w:val="auto"/>
              </w:rPr>
            </w:pPr>
          </w:p>
        </w:tc>
        <w:tc>
          <w:tcPr>
            <w:tcW w:w="1140" w:type="dxa"/>
            <w:vAlign w:val="bottom"/>
            <w:gridSpan w:val="2"/>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w w:val="96"/>
              </w:rPr>
              <w:t>Eliminations</w:t>
            </w:r>
          </w:p>
        </w:tc>
        <w:tc>
          <w:tcPr>
            <w:tcW w:w="1020" w:type="dxa"/>
            <w:vAlign w:val="bottom"/>
            <w:gridSpan w:val="3"/>
            <w:vMerge w:val="restart"/>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4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Guarantors</w:t>
            </w: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Real estate investments, net of accumulated depreciation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1,799,279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521,845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2,321,124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160,158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Affiliate receivable</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Straight-line rent receivable</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Investment in consolidated subsidiaries</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2,404,503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2,404,503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8"/>
                <w:szCs w:val="18"/>
                <w:color w:val="auto"/>
              </w:rPr>
              <w:t>(4,822,091)</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2,404,561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2,404,503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1,990,125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540,818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(4,822,092</w:t>
            </w:r>
          </w:p>
        </w:tc>
        <w:tc>
          <w:tcPr>
            <w:tcW w:w="260" w:type="dxa"/>
            <w:vAlign w:val="bottom"/>
            <w:tcBorders>
              <w:top w:val="single" w:sz="8" w:color="CFF0FC"/>
              <w:bottom w:val="single" w:sz="8" w:color="CFF0FC"/>
            </w:tcBorders>
            <w:shd w:val="clear" w:color="auto" w:fill="CFF0FC"/>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2,517,915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(53,340)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67,952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99,260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Derivative liability</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(45,869)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Affiliate payable</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Dividends payable</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Notes and other debt, net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3,503,642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3,503,642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(3,503,642)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3,503,642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Borders>
              <w:top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3,693,472</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3,602,851</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76,613</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36,742</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(3,602,852</w:t>
            </w:r>
          </w:p>
        </w:tc>
        <w:tc>
          <w:tcPr>
            <w:tcW w:w="260" w:type="dxa"/>
            <w:vAlign w:val="bottom"/>
            <w:tcBorders>
              <w:top w:val="single" w:sz="8" w:color="CFF0FC"/>
            </w:tcBorders>
            <w:shd w:val="clear" w:color="auto" w:fill="CFF0FC"/>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3,806,826</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(45,789)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98"/>
              <w:spacing w:after="0"/>
              <w:rPr>
                <w:sz w:val="20"/>
                <w:szCs w:val="20"/>
                <w:color w:val="auto"/>
              </w:rPr>
            </w:pPr>
            <w:r>
              <w:rPr>
                <w:rFonts w:ascii="Times New Roman" w:cs="Times New Roman" w:eastAsia="Times New Roman" w:hAnsi="Times New Roman"/>
                <w:sz w:val="18"/>
                <w:szCs w:val="18"/>
                <w:color w:val="auto"/>
              </w:rPr>
              <w:t>(45,869)</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45,789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Distributions in excess of earnings</w:t>
            </w: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(1,246,544)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(1,152,479)</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1,913,512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503,996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(1,265,029)</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(1,246,544)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Borders>
              <w:top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(1,288,911)</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(1,198,348</w:t>
            </w:r>
          </w:p>
        </w:tc>
        <w:tc>
          <w:tcPr>
            <w:tcW w:w="240" w:type="dxa"/>
            <w:vAlign w:val="bottom"/>
            <w:tcBorders>
              <w:top w:val="single" w:sz="8" w:color="CFF0FC"/>
            </w:tcBorders>
            <w:shd w:val="clear" w:color="auto" w:fill="CFF0FC"/>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1,913,512</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504,076</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(1,219,240</w:t>
            </w:r>
          </w:p>
        </w:tc>
        <w:tc>
          <w:tcPr>
            <w:tcW w:w="260" w:type="dxa"/>
            <w:vAlign w:val="bottom"/>
            <w:tcBorders>
              <w:top w:val="single" w:sz="8" w:color="CFF0FC"/>
            </w:tcBorders>
            <w:shd w:val="clear" w:color="auto" w:fill="CFF0FC"/>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(1,288,911</w:t>
            </w:r>
          </w:p>
        </w:tc>
        <w:tc>
          <w:tcPr>
            <w:tcW w:w="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2,404,561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2,404,503</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1,990,125</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540,818</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(4,822,092</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2,517,915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7"/>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40" w:type="dxa"/>
            <w:vAlign w:val="bottom"/>
            <w:gridSpan w:val="8"/>
          </w:tcPr>
          <w:p>
            <w:pPr>
              <w:jc w:val="center"/>
              <w:ind w:left="694"/>
              <w:spacing w:after="0"/>
              <w:rPr>
                <w:sz w:val="20"/>
                <w:szCs w:val="20"/>
                <w:color w:val="auto"/>
              </w:rPr>
            </w:pPr>
            <w:r>
              <w:rPr>
                <w:rFonts w:ascii="Times New Roman" w:cs="Times New Roman" w:eastAsia="Times New Roman" w:hAnsi="Times New Roman"/>
                <w:sz w:val="14"/>
                <w:szCs w:val="14"/>
                <w:b w:val="1"/>
                <w:bCs w:val="1"/>
                <w:color w:val="auto"/>
                <w:w w:val="99"/>
              </w:rPr>
              <w:t>Condensed Consolidating Balance Sheet</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As of December 31, 2015</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0"/>
                <w:szCs w:val="10"/>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CS&amp;L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8"/>
              </w:rPr>
              <w:t>CSL Capital</w:t>
            </w: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0"/>
                <w:szCs w:val="10"/>
                <w:color w:val="auto"/>
              </w:rPr>
            </w:pPr>
          </w:p>
        </w:tc>
        <w:tc>
          <w:tcPr>
            <w:tcW w:w="920" w:type="dxa"/>
            <w:vAlign w:val="bottom"/>
            <w:gridSpan w:val="2"/>
          </w:tcPr>
          <w:p>
            <w:pPr>
              <w:jc w:val="center"/>
              <w:ind w:right="420"/>
              <w:spacing w:after="0" w:line="127" w:lineRule="exact"/>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0"/>
                <w:szCs w:val="10"/>
                <w:color w:val="auto"/>
              </w:rPr>
            </w:pPr>
          </w:p>
        </w:tc>
        <w:tc>
          <w:tcPr>
            <w:tcW w:w="1140" w:type="dxa"/>
            <w:vAlign w:val="bottom"/>
            <w:gridSpan w:val="2"/>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w w:val="96"/>
              </w:rPr>
              <w:t>Eliminations</w:t>
            </w:r>
          </w:p>
        </w:tc>
        <w:tc>
          <w:tcPr>
            <w:tcW w:w="10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4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Guarantors</w:t>
            </w: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40" w:type="dxa"/>
            <w:vAlign w:val="bottom"/>
            <w:gridSpan w:val="2"/>
            <w:shd w:val="clear" w:color="auto" w:fill="CFF0FC"/>
          </w:tcPr>
          <w:p>
            <w:pPr>
              <w:ind w:left="220"/>
              <w:spacing w:after="0" w:line="205" w:lineRule="exact"/>
              <w:rPr>
                <w:sz w:val="20"/>
                <w:szCs w:val="20"/>
                <w:color w:val="auto"/>
              </w:rPr>
            </w:pPr>
            <w:r>
              <w:rPr>
                <w:rFonts w:ascii="Times New Roman" w:cs="Times New Roman" w:eastAsia="Times New Roman" w:hAnsi="Times New Roman"/>
                <w:sz w:val="18"/>
                <w:szCs w:val="18"/>
                <w:color w:val="auto"/>
              </w:rPr>
              <w:t>Real estate investments, net of accumulated</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1,839,603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533,048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2,372,651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142,498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Affiliate receivable</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Straight-line rent receivable</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Investment in consolidated subsidiaries</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2,458,679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2,458,679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8"/>
                <w:szCs w:val="18"/>
                <w:color w:val="auto"/>
              </w:rPr>
              <w:t>(4,928,593)</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2,458,696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2,458,679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2,006,236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547,769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(4,928,744</w:t>
            </w:r>
          </w:p>
        </w:tc>
        <w:tc>
          <w:tcPr>
            <w:tcW w:w="260" w:type="dxa"/>
            <w:vAlign w:val="bottom"/>
            <w:tcBorders>
              <w:top w:val="single" w:sz="8" w:color="CFF0FC"/>
              <w:bottom w:val="single" w:sz="8" w:color="CFF0FC"/>
            </w:tcBorders>
            <w:shd w:val="clear" w:color="auto" w:fill="CFF0FC"/>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2,542,636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40" w:type="dxa"/>
            <w:vAlign w:val="bottom"/>
            <w:gridSpan w:val="2"/>
          </w:tcPr>
          <w:p>
            <w:pPr>
              <w:ind w:left="220"/>
              <w:spacing w:after="0" w:line="205" w:lineRule="exact"/>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8"/>
                <w:szCs w:val="18"/>
                <w:color w:val="auto"/>
              </w:rPr>
              <w:t>(24,440)</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Derivative liability</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Affiliate payable</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Dividends payable</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90,507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90,507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Notes and other debt, net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3,505,228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3,505,228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8"/>
                <w:szCs w:val="18"/>
                <w:color w:val="auto"/>
              </w:rPr>
              <w:t>(3,505,228)</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3,505,228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Borders>
              <w:bottom w:val="single" w:sz="8" w:color="CFF0FC"/>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3,625,602</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3,535,095</w:t>
            </w:r>
          </w:p>
        </w:tc>
        <w:tc>
          <w:tcPr>
            <w:tcW w:w="2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55,743</w:t>
            </w:r>
          </w:p>
        </w:tc>
        <w:tc>
          <w:tcPr>
            <w:tcW w:w="24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28,348</w:t>
            </w:r>
          </w:p>
        </w:tc>
        <w:tc>
          <w:tcPr>
            <w:tcW w:w="2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(3,535,246)</w:t>
            </w:r>
          </w:p>
        </w:tc>
        <w:tc>
          <w:tcPr>
            <w:tcW w:w="2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3,709,542</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Distributions in excess of earnings</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(1,162,886)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(1,070,989)</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1,950,493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519,421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8"/>
                <w:szCs w:val="18"/>
                <w:color w:val="auto"/>
              </w:rPr>
              <w:t>(1,398,925)</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9"/>
              </w:rPr>
              <w:t>(1,162,886)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Borders>
              <w:bottom w:val="single" w:sz="8" w:color="CFF0FC"/>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(1,166,906)</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(1,076,416)</w:t>
            </w:r>
          </w:p>
        </w:tc>
        <w:tc>
          <w:tcPr>
            <w:tcW w:w="2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1,950,493</w:t>
            </w:r>
          </w:p>
        </w:tc>
        <w:tc>
          <w:tcPr>
            <w:tcW w:w="24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519,421</w:t>
            </w:r>
          </w:p>
        </w:tc>
        <w:tc>
          <w:tcPr>
            <w:tcW w:w="2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(1,393,498)</w:t>
            </w:r>
          </w:p>
        </w:tc>
        <w:tc>
          <w:tcPr>
            <w:tcW w:w="2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(1,166,906)</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2,458,696</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2,458,679</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2,006,236</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547,769</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(4,928,744</w:t>
            </w:r>
          </w:p>
        </w:tc>
        <w:tc>
          <w:tcPr>
            <w:tcW w:w="260" w:type="dxa"/>
            <w:vAlign w:val="bottom"/>
            <w:tcBorders>
              <w:bottom w:val="single" w:sz="8" w:color="CFF0FC"/>
            </w:tcBorders>
            <w:shd w:val="clear" w:color="auto" w:fill="CFF0FC"/>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2,542,636</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7"/>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20" w:type="dxa"/>
            <w:vAlign w:val="bottom"/>
            <w:gridSpan w:val="11"/>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Comprehensive Income (Loss)</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 March 31, 2016</w:t>
            </w: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6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4"/>
                <w:szCs w:val="14"/>
                <w:b w:val="1"/>
                <w:bCs w:val="1"/>
                <w:color w:val="auto"/>
              </w:rPr>
              <w:t>CS&amp;L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CSL Capital</w:t>
            </w:r>
          </w:p>
        </w:tc>
        <w:tc>
          <w:tcPr>
            <w:tcW w:w="140" w:type="dxa"/>
            <w:vAlign w:val="bottom"/>
          </w:tcPr>
          <w:p>
            <w:pPr>
              <w:spacing w:after="0"/>
              <w:rPr>
                <w:sz w:val="13"/>
                <w:szCs w:val="13"/>
                <w:color w:val="auto"/>
              </w:rPr>
            </w:pPr>
          </w:p>
        </w:tc>
        <w:tc>
          <w:tcPr>
            <w:tcW w:w="1100" w:type="dxa"/>
            <w:vAlign w:val="bottom"/>
            <w:gridSpan w:val="2"/>
          </w:tcPr>
          <w:p>
            <w:pPr>
              <w:jc w:val="right"/>
              <w:ind w:right="340"/>
              <w:spacing w:after="0" w:line="151" w:lineRule="exact"/>
              <w:rPr>
                <w:sz w:val="20"/>
                <w:szCs w:val="20"/>
                <w:color w:val="auto"/>
              </w:rPr>
            </w:pPr>
            <w:r>
              <w:rPr>
                <w:rFonts w:ascii="Times New Roman" w:cs="Times New Roman" w:eastAsia="Times New Roman" w:hAnsi="Times New Roman"/>
                <w:sz w:val="14"/>
                <w:szCs w:val="14"/>
                <w:b w:val="1"/>
                <w:bCs w:val="1"/>
                <w:color w:val="auto"/>
              </w:rPr>
              <w:t>Guarantors</w:t>
            </w:r>
          </w:p>
        </w:tc>
        <w:tc>
          <w:tcPr>
            <w:tcW w:w="1260" w:type="dxa"/>
            <w:vAlign w:val="bottom"/>
            <w:gridSpan w:val="3"/>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Non-Guarantors</w:t>
            </w:r>
          </w:p>
        </w:tc>
        <w:tc>
          <w:tcPr>
            <w:tcW w:w="160" w:type="dxa"/>
            <w:vAlign w:val="bottom"/>
          </w:tcPr>
          <w:p>
            <w:pPr>
              <w:spacing w:after="0"/>
              <w:rPr>
                <w:sz w:val="13"/>
                <w:szCs w:val="13"/>
                <w:color w:val="auto"/>
              </w:rPr>
            </w:pPr>
          </w:p>
        </w:tc>
        <w:tc>
          <w:tcPr>
            <w:tcW w:w="1240" w:type="dxa"/>
            <w:vAlign w:val="bottom"/>
            <w:gridSpan w:val="2"/>
          </w:tcPr>
          <w:p>
            <w:pPr>
              <w:jc w:val="right"/>
              <w:ind w:right="460"/>
              <w:spacing w:after="0" w:line="151" w:lineRule="exact"/>
              <w:rPr>
                <w:sz w:val="20"/>
                <w:szCs w:val="20"/>
                <w:color w:val="auto"/>
              </w:rPr>
            </w:pPr>
            <w:r>
              <w:rPr>
                <w:rFonts w:ascii="Times New Roman" w:cs="Times New Roman" w:eastAsia="Times New Roman" w:hAnsi="Times New Roman"/>
                <w:sz w:val="14"/>
                <w:szCs w:val="14"/>
                <w:b w:val="1"/>
                <w:bCs w:val="1"/>
                <w:color w:val="auto"/>
                <w:w w:val="99"/>
              </w:rPr>
              <w:t>Eliminations</w:t>
            </w:r>
          </w:p>
        </w:tc>
        <w:tc>
          <w:tcPr>
            <w:tcW w:w="140" w:type="dxa"/>
            <w:vAlign w:val="bottom"/>
          </w:tcPr>
          <w:p>
            <w:pPr>
              <w:spacing w:after="0"/>
              <w:rPr>
                <w:sz w:val="13"/>
                <w:szCs w:val="13"/>
                <w:color w:val="auto"/>
              </w:rPr>
            </w:pPr>
          </w:p>
        </w:tc>
        <w:tc>
          <w:tcPr>
            <w:tcW w:w="1020" w:type="dxa"/>
            <w:vAlign w:val="bottom"/>
          </w:tcPr>
          <w:p>
            <w:pPr>
              <w:jc w:val="right"/>
              <w:ind w:right="114"/>
              <w:spacing w:after="0" w:line="15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6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Rental revenues</w:t>
            </w:r>
          </w:p>
        </w:tc>
        <w:tc>
          <w:tcPr>
            <w:tcW w:w="38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168,275</w:t>
            </w:r>
          </w:p>
        </w:tc>
        <w:tc>
          <w:tcPr>
            <w:tcW w:w="100" w:type="dxa"/>
            <w:vAlign w:val="bottom"/>
          </w:tcPr>
          <w:p>
            <w:pPr>
              <w:spacing w:after="0"/>
              <w:rPr>
                <w:sz w:val="19"/>
                <w:szCs w:val="19"/>
                <w:color w:val="auto"/>
              </w:rPr>
            </w:pPr>
          </w:p>
        </w:tc>
        <w:tc>
          <w:tcPr>
            <w:tcW w:w="340" w:type="dxa"/>
            <w:vAlign w:val="bottom"/>
          </w:tcPr>
          <w:p>
            <w:pPr>
              <w:jc w:val="center"/>
              <w:ind w:right="15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Consumer CLEC</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168,275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174,675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(66,145)</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64,085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expense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67,075</w:t>
            </w: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66,145</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72,062</w:t>
            </w: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27,058</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(66,145)</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166,195</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(losses) from consolidated subsidiaries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(150,222)</w:t>
            </w: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96,213</w:t>
            </w: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(20,658)</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(84,077)</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95,965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center"/>
              <w:ind w:right="15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(84,077)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(32,326)</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(31,476)</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95,965</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center"/>
              <w:ind w:right="15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(20,774)</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(43,715)</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(32,326)</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7"/>
        </w:trPr>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6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80" w:type="dxa"/>
            <w:vAlign w:val="bottom"/>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Cash Flows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9"/>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2016</w:t>
            </w: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CS&amp;L</w:t>
            </w:r>
          </w:p>
        </w:tc>
        <w:tc>
          <w:tcPr>
            <w:tcW w:w="11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CSL Capital</w:t>
            </w:r>
          </w:p>
        </w:tc>
        <w:tc>
          <w:tcPr>
            <w:tcW w:w="12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00" w:type="dxa"/>
            <w:vAlign w:val="bottom"/>
          </w:tcPr>
          <w:p>
            <w:pPr>
              <w:spacing w:after="0"/>
              <w:rPr>
                <w:sz w:val="10"/>
                <w:szCs w:val="10"/>
                <w:color w:val="auto"/>
              </w:rPr>
            </w:pPr>
          </w:p>
        </w:tc>
        <w:tc>
          <w:tcPr>
            <w:tcW w:w="80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w w:val="94"/>
              </w:rPr>
              <w:t>Non-</w:t>
            </w:r>
          </w:p>
        </w:tc>
        <w:tc>
          <w:tcPr>
            <w:tcW w:w="12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69"/>
        </w:trPr>
        <w:tc>
          <w:tcPr>
            <w:tcW w:w="4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Guarantors</w:t>
            </w:r>
          </w:p>
        </w:tc>
        <w:tc>
          <w:tcPr>
            <w:tcW w:w="1220" w:type="dxa"/>
            <w:vAlign w:val="bottom"/>
            <w:gridSpan w:val="3"/>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97,665</w:t>
            </w:r>
          </w:p>
        </w:tc>
        <w:tc>
          <w:tcPr>
            <w:tcW w:w="100" w:type="dxa"/>
            <w:vAlign w:val="bottom"/>
          </w:tcPr>
          <w:p>
            <w:pPr>
              <w:spacing w:after="0"/>
              <w:rPr>
                <w:sz w:val="19"/>
                <w:szCs w:val="19"/>
                <w:color w:val="auto"/>
              </w:rPr>
            </w:pPr>
          </w:p>
        </w:tc>
        <w:tc>
          <w:tcPr>
            <w:tcW w:w="4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153,550</w:t>
            </w:r>
          </w:p>
        </w:tc>
        <w:tc>
          <w:tcPr>
            <w:tcW w:w="22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Pr>
          <w:p>
            <w:pPr>
              <w:spacing w:after="0"/>
              <w:rPr>
                <w:sz w:val="19"/>
                <w:szCs w:val="19"/>
                <w:color w:val="auto"/>
              </w:rPr>
            </w:pPr>
          </w:p>
        </w:tc>
        <w:tc>
          <w:tcPr>
            <w:tcW w:w="3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(130,695)</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47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(1,347)</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business, to include cash acquired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5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 on debt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(6,044)</w:t>
            </w:r>
          </w:p>
        </w:tc>
        <w:tc>
          <w:tcPr>
            <w:tcW w:w="460" w:type="dxa"/>
            <w:vAlign w:val="bottom"/>
          </w:tcPr>
          <w:p>
            <w:pPr>
              <w:spacing w:after="0"/>
              <w:rPr>
                <w:sz w:val="19"/>
                <w:szCs w:val="19"/>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(6,044)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share settlement (Note 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(1,266)</w:t>
            </w:r>
          </w:p>
        </w:tc>
        <w:tc>
          <w:tcPr>
            <w:tcW w:w="4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(90,314)</w:t>
            </w:r>
          </w:p>
        </w:tc>
        <w:tc>
          <w:tcPr>
            <w:tcW w:w="460" w:type="dxa"/>
            <w:vAlign w:val="bottom"/>
          </w:tcPr>
          <w:p>
            <w:pPr>
              <w:spacing w:after="0"/>
              <w:rPr>
                <w:sz w:val="19"/>
                <w:szCs w:val="19"/>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(90,314)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Intercompany transactions, net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(132,165)</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130,695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(97,624)</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(132,165)</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130,695</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47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December 31, 2015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140,197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March 31, 2016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160,158</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11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On May 2, 2016, we completed the previously announced acquisition of PEG Bandwidth, LLC (“PEG”), which was owned by affiliates of Associated Partners, L.P. PEG is a leading provider of infrastructure solutions including cell site backhaul and dark fiber for telecom carriers and enterprises and has an extensive fiber network in the Northeast, Mid-Atlantic, Illinois and South Central regions of the United States. The purchase price for all outstanding equity interests of PEG was valued at $413 million, subject to adjustment, and included $315 million of cash, issuance of one million shares of the Company’s common stock, and the issuance of 87,500 shares of the Company’s 3% Series A Convertible Preferred Stock. We funded the cash portion of the transaction through cash on hand and borrowings under our Revolving Credit Facility.</w:t>
      </w:r>
    </w:p>
    <w:p>
      <w:pPr>
        <w:spacing w:after="0" w:line="85"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color w:val="auto"/>
        </w:rPr>
        <w:t>On May 12, 2016, the Company completed the previously announced transaction with Windstream pursuant to which the Company acquired 32 wireless towers owned by Windstream and operating rights for 49 wireless towers previously conveyed to the Company in the Spin-off for a purchase price of approximately $3 million</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Wireless carriers currently leasing access to these towers became customers of CS&amp;L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5780" w:type="dxa"/>
            <w:vAlign w:val="bottom"/>
            <w:gridSpan w:val="3"/>
          </w:tcPr>
          <w:p>
            <w:pPr>
              <w:jc w:val="center"/>
              <w:ind w:right="1212"/>
              <w:spacing w:after="0"/>
              <w:rPr>
                <w:sz w:val="20"/>
                <w:szCs w:val="20"/>
                <w:color w:val="auto"/>
              </w:rPr>
            </w:pPr>
            <w:r>
              <w:rPr>
                <w:rFonts w:ascii="Times New Roman" w:cs="Times New Roman" w:eastAsia="Times New Roman" w:hAnsi="Times New Roman"/>
                <w:sz w:val="18"/>
                <w:szCs w:val="18"/>
                <w:b w:val="1"/>
                <w:bCs w:val="1"/>
                <w:color w:val="auto"/>
                <w:w w:val="97"/>
              </w:rPr>
              <w:t>Consumer CLEC Business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8"/>
                <w:szCs w:val="18"/>
                <w:color w:val="auto"/>
              </w:rPr>
            </w:pPr>
          </w:p>
        </w:tc>
        <w:tc>
          <w:tcPr>
            <w:tcW w:w="5780" w:type="dxa"/>
            <w:vAlign w:val="bottom"/>
            <w:gridSpan w:val="3"/>
          </w:tcPr>
          <w:p>
            <w:pPr>
              <w:jc w:val="center"/>
              <w:ind w:right="1212"/>
              <w:spacing w:after="0"/>
              <w:rPr>
                <w:sz w:val="20"/>
                <w:szCs w:val="20"/>
                <w:color w:val="auto"/>
              </w:rPr>
            </w:pPr>
            <w:r>
              <w:rPr>
                <w:rFonts w:ascii="Times New Roman" w:cs="Times New Roman" w:eastAsia="Times New Roman" w:hAnsi="Times New Roman"/>
                <w:sz w:val="18"/>
                <w:szCs w:val="18"/>
                <w:b w:val="1"/>
                <w:bCs w:val="1"/>
                <w:color w:val="auto"/>
                <w:w w:val="97"/>
              </w:rPr>
              <w:t>Statement of Revenues and Direct Expenses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5780" w:type="dxa"/>
            <w:vAlign w:val="bottom"/>
            <w:gridSpan w:val="3"/>
          </w:tcPr>
          <w:p>
            <w:pPr>
              <w:jc w:val="center"/>
              <w:ind w:right="1212"/>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9"/>
        </w:trPr>
        <w:tc>
          <w:tcPr>
            <w:tcW w:w="3480" w:type="dxa"/>
            <w:vAlign w:val="bottom"/>
            <w:vMerge w:val="continue"/>
          </w:tcPr>
          <w:p>
            <w:pPr>
              <w:spacing w:after="0"/>
              <w:rPr>
                <w:sz w:val="14"/>
                <w:szCs w:val="14"/>
                <w:color w:val="auto"/>
              </w:rPr>
            </w:pPr>
          </w:p>
        </w:tc>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March 31, 2015</w:t>
            </w:r>
          </w:p>
        </w:tc>
        <w:tc>
          <w:tcPr>
            <w:tcW w:w="0" w:type="dxa"/>
            <w:vAlign w:val="bottom"/>
          </w:tcPr>
          <w:p>
            <w:pPr>
              <w:spacing w:after="0"/>
              <w:rPr>
                <w:sz w:val="1"/>
                <w:szCs w:val="1"/>
                <w:color w:val="auto"/>
              </w:rPr>
            </w:pPr>
          </w:p>
        </w:tc>
      </w:tr>
      <w:tr>
        <w:trPr>
          <w:trHeight w:val="217"/>
        </w:trPr>
        <w:tc>
          <w:tcPr>
            <w:tcW w:w="3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1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revenues</w:t>
            </w:r>
          </w:p>
        </w:tc>
        <w:tc>
          <w:tcPr>
            <w:tcW w:w="5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5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8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direct expenses</w:t>
            </w:r>
          </w:p>
        </w:tc>
        <w:tc>
          <w:tcPr>
            <w:tcW w:w="516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 in Excess of Direct Expenses</w:t>
            </w:r>
          </w:p>
        </w:tc>
        <w:tc>
          <w:tcPr>
            <w:tcW w:w="5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this statement of Revenues and Direct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CLEC Business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11"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8"/>
          <w:szCs w:val="18"/>
          <w:color w:val="auto"/>
        </w:rPr>
        <w:t>Communications Sales &amp; Leasing, Inc. (the “Company,” “CS&amp;L,” “we,” “us” or “our”) was incorporated in the state of Delaware in February 2014 and reorganized in the state of Maryland on September 4, 2014. On April 24, 2015, in connection with the separation and spin-off of CS&amp;L from Windstream Holdings, Inc. (“Windstream Holdings” and together with its consolidated subsidiaries “Windstream”), Windstream contributed certain telecommunications network assets, including fiber and copper networks and other real estate (the “Distribution Systems”) and a small consumer competitive local exchange carrier (“CLEC”) business (the “Consumer CLEC Business”) to CS&amp;L in exchange for cash, shares of common stock of CS&amp;L and certain indebtedness of CS&amp;L (the “Spin-Off”).</w:t>
      </w:r>
    </w:p>
    <w:p>
      <w:pPr>
        <w:spacing w:after="0" w:line="190"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The Consumer CLEC Business, which historically has been reported as an integrated operation within Windstream,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 Prior to the Spin-Off, Windstream ceased accepting new residential customers in the service areas covered by the Consumer CLEC Business.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11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Subsequent to the Spin-Off, all financial results of the Consumer CLEC Business are reported within the consolidated financial statements of CS&amp;L. The accompanying unaudited Statement of Revenues and Direct Expenses for the three months ended March 31, 2015 has been prepared for the purpose of complying with the rules and regulations of the Securities and Exchange Commission (the “SEC”), as permitted by the SEC and are not intended to be a complete presentation of results of operations of the Consumer CLEC Business. Additionally, the interim financial statement has been prepared consistent with Article 10 of Regulation S-X. The elements of the financial statement are stated in accordance with accounting principles generally accepted in the United States (“GAAP”). Certain information and footnote disclosures have been condensed or omitted as permitted by the SEC’s rules and regulations. In the opinion of management, all adjustments considered necessary for a fair statement of the results of the interim period presented have been included. The results of operations for the interim period is not necessarily indicative of results for the full year.</w:t>
      </w:r>
    </w:p>
    <w:p>
      <w:pPr>
        <w:spacing w:after="0" w:line="19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accompanying Statement of Revenues and Direct Expenses include all direct costs incurred in connection with the operation of the Consumer CLEC Business for which specific identification was practicable. In addition, direct costs incurred by Windstream to operate the Consumer CLEC Business for which specific identification was not practicable have been allocated based on assumptions that management believes reasonable under the circumstances as more fully discussed in Note 4. The Statement of Revenues and Direct Expenses exclude costs that are not directly related to the Consumer CLEC Business including general corporate overhead costs, interest expense and income taxes.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11" w:lineRule="exact"/>
        <w:rPr>
          <w:sz w:val="20"/>
          <w:szCs w:val="20"/>
          <w:color w:val="auto"/>
        </w:rPr>
      </w:pPr>
    </w:p>
    <w:p>
      <w:pPr>
        <w:ind w:right="240"/>
        <w:spacing w:after="0" w:line="293" w:lineRule="auto"/>
        <w:rPr>
          <w:sz w:val="20"/>
          <w:szCs w:val="20"/>
          <w:color w:val="auto"/>
        </w:rPr>
      </w:pPr>
      <w:r>
        <w:rPr>
          <w:rFonts w:ascii="Times New Roman" w:cs="Times New Roman" w:eastAsia="Times New Roman" w:hAnsi="Times New Roman"/>
          <w:sz w:val="16"/>
          <w:szCs w:val="16"/>
          <w:u w:val="single" w:color="auto"/>
          <w:color w:val="auto"/>
        </w:rPr>
        <w:t>Use of Estimates</w:t>
      </w:r>
      <w:r>
        <w:rPr>
          <w:rFonts w:ascii="Times New Roman" w:cs="Times New Roman" w:eastAsia="Times New Roman" w:hAnsi="Times New Roman"/>
          <w:sz w:val="16"/>
          <w:szCs w:val="16"/>
          <w:color w:val="auto"/>
        </w:rPr>
        <w:t xml:space="preserve"> —The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 are based upon management’s evaluation of the relevant facts and circumstances as of the date of the financial statement. Actual results may differ from the estimates and assumptions used in preparing the accompanying financial statement, and such differences could be material.</w:t>
      </w:r>
    </w:p>
    <w:p>
      <w:pPr>
        <w:spacing w:after="0" w:line="15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—Service revenues are primarily derived from providing access to or usage of leased networks and facilities. Service revenues are recognized over the period that the corresponding services are rendered to customers. Revenues derived from other telecommunications services, including broadband, long distance and enhanced service revenues are recognized monthly as services are provided. Sales of customer premise equipment and modems are recognized when products are delivered to and accepted by customers.</w:t>
      </w:r>
    </w:p>
    <w:p>
      <w:pPr>
        <w:spacing w:after="0" w:line="183"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In assessing collectability of receivables, management considers a number of factors, including historical collection experience, aging of the accounts receivable balances and current economic conditions. When internal collection efforts on accounts have been exhausted, the accounts are written off by reducing the allowance for doubtful accounts. The provision for doubtful accounts, which is included in cost of service, was $83,000 for the three months ended March 31, 2015.</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CLEC Business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 – Continued</w:t>
      </w:r>
    </w:p>
    <w:p>
      <w:pPr>
        <w:spacing w:after="0" w:line="200" w:lineRule="exact"/>
        <w:rPr>
          <w:sz w:val="20"/>
          <w:szCs w:val="20"/>
          <w:color w:val="auto"/>
        </w:rPr>
      </w:pPr>
    </w:p>
    <w:p>
      <w:pPr>
        <w:spacing w:after="0" w:line="207"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6"/>
          <w:szCs w:val="16"/>
          <w:u w:val="single" w:color="auto"/>
          <w:color w:val="auto"/>
        </w:rPr>
        <w:t>Recently Issued Accounting Standards</w:t>
      </w:r>
      <w:r>
        <w:rPr>
          <w:rFonts w:ascii="Times New Roman" w:cs="Times New Roman" w:eastAsia="Times New Roman" w:hAnsi="Times New Roman"/>
          <w:sz w:val="16"/>
          <w:szCs w:val="16"/>
          <w:color w:val="auto"/>
        </w:rPr>
        <w:t xml:space="preserve">—In May 2014, the Financial Accounting Standards Board (“FASB”) issued Accounting Standards Update No. 2014-09, </w:t>
      </w:r>
      <w:r>
        <w:rPr>
          <w:rFonts w:ascii="Times New Roman" w:cs="Times New Roman" w:eastAsia="Times New Roman" w:hAnsi="Times New Roman"/>
          <w:sz w:val="16"/>
          <w:szCs w:val="16"/>
          <w:i w:val="1"/>
          <w:iCs w:val="1"/>
          <w:color w:val="auto"/>
        </w:rPr>
        <w:t xml:space="preserve">Revenue from Contracts with Customers </w:t>
      </w:r>
      <w:r>
        <w:rPr>
          <w:rFonts w:ascii="Times New Roman" w:cs="Times New Roman" w:eastAsia="Times New Roman" w:hAnsi="Times New Roman"/>
          <w:sz w:val="16"/>
          <w:szCs w:val="16"/>
          <w:color w:val="auto"/>
        </w:rPr>
        <w:t>(“ASU 2014-09”). The standard outlines a single comprehensive revenue recognition model for entities to follow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2017 and interim periods within those annual periods. Early adoption is permitted for public companies for annual periods beginning after December 15, 2016. </w:t>
      </w:r>
      <w:r>
        <w:rPr>
          <w:rFonts w:ascii="Times New Roman" w:cs="Times New Roman" w:eastAsia="Times New Roman" w:hAnsi="Times New Roman"/>
          <w:sz w:val="16"/>
          <w:szCs w:val="16"/>
          <w:color w:val="2F2F2F"/>
        </w:rPr>
        <w:t>The Company is in the process of evaluating this guidance to determine the impact it will have on our financial statements.</w:t>
      </w:r>
    </w:p>
    <w:p>
      <w:pPr>
        <w:spacing w:after="0" w:line="160"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u w:val="single" w:color="auto"/>
          <w:color w:val="auto"/>
        </w:rPr>
        <w:t>Subsequent Events</w:t>
      </w:r>
      <w:r>
        <w:rPr>
          <w:rFonts w:ascii="Times New Roman" w:cs="Times New Roman" w:eastAsia="Times New Roman" w:hAnsi="Times New Roman"/>
          <w:sz w:val="18"/>
          <w:szCs w:val="18"/>
          <w:color w:val="auto"/>
        </w:rPr>
        <w:t>—The accompanying financial statement of the Consumer CLEC Business was derived from the consolidated financial statements of Windstream, which issued its interim unaudited consolidated financial statements for the quarterly period ended March 31, 2015 on May 7, 2015. Accordingly, management has evaluated transactions for consideration as recognized subsequent events in the accompanying financial statement through the date of May 12, 2016.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Allocations</w:t>
      </w:r>
    </w:p>
    <w:p>
      <w:pPr>
        <w:spacing w:after="0" w:line="11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described in Note 2, the accompanying Statement of Revenues and Direct Expenses of the Consumer CLEC Business include all direct costs incurred in connection with the operation of the Consumer CLEC Business for which specific identification was practicable. In addition, certain costs incurred by Windstream to operate the Consumer CLEC Business for which specific identification was not practicable have been allocated based on revenues and sales. These allocated expenses are included in “Cost of revenues” and “Selling, general and administrative.”</w:t>
      </w:r>
    </w:p>
    <w:p>
      <w:pPr>
        <w:spacing w:after="0" w:line="183"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General and administrative costs incurred by Windstream not directly related to the Consumer CLEC Business have not been allocated to these operations. Costs not allocated include amounts related to executive management, accounting, treasury and cash management, data processing, legal, human resources and certain occupancy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1"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6"/>
          <w:szCs w:val="16"/>
          <w:color w:val="auto"/>
        </w:rPr>
        <w:t>The following management’s discussion and analysis of financial condition and results of operations describes the principal factors affecting the results of our operations, financial condition, and changes in financial condition for the three months ended March 31, 2016. Because we were formed in connection with the Spin-Off from Windstream Holdings on April 24, 2015, results discussed in this section cover the current quarter only and no quarter-over-quarter comparisons are included. This discussion should be read in conjunction with the accompanying unaudited financial statements, and the notes thereto set forth in Part I, Item 1 of this Quarterly Report on Form 10-Q and our Annual Report on Form 10-K for the year ended December 31, 2015, filed with the SEC on March 7, 2016.</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Description</w:t>
      </w:r>
    </w:p>
    <w:p>
      <w:pPr>
        <w:spacing w:after="0" w:line="113"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8"/>
          <w:szCs w:val="18"/>
          <w:color w:val="auto"/>
        </w:rPr>
        <w:t>On April 24, 2015, CS&amp;L completed the Spin-Off from Windstream pursuant to which Windstream contributed the Distribution Systems and the Consumer CLEC Business to CS&amp;L and CS&amp;L issued common stock and indebtedness and paid cash obtained from borrowings under CS&amp;L's senior credit facilities to Windstream. In connection with the Spin-Off, we entered into the Master Lease with Windstream, pursuant to which substantially all real property currently owned by CS&amp;L is leased to Windstream and from which substantially all of CS&amp;L's rental revenues are currently derived.</w:t>
      </w:r>
    </w:p>
    <w:p>
      <w:pPr>
        <w:spacing w:after="0" w:line="183"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6"/>
          <w:szCs w:val="16"/>
          <w:color w:val="auto"/>
        </w:rPr>
        <w:t>We are an internally managed real estate investment trust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 With the acquisition of PEG Bandwidth LLC, the Company has also become a leading provider of infrastructure solutions to the telecommunications industry. Presently, our primary source of revenue is rental revenue from leasing our Distributions Systems to Windstream Holdings under the Master Lease. We intend to elect to be taxed as a REIT for U.S. federal income tax purposes starting with our taxable year ending December 31, 2015.</w:t>
      </w:r>
    </w:p>
    <w:p>
      <w:pPr>
        <w:spacing w:after="0" w:line="15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Consumer CLEC Business, which was reported as an integrated operation within Windstream prior to the Spin-Off,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 We and Talk America Services, LLC (“Talk America”), an indirect wholly-owned subsidiary of CS&amp;L through which we conduct the Consumer CLEC Business, have jointly elected to treat Talk America as a “taxable REIT subsidiary” (“TRS”) effective as of the first day of CS&amp;L’s initial REIT tax year.</w:t>
      </w:r>
    </w:p>
    <w:p>
      <w:pPr>
        <w:spacing w:after="0" w:line="18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expect to grow and diversify our portfolio and tenant base by pursuing a range of transaction structures with communication service providers, including, (i) sale leaseback transactions, whereby we acquire existing infrastructure assets from communication service providers and lease them back on a long-term triple net basis; (ii) whole company acquisitions, which may include the use of one or more TRSs that are permitted under the tax laws to acquire non-REIT operating businesses and assets subject to certain limitations; (iii) capital investment financing, whereby we offer communication service providers a cost efficient method of raising funds for discrete capital investments to upgrade or expand their network; and (iv) mergers and acquisitions financing, whereby we facilitate mergers and acquisition transactions as a capital partner.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Quarterly Business Developments</w:t>
      </w:r>
    </w:p>
    <w:p>
      <w:pPr>
        <w:spacing w:after="0" w:line="11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i w:val="1"/>
          <w:iCs w:val="1"/>
          <w:u w:val="single" w:color="auto"/>
          <w:color w:val="auto"/>
        </w:rPr>
        <w:t>Acquisition of PEG Bandwidth,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May 2, 2016, we completed the previously announced acquisition of PEG Bandwidth, LLC. The purchase price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equity interests of PEG was valued at $413 million, subject to adjustment, and included $315 million of cash, issuance of one million shares of the Company’s common stock, and the issuance of 87,500 shares of the Company’s 3% Series A Convertible Preferred Stock. We funded the cash portion of the transaction through cash on hand and $321 million of borrowings under our Revolving Credit Facility. Upon closing, the PEG transaction diversified our portfolio and is expected to contribute approximately 10% consolidated annualized revenues.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Summit Wireless Infrastructure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22, 2016, we acquired Summit Wireless Infrastructure LLC. Summit builds, owns and</w:t>
      </w:r>
    </w:p>
    <w:p>
      <w:pPr>
        <w:spacing w:after="0" w:line="2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operates telecom infrastructure serving wireless carriers in Mexico. Consideration given to acquire Summit included performance-based shares of common equity valued at $1.1 million, which will vest in full on the third anniversary of closing subject to Summit meeting certain performance targets, and the assumption of Summit’s existing debt. The financial results of Summit are included in the Leasing segment from the date of acquisition and were not material, individually or in the aggregate, to our results of operations and therefore, pro forma financial information has not been presented.</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Acquisition of Certain Windstream Ownership and Operating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May 12, 2016, the Company completed the previously announced transaction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Windstream pursuant to which the Company acquired 32 wireless towers owned by Windstream and operating rights for 49 wireless towers previously conveyed to the Company in the Spin-Off for a purchase price of approximately $3 million. Wireless carriers currently leasing access to these towers became customers of CS&amp;L in the transaction.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Income and Results of Operations for the Three Months Ended March 31, 2016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6"/>
          <w:szCs w:val="16"/>
          <w:color w:val="auto"/>
        </w:rPr>
        <w:t>At present, our revenues are primarily attributable to rental revenue from leasing our Distribution Systems to Windstream Holdings pursuant to the Master Lease. Under the Master Lease, Windstream Holdings is primarily responsible for the costs related to operating the Distribution Systems, including property taxes, insurance, and maintenance and repair costs. The Master Lease has an initial term of 15 years with four (4) five-year renewal options and encompasses properties located in 29 states. The rent under the Master Lease is an annual fixed amount of $650 million during the first three years. Commencing with the fourth year of the Master Lease and continuing for the remainder of the initial term, rent under the Master Lease is subject to annual escalation of 0.5%. Additionally, we funded $43.1 million of capital expenditures related to the Distribution System on December 29, 2015. Monthly rent paid by Windstream increased by approximately $3.5 million per year in accordance with the Master Lease effective as off the date we provided the funding. Rental revenues over the 15 year initial term of the Master Lease will be recognized in the financial statements on a straight line basis, representing approximately $670.7 million per year. The Master Lease further provides that tenant funded capital improvements (“TCIs”), defined as maintenance, repair, overbuild, upgrade or replacement to leased network, including without limitation, the replacement of copper distribution systems with fiber distribution systems, automatically become property of CS&amp;L upon their construction by Windstream. We receive non-monetary consideration related to TCIs as they automatically become our property, thus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For the three months ended March 31, 2016, we recognized $168.6 million of revenue under the Master Lease, which includes $0.9 million of TCI revenue.</w:t>
      </w:r>
    </w:p>
    <w:p>
      <w:pPr>
        <w:spacing w:after="0" w:line="27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6"/>
          <w:szCs w:val="16"/>
          <w:color w:val="auto"/>
        </w:rPr>
        <w:t>Because substantially all of our revenue is derived from lease payments by Windstream pursuant to the Master Lease, there could be a material adverse impact on our consolidated results of operations, liquidity and/or financial condition if Windstream experiences operating difficulties and becomes unable to generate sufficient cash to make payments to us. In recent years, Windstream has experienced annual declines in its total revenue and sales. Accordingly, we monitor the credit quality of Windstream through numerous methods, including by (i) reviewing the credit ratings of Windstream by nationally recognized credit rating agencies, (ii) reviewing the financial statements of Windstream that are publicly available and that are required to be delivered to us pursuant to the Master Lease,</w:t>
      </w:r>
    </w:p>
    <w:p>
      <w:pPr>
        <w:spacing w:after="0" w:line="1" w:lineRule="exact"/>
        <w:rPr>
          <w:sz w:val="20"/>
          <w:szCs w:val="20"/>
          <w:color w:val="auto"/>
        </w:rPr>
      </w:pPr>
    </w:p>
    <w:p>
      <w:pPr>
        <w:ind w:left="320" w:hanging="315"/>
        <w:spacing w:after="0"/>
        <w:tabs>
          <w:tab w:leader="none" w:pos="3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news reports regarding Windstream and its businesses, (iv) conducting research to ascertain industry trends potentially affecting Windstream, and</w:t>
      </w:r>
    </w:p>
    <w:p>
      <w:pPr>
        <w:spacing w:after="0" w:line="26" w:lineRule="exact"/>
        <w:rPr>
          <w:rFonts w:ascii="Times New Roman" w:cs="Times New Roman" w:eastAsia="Times New Roman" w:hAnsi="Times New Roman"/>
          <w:sz w:val="16"/>
          <w:szCs w:val="16"/>
          <w:color w:val="auto"/>
        </w:rPr>
      </w:pPr>
    </w:p>
    <w:p>
      <w:pPr>
        <w:ind w:left="260" w:hanging="255"/>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timeliness of its lease payments.</w:t>
      </w:r>
    </w:p>
    <w:p>
      <w:pPr>
        <w:spacing w:after="0" w:line="9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In addition to periodic financial statements, pursuant to the Master Lease Windstream is obligated to provide us (i) a detailed consolidated budget on an annual basis and any significant revisions approved by Windstream’s board of directors, (ii) prompt notice of any adverse action or investigation by a governmental authority relating to Windstream’s licenses affecting the leased property, and (iii) any information we require to comply with our reporting and filing obligations with the SEC. Furthermore, pursuant to the Master Lease, we may inspect the properties leased to Windstream upon reasonable advance notice, and, no more than twice per year, we may require Windstream to deliver an officer’s certificate certifying, among other things, its material compliance with the covenants under the Master Lease, the amount of rent and additional charges payable thereunder, the dates the same were paid, and any other questions or statements of fact we reasonably request.</w:t>
      </w:r>
    </w:p>
    <w:p>
      <w:pPr>
        <w:spacing w:after="0" w:line="81"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2016, we recognized $6.0 million of revenue from the Consumer CLEC Business. As of March 31, 2016, we serviced 43,500 customers.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18"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Interest expense for the three months ended March 31, 2016 totaled $66.0 million, which includes non-cash interest expense of $3.8 million resulting from the amortization of our debt discounts and debt issuance costs. Our interest expense includes the impact of our interest rate swap agreements.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18"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We incur depreciation and amortization expense related to our real estate investments, corporate assets and intangible assets. Charges for depreciation and amortization for the three months ended March 31, 2016 totaled $86.3 million, which included real estate investment depreciation of $85.4 million, corporate asset depreciation of $0.1 million and intangible asset amortization of $0.8 million.</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18"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include compensation costs (including stock-based compensation awards), professional and legal services, corporate office costs and other costs associated with administrative activities. For the three months ended March 31, 2016, general and administrative costs totaled $5.2 million (representing 3.0% of revenue), which includes $0.9 million of stock-based compensation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11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Operating expense is primarily associated with the Consumer CLEC Business. Operating expense for the three months ended March 31, 2016, which totaled $4.7 million, is attributable to the Wholesale Master Services Agreement ($3.4 million (1.9% of revenue)) and the Master Services Agreement ($0.4 million (0.3% of revenue)) entered into between us and Windstream in connection with the Spin-Off, and also included costs arising under the interconnection agreements with other telecommunication carriers.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218" w:lineRule="exact"/>
        <w:rPr>
          <w:sz w:val="20"/>
          <w:szCs w:val="20"/>
          <w:color w:val="auto"/>
        </w:rPr>
      </w:pPr>
    </w:p>
    <w:p>
      <w:pPr>
        <w:ind w:right="20"/>
        <w:spacing w:after="0" w:line="303" w:lineRule="auto"/>
        <w:rPr>
          <w:sz w:val="20"/>
          <w:szCs w:val="20"/>
          <w:color w:val="auto"/>
        </w:rPr>
      </w:pPr>
      <w:r>
        <w:rPr>
          <w:rFonts w:ascii="Times New Roman" w:cs="Times New Roman" w:eastAsia="Times New Roman" w:hAnsi="Times New Roman"/>
          <w:sz w:val="16"/>
          <w:szCs w:val="16"/>
          <w:color w:val="auto"/>
        </w:rPr>
        <w:t>We manage our operations as two reportable business segments: Leasing and Consumer CLEC. Our Leasing segment represents our REIT operations and corporate expenses not directly attributable to the Consumer CLEC Business. The Consumer CLEC segment represents the operations of our Consumer CLEC Business and corporate expenses directly attributable to the operation of that business. We evaluate the performance of each segment based on Adjusted EBITDA.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three months ended March 31, 2016, revenues and Adjusted EBITDA of our reportable segments: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Leasing Operations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Consumer CLEC</w:t>
            </w:r>
          </w:p>
        </w:tc>
        <w:tc>
          <w:tcPr>
            <w:tcW w:w="2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Subtotal of Reportable Segments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480" w:type="dxa"/>
            <w:vAlign w:val="bottom"/>
            <w:tcBorders>
              <w:top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168,641</w:t>
            </w:r>
          </w:p>
        </w:tc>
        <w:tc>
          <w:tcPr>
            <w:tcW w:w="10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174,675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165,709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36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7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refer to EBITDA, Adjusted EBITDA, Funds From Operations (“FFO”) as defined by the National Association of Real Estate Investment Trusts (“NAREIT”), Normalized Funds From Operations (“NFFO”)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NFFO and AFFO are important non-GAAP supplemental measures of operating performance for a REIT.</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6"/>
          <w:szCs w:val="16"/>
          <w:color w:val="auto"/>
        </w:rPr>
        <w:t>We define “EBITDA” as net income, as defined by GAAP, before interest expense, provision for income taxes and depreciation and amortization. We define “Adjusted EBITDA” as EBITDA less stock-based compensation expense and the impact, which may be recurring in nature, of acquisition and transaction related expenses, the write off of unamortized deferred financing costs, costs incurred as a result of the early repayment of debt, changes in the fair value of contingent consideration and financial instruments, and other similar items. We believe EBITDA and Adjusted EBITDA are important supplemental measures to net income because they provide additional information to evaluate our operating performance on an unleveraged basis. Since EBITDA and Adjusted EBITDA are not measures calculated in accordance with GAAP, they should not be considered as an alternative to net income determined in accordance with GAAP.</w:t>
      </w:r>
    </w:p>
    <w:p>
      <w:pPr>
        <w:spacing w:after="0" w:line="15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6"/>
          <w:szCs w:val="16"/>
          <w:color w:val="auto"/>
        </w:rPr>
        <w:t>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applicable to common shareholders computed in accordance with GAAP, excluding gains or losses from real estate dispositions, plus real estate depreciation and amortization and impairment charges. We compute FFO in accordance with NAREIT’s definition. The Company defines NFFO, as FFO excluding the impact, which may be recurring in nature, of transaction related costs. The Company defines AFFO, as NFFO excluding (i) non-cash revenues and expenses such as stock-based compensation expense, amortization of debt and equity discounts, amortization of deferred financing costs, depreciation and amortization of non-real estate assets, straight line rental revenues, revenue associated with the amortization of TCIs and (ii) the impact, which may be recurring in nature, of maintenance capital expenditures, the write-off of unamortized deferred financing fees, additional costs incurred as a result of early repayment of debt, changes in the fair value of contingent consideration and financial instruments and similar items. We believe that the use of FFO, NFFO and AFFO, combined with the required GAAP presentations, improves the understanding of operating results of REITs among investors and analysts, and makes comparisons of operating results among such companies more meaningful. We consider FFO, NFFO and AFFO to be useful measures for reviewing comparative operating and financial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acquisition and transaction related costs. However, FFO, NFFO and AFFO do not purport to be indicative of cash available to fund our future cash requirements.</w:t>
      </w:r>
    </w:p>
    <w:p>
      <w:pPr>
        <w:spacing w:after="0" w:line="376"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Further, our computations of EBITDA, Adjusted EBITDA, FFO, NFFO and AFFO may not be comparable to that reported by other REITs or companies that do not define FFO in accordance with the current NAREIT definition or that interpret the current NAREIT definition or define EBITDA, Adjusted EBITDA, NFFO and AFFO differently than we do.</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The reconciliation of our net income to EBITDA and Adjusted EBITDA and of our net income applicable to common shareholders to FFO, NFFO and AFFO for the three months ended March 31, 2016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9"/>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580" w:type="dxa"/>
            <w:vAlign w:val="bottom"/>
          </w:tcPr>
          <w:p>
            <w:pPr>
              <w:spacing w:after="0"/>
              <w:rPr>
                <w:sz w:val="14"/>
                <w:szCs w:val="14"/>
                <w:color w:val="auto"/>
              </w:rPr>
            </w:pPr>
          </w:p>
        </w:tc>
        <w:tc>
          <w:tcPr>
            <w:tcW w:w="30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8"/>
              </w:rPr>
              <w:t>March 31, 2016</w:t>
            </w:r>
          </w:p>
        </w:tc>
      </w:tr>
      <w:tr>
        <w:trPr>
          <w:trHeight w:val="217"/>
        </w:trPr>
        <w:tc>
          <w:tcPr>
            <w:tcW w:w="7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80" w:type="dxa"/>
            <w:vAlign w:val="bottom"/>
            <w:tcBorders>
              <w:top w:val="single" w:sz="8" w:color="auto"/>
            </w:tcBorders>
            <w:shd w:val="clear" w:color="auto" w:fill="CFF0FC"/>
          </w:tcPr>
          <w:p>
            <w:pPr>
              <w:jc w:val="right"/>
              <w:ind w:right="418"/>
              <w:spacing w:after="0"/>
              <w:rPr>
                <w:sz w:val="20"/>
                <w:szCs w:val="20"/>
                <w:color w:val="auto"/>
              </w:rPr>
            </w:pPr>
            <w:r>
              <w:rPr>
                <w:rFonts w:ascii="Times New Roman" w:cs="Times New Roman" w:eastAsia="Times New Roman" w:hAnsi="Times New Roman"/>
                <w:sz w:val="16"/>
                <w:szCs w:val="16"/>
                <w:color w:val="auto"/>
                <w:w w:val="74"/>
              </w:rPr>
              <w:t>$</w:t>
            </w:r>
          </w:p>
        </w:tc>
        <w:tc>
          <w:tcPr>
            <w:tcW w:w="2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20" w:type="dxa"/>
            <w:vAlign w:val="bottom"/>
            <w:tcBorders>
              <w:top w:val="single" w:sz="8" w:color="CFF0FC"/>
            </w:tcBorders>
            <w:shd w:val="clear" w:color="auto" w:fill="CFF0FC"/>
          </w:tcPr>
          <w:p>
            <w:pPr>
              <w:spacing w:after="0"/>
              <w:rPr>
                <w:sz w:val="18"/>
                <w:szCs w:val="18"/>
                <w:color w:val="auto"/>
              </w:rPr>
            </w:pPr>
          </w:p>
        </w:tc>
      </w:tr>
      <w:tr>
        <w:trPr>
          <w:trHeight w:val="22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86,340</w:t>
            </w:r>
          </w:p>
        </w:tc>
        <w:tc>
          <w:tcPr>
            <w:tcW w:w="120" w:type="dxa"/>
            <w:vAlign w:val="bottom"/>
          </w:tcPr>
          <w:p>
            <w:pPr>
              <w:spacing w:after="0"/>
              <w:rPr>
                <w:sz w:val="19"/>
                <w:szCs w:val="19"/>
                <w:color w:val="auto"/>
              </w:rPr>
            </w:pPr>
          </w:p>
        </w:tc>
      </w:tr>
      <w:tr>
        <w:trPr>
          <w:trHeight w:val="224"/>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FF0FC"/>
          </w:tcPr>
          <w:p>
            <w:pPr>
              <w:spacing w:after="0"/>
              <w:rPr>
                <w:sz w:val="19"/>
                <w:szCs w:val="19"/>
                <w:color w:val="auto"/>
              </w:rPr>
            </w:pPr>
          </w:p>
        </w:tc>
        <w:tc>
          <w:tcPr>
            <w:tcW w:w="2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66,049</w:t>
            </w:r>
          </w:p>
        </w:tc>
        <w:tc>
          <w:tcPr>
            <w:tcW w:w="120" w:type="dxa"/>
            <w:vAlign w:val="bottom"/>
            <w:shd w:val="clear" w:color="auto" w:fill="CFF0FC"/>
          </w:tcPr>
          <w:p>
            <w:pPr>
              <w:spacing w:after="0"/>
              <w:rPr>
                <w:sz w:val="19"/>
                <w:szCs w:val="19"/>
                <w:color w:val="auto"/>
              </w:rPr>
            </w:pPr>
          </w:p>
        </w:tc>
      </w:tr>
      <w:tr>
        <w:trPr>
          <w:trHeight w:val="224"/>
        </w:trPr>
        <w:tc>
          <w:tcPr>
            <w:tcW w:w="7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Borders>
              <w:bottom w:val="single" w:sz="8" w:color="CFF0FC"/>
            </w:tcBorders>
          </w:tcPr>
          <w:p>
            <w:pPr>
              <w:spacing w:after="0"/>
              <w:rPr>
                <w:sz w:val="19"/>
                <w:szCs w:val="19"/>
                <w:color w:val="auto"/>
              </w:rPr>
            </w:pPr>
          </w:p>
        </w:tc>
      </w:tr>
      <w:tr>
        <w:trPr>
          <w:trHeight w:val="217"/>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580" w:type="dxa"/>
            <w:vAlign w:val="bottom"/>
            <w:shd w:val="clear" w:color="auto" w:fill="CFF0FC"/>
          </w:tcPr>
          <w:p>
            <w:pPr>
              <w:jc w:val="right"/>
              <w:ind w:right="418"/>
              <w:spacing w:after="0"/>
              <w:rPr>
                <w:sz w:val="20"/>
                <w:szCs w:val="20"/>
                <w:color w:val="auto"/>
              </w:rPr>
            </w:pPr>
            <w:r>
              <w:rPr>
                <w:rFonts w:ascii="Times New Roman" w:cs="Times New Roman" w:eastAsia="Times New Roman" w:hAnsi="Times New Roman"/>
                <w:sz w:val="16"/>
                <w:szCs w:val="16"/>
                <w:color w:val="auto"/>
                <w:w w:val="74"/>
              </w:rPr>
              <w:t>$</w:t>
            </w:r>
          </w:p>
        </w:tc>
        <w:tc>
          <w:tcPr>
            <w:tcW w:w="2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160,869</w:t>
            </w:r>
          </w:p>
        </w:tc>
        <w:tc>
          <w:tcPr>
            <w:tcW w:w="120" w:type="dxa"/>
            <w:vAlign w:val="bottom"/>
            <w:shd w:val="clear" w:color="auto" w:fill="CFF0FC"/>
          </w:tcPr>
          <w:p>
            <w:pPr>
              <w:spacing w:after="0"/>
              <w:rPr>
                <w:sz w:val="18"/>
                <w:szCs w:val="18"/>
                <w:color w:val="auto"/>
              </w:rPr>
            </w:pPr>
          </w:p>
        </w:tc>
      </w:tr>
      <w:tr>
        <w:trPr>
          <w:trHeight w:val="22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58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Pr>
          <w:p>
            <w:pPr>
              <w:spacing w:after="0"/>
              <w:rPr>
                <w:sz w:val="19"/>
                <w:szCs w:val="19"/>
                <w:color w:val="auto"/>
              </w:rPr>
            </w:pPr>
          </w:p>
        </w:tc>
      </w:tr>
      <w:tr>
        <w:trPr>
          <w:trHeight w:val="224"/>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580" w:type="dxa"/>
            <w:vAlign w:val="bottom"/>
            <w:tcBorders>
              <w:bottom w:val="single" w:sz="8" w:color="auto"/>
            </w:tcBorders>
            <w:shd w:val="clear" w:color="auto" w:fill="CFF0FC"/>
          </w:tcPr>
          <w:p>
            <w:pPr>
              <w:spacing w:after="0"/>
              <w:rPr>
                <w:sz w:val="19"/>
                <w:szCs w:val="19"/>
                <w:color w:val="auto"/>
              </w:rPr>
            </w:pPr>
          </w:p>
        </w:tc>
        <w:tc>
          <w:tcPr>
            <w:tcW w:w="2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20" w:type="dxa"/>
            <w:vAlign w:val="bottom"/>
            <w:shd w:val="clear" w:color="auto" w:fill="CFF0FC"/>
          </w:tcPr>
          <w:p>
            <w:pPr>
              <w:spacing w:after="0"/>
              <w:rPr>
                <w:sz w:val="19"/>
                <w:szCs w:val="19"/>
                <w:color w:val="auto"/>
              </w:rPr>
            </w:pPr>
          </w:p>
        </w:tc>
      </w:tr>
      <w:tr>
        <w:trPr>
          <w:trHeight w:val="217"/>
        </w:trPr>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5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w w:val="74"/>
              </w:rPr>
              <w:t>$</w:t>
            </w: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165,709</w:t>
            </w:r>
          </w:p>
        </w:tc>
        <w:tc>
          <w:tcPr>
            <w:tcW w:w="12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39"/>
        </w:trPr>
        <w:tc>
          <w:tcPr>
            <w:tcW w:w="7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9"/>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580" w:type="dxa"/>
            <w:vAlign w:val="bottom"/>
          </w:tcPr>
          <w:p>
            <w:pPr>
              <w:spacing w:after="0"/>
              <w:rPr>
                <w:sz w:val="14"/>
                <w:szCs w:val="14"/>
                <w:color w:val="auto"/>
              </w:rPr>
            </w:pPr>
          </w:p>
        </w:tc>
        <w:tc>
          <w:tcPr>
            <w:tcW w:w="30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8"/>
              </w:rPr>
              <w:t>March 31, 2016</w:t>
            </w:r>
          </w:p>
        </w:tc>
      </w:tr>
      <w:tr>
        <w:trPr>
          <w:trHeight w:val="217"/>
        </w:trPr>
        <w:tc>
          <w:tcPr>
            <w:tcW w:w="7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580" w:type="dxa"/>
            <w:vAlign w:val="bottom"/>
            <w:tcBorders>
              <w:top w:val="single" w:sz="8" w:color="auto"/>
            </w:tcBorders>
            <w:shd w:val="clear" w:color="auto" w:fill="CFF0FC"/>
          </w:tcPr>
          <w:p>
            <w:pPr>
              <w:jc w:val="right"/>
              <w:ind w:right="418"/>
              <w:spacing w:after="0"/>
              <w:rPr>
                <w:sz w:val="20"/>
                <w:szCs w:val="20"/>
                <w:color w:val="auto"/>
              </w:rPr>
            </w:pPr>
            <w:r>
              <w:rPr>
                <w:rFonts w:ascii="Times New Roman" w:cs="Times New Roman" w:eastAsia="Times New Roman" w:hAnsi="Times New Roman"/>
                <w:sz w:val="16"/>
                <w:szCs w:val="16"/>
                <w:color w:val="auto"/>
                <w:w w:val="74"/>
              </w:rPr>
              <w:t>$</w:t>
            </w:r>
          </w:p>
        </w:tc>
        <w:tc>
          <w:tcPr>
            <w:tcW w:w="2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20" w:type="dxa"/>
            <w:vAlign w:val="bottom"/>
            <w:tcBorders>
              <w:top w:val="single" w:sz="8" w:color="CFF0FC"/>
            </w:tcBorders>
            <w:shd w:val="clear" w:color="auto" w:fill="CFF0FC"/>
          </w:tcPr>
          <w:p>
            <w:pPr>
              <w:spacing w:after="0"/>
              <w:rPr>
                <w:sz w:val="18"/>
                <w:szCs w:val="18"/>
                <w:color w:val="auto"/>
              </w:rPr>
            </w:pPr>
          </w:p>
        </w:tc>
      </w:tr>
      <w:tr>
        <w:trPr>
          <w:trHeight w:val="224"/>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depreciation and amortization</w:t>
            </w:r>
          </w:p>
        </w:tc>
        <w:tc>
          <w:tcPr>
            <w:tcW w:w="58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85,501</w:t>
            </w:r>
          </w:p>
        </w:tc>
        <w:tc>
          <w:tcPr>
            <w:tcW w:w="120" w:type="dxa"/>
            <w:vAlign w:val="bottom"/>
          </w:tcPr>
          <w:p>
            <w:pPr>
              <w:spacing w:after="0"/>
              <w:rPr>
                <w:sz w:val="19"/>
                <w:szCs w:val="19"/>
                <w:color w:val="auto"/>
              </w:rPr>
            </w:pPr>
          </w:p>
        </w:tc>
      </w:tr>
      <w:tr>
        <w:trPr>
          <w:trHeight w:val="224"/>
        </w:trPr>
        <w:tc>
          <w:tcPr>
            <w:tcW w:w="7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580" w:type="dxa"/>
            <w:vAlign w:val="bottom"/>
            <w:shd w:val="clear" w:color="auto" w:fill="CFF0FC"/>
          </w:tcPr>
          <w:p>
            <w:pPr>
              <w:spacing w:after="0"/>
              <w:rPr>
                <w:sz w:val="19"/>
                <w:szCs w:val="19"/>
                <w:color w:val="auto"/>
              </w:rPr>
            </w:pPr>
          </w:p>
        </w:tc>
        <w:tc>
          <w:tcPr>
            <w:tcW w:w="2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FF0FC"/>
          </w:tcPr>
          <w:p>
            <w:pPr>
              <w:spacing w:after="0"/>
              <w:rPr>
                <w:sz w:val="19"/>
                <w:szCs w:val="19"/>
                <w:color w:val="auto"/>
              </w:rPr>
            </w:pPr>
          </w:p>
        </w:tc>
      </w:tr>
      <w:tr>
        <w:trPr>
          <w:trHeight w:val="224"/>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Participating securities share in FFO</w:t>
            </w:r>
          </w:p>
        </w:tc>
        <w:tc>
          <w:tcPr>
            <w:tcW w:w="580" w:type="dxa"/>
            <w:vAlign w:val="bottom"/>
          </w:tcPr>
          <w:p>
            <w:pPr>
              <w:spacing w:after="0"/>
              <w:rPr>
                <w:sz w:val="19"/>
                <w:szCs w:val="19"/>
                <w:color w:val="auto"/>
              </w:rPr>
            </w:pPr>
          </w:p>
        </w:tc>
        <w:tc>
          <w:tcPr>
            <w:tcW w:w="3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w:t>
            </w:r>
          </w:p>
        </w:tc>
      </w:tr>
      <w:tr>
        <w:trPr>
          <w:trHeight w:val="217"/>
        </w:trPr>
        <w:tc>
          <w:tcPr>
            <w:tcW w:w="7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FFO applicable to common shareholders</w:t>
            </w:r>
          </w:p>
        </w:tc>
        <w:tc>
          <w:tcPr>
            <w:tcW w:w="580" w:type="dxa"/>
            <w:vAlign w:val="bottom"/>
            <w:tcBorders>
              <w:top w:val="single" w:sz="8" w:color="auto"/>
            </w:tcBorders>
            <w:shd w:val="clear" w:color="auto" w:fill="CFF0FC"/>
          </w:tcPr>
          <w:p>
            <w:pPr>
              <w:jc w:val="right"/>
              <w:ind w:right="418"/>
              <w:spacing w:after="0"/>
              <w:rPr>
                <w:sz w:val="20"/>
                <w:szCs w:val="20"/>
                <w:color w:val="auto"/>
              </w:rPr>
            </w:pPr>
            <w:r>
              <w:rPr>
                <w:rFonts w:ascii="Times New Roman" w:cs="Times New Roman" w:eastAsia="Times New Roman" w:hAnsi="Times New Roman"/>
                <w:sz w:val="16"/>
                <w:szCs w:val="16"/>
                <w:color w:val="auto"/>
                <w:w w:val="74"/>
              </w:rPr>
              <w:t>$</w:t>
            </w:r>
          </w:p>
        </w:tc>
        <w:tc>
          <w:tcPr>
            <w:tcW w:w="2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93,169</w:t>
            </w:r>
          </w:p>
        </w:tc>
        <w:tc>
          <w:tcPr>
            <w:tcW w:w="120" w:type="dxa"/>
            <w:vAlign w:val="bottom"/>
            <w:tcBorders>
              <w:top w:val="single" w:sz="8" w:color="CFF0FC"/>
            </w:tcBorders>
            <w:shd w:val="clear" w:color="auto" w:fill="CFF0FC"/>
          </w:tcPr>
          <w:p>
            <w:pPr>
              <w:spacing w:after="0"/>
              <w:rPr>
                <w:sz w:val="18"/>
                <w:szCs w:val="18"/>
                <w:color w:val="auto"/>
              </w:rPr>
            </w:pPr>
          </w:p>
        </w:tc>
      </w:tr>
      <w:tr>
        <w:trPr>
          <w:trHeight w:val="224"/>
        </w:trPr>
        <w:tc>
          <w:tcPr>
            <w:tcW w:w="7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5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20" w:type="dxa"/>
            <w:vAlign w:val="bottom"/>
            <w:tcBorders>
              <w:bottom w:val="single" w:sz="8" w:color="CFF0FC"/>
            </w:tcBorders>
          </w:tcPr>
          <w:p>
            <w:pPr>
              <w:spacing w:after="0"/>
              <w:rPr>
                <w:sz w:val="19"/>
                <w:szCs w:val="19"/>
                <w:color w:val="auto"/>
              </w:rPr>
            </w:pPr>
          </w:p>
        </w:tc>
      </w:tr>
      <w:tr>
        <w:trPr>
          <w:trHeight w:val="217"/>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NFFO applicable to common shareholders</w:t>
            </w:r>
          </w:p>
        </w:tc>
        <w:tc>
          <w:tcPr>
            <w:tcW w:w="580" w:type="dxa"/>
            <w:vAlign w:val="bottom"/>
            <w:shd w:val="clear" w:color="auto" w:fill="CFF0FC"/>
          </w:tcPr>
          <w:p>
            <w:pPr>
              <w:spacing w:after="0"/>
              <w:rPr>
                <w:sz w:val="18"/>
                <w:szCs w:val="18"/>
                <w:color w:val="auto"/>
              </w:rPr>
            </w:pPr>
          </w:p>
        </w:tc>
        <w:tc>
          <w:tcPr>
            <w:tcW w:w="2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97,079</w:t>
            </w:r>
          </w:p>
        </w:tc>
        <w:tc>
          <w:tcPr>
            <w:tcW w:w="120" w:type="dxa"/>
            <w:vAlign w:val="bottom"/>
            <w:shd w:val="clear" w:color="auto" w:fill="CFF0FC"/>
          </w:tcPr>
          <w:p>
            <w:pPr>
              <w:spacing w:after="0"/>
              <w:rPr>
                <w:sz w:val="18"/>
                <w:szCs w:val="18"/>
                <w:color w:val="auto"/>
              </w:rPr>
            </w:pPr>
          </w:p>
        </w:tc>
      </w:tr>
      <w:tr>
        <w:trPr>
          <w:trHeight w:val="22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58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20" w:type="dxa"/>
            <w:vAlign w:val="bottom"/>
          </w:tcPr>
          <w:p>
            <w:pPr>
              <w:spacing w:after="0"/>
              <w:rPr>
                <w:sz w:val="19"/>
                <w:szCs w:val="19"/>
                <w:color w:val="auto"/>
              </w:rPr>
            </w:pPr>
          </w:p>
        </w:tc>
      </w:tr>
      <w:tr>
        <w:trPr>
          <w:trHeight w:val="224"/>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580" w:type="dxa"/>
            <w:vAlign w:val="bottom"/>
            <w:shd w:val="clear" w:color="auto" w:fill="CFF0FC"/>
          </w:tcPr>
          <w:p>
            <w:pPr>
              <w:spacing w:after="0"/>
              <w:rPr>
                <w:sz w:val="19"/>
                <w:szCs w:val="19"/>
                <w:color w:val="auto"/>
              </w:rPr>
            </w:pPr>
          </w:p>
        </w:tc>
        <w:tc>
          <w:tcPr>
            <w:tcW w:w="2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shd w:val="clear" w:color="auto" w:fill="CFF0FC"/>
          </w:tcPr>
          <w:p>
            <w:pPr>
              <w:spacing w:after="0"/>
              <w:rPr>
                <w:sz w:val="19"/>
                <w:szCs w:val="19"/>
                <w:color w:val="auto"/>
              </w:rPr>
            </w:pPr>
          </w:p>
        </w:tc>
      </w:tr>
      <w:tr>
        <w:trPr>
          <w:trHeight w:val="22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58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Pr>
          <w:p>
            <w:pPr>
              <w:spacing w:after="0"/>
              <w:rPr>
                <w:sz w:val="19"/>
                <w:szCs w:val="19"/>
                <w:color w:val="auto"/>
              </w:rPr>
            </w:pPr>
          </w:p>
        </w:tc>
      </w:tr>
      <w:tr>
        <w:trPr>
          <w:trHeight w:val="224"/>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Non-real estate depreciation and amortization</w:t>
            </w:r>
          </w:p>
        </w:tc>
        <w:tc>
          <w:tcPr>
            <w:tcW w:w="580" w:type="dxa"/>
            <w:vAlign w:val="bottom"/>
            <w:shd w:val="clear" w:color="auto" w:fill="CFF0FC"/>
          </w:tcPr>
          <w:p>
            <w:pPr>
              <w:spacing w:after="0"/>
              <w:rPr>
                <w:sz w:val="19"/>
                <w:szCs w:val="19"/>
                <w:color w:val="auto"/>
              </w:rPr>
            </w:pPr>
          </w:p>
        </w:tc>
        <w:tc>
          <w:tcPr>
            <w:tcW w:w="2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shd w:val="clear" w:color="auto" w:fill="CFF0FC"/>
          </w:tcPr>
          <w:p>
            <w:pPr>
              <w:spacing w:after="0"/>
              <w:rPr>
                <w:sz w:val="19"/>
                <w:szCs w:val="19"/>
                <w:color w:val="auto"/>
              </w:rPr>
            </w:pPr>
          </w:p>
        </w:tc>
      </w:tr>
      <w:tr>
        <w:trPr>
          <w:trHeight w:val="22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Straight-line rental revenue</w:t>
            </w:r>
          </w:p>
        </w:tc>
        <w:tc>
          <w:tcPr>
            <w:tcW w:w="580" w:type="dxa"/>
            <w:vAlign w:val="bottom"/>
          </w:tcPr>
          <w:p>
            <w:pPr>
              <w:spacing w:after="0"/>
              <w:rPr>
                <w:sz w:val="19"/>
                <w:szCs w:val="19"/>
                <w:color w:val="auto"/>
              </w:rPr>
            </w:pPr>
          </w:p>
        </w:tc>
        <w:tc>
          <w:tcPr>
            <w:tcW w:w="3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(4,322)</w:t>
            </w:r>
          </w:p>
        </w:tc>
      </w:tr>
      <w:tr>
        <w:trPr>
          <w:trHeight w:val="224"/>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tenant funded capital improvements</w:t>
            </w:r>
          </w:p>
        </w:tc>
        <w:tc>
          <w:tcPr>
            <w:tcW w:w="580" w:type="dxa"/>
            <w:vAlign w:val="bottom"/>
            <w:shd w:val="clear" w:color="auto" w:fill="CFF0FC"/>
          </w:tcPr>
          <w:p>
            <w:pPr>
              <w:spacing w:after="0"/>
              <w:rPr>
                <w:sz w:val="19"/>
                <w:szCs w:val="19"/>
                <w:color w:val="auto"/>
              </w:rPr>
            </w:pPr>
          </w:p>
        </w:tc>
        <w:tc>
          <w:tcPr>
            <w:tcW w:w="3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(916)</w:t>
            </w:r>
          </w:p>
        </w:tc>
      </w:tr>
      <w:tr>
        <w:trPr>
          <w:trHeight w:val="224"/>
        </w:trPr>
        <w:tc>
          <w:tcPr>
            <w:tcW w:w="7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FF0FC"/>
            </w:tcBorders>
          </w:tcPr>
          <w:p>
            <w:pPr>
              <w:spacing w:after="0"/>
              <w:rPr>
                <w:sz w:val="19"/>
                <w:szCs w:val="19"/>
                <w:color w:val="auto"/>
              </w:rPr>
            </w:pPr>
          </w:p>
        </w:tc>
      </w:tr>
      <w:tr>
        <w:trPr>
          <w:trHeight w:val="217"/>
        </w:trPr>
        <w:tc>
          <w:tcPr>
            <w:tcW w:w="7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AFFO applicable to common shareholders</w:t>
            </w:r>
          </w:p>
        </w:tc>
        <w:tc>
          <w:tcPr>
            <w:tcW w:w="580" w:type="dxa"/>
            <w:vAlign w:val="bottom"/>
            <w:tcBorders>
              <w:bottom w:val="single" w:sz="8" w:color="auto"/>
            </w:tcBorders>
            <w:shd w:val="clear" w:color="auto" w:fill="CFF0FC"/>
          </w:tcPr>
          <w:p>
            <w:pPr>
              <w:jc w:val="right"/>
              <w:ind w:right="418"/>
              <w:spacing w:after="0"/>
              <w:rPr>
                <w:sz w:val="20"/>
                <w:szCs w:val="20"/>
                <w:color w:val="auto"/>
              </w:rPr>
            </w:pPr>
            <w:r>
              <w:rPr>
                <w:rFonts w:ascii="Times New Roman" w:cs="Times New Roman" w:eastAsia="Times New Roman" w:hAnsi="Times New Roman"/>
                <w:sz w:val="16"/>
                <w:szCs w:val="16"/>
                <w:color w:val="auto"/>
                <w:w w:val="74"/>
              </w:rPr>
              <w:t>$</w:t>
            </w:r>
          </w:p>
        </w:tc>
        <w:tc>
          <w:tcPr>
            <w:tcW w:w="2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97,473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19" w:lineRule="exact"/>
        <w:rPr>
          <w:sz w:val="20"/>
          <w:szCs w:val="20"/>
          <w:color w:val="auto"/>
        </w:rPr>
      </w:pPr>
    </w:p>
    <w:p>
      <w:pPr>
        <w:jc w:val="both"/>
        <w:ind w:right="440"/>
        <w:spacing w:after="0" w:line="256" w:lineRule="auto"/>
        <w:rPr>
          <w:sz w:val="20"/>
          <w:szCs w:val="20"/>
          <w:color w:val="auto"/>
        </w:rPr>
      </w:pPr>
      <w:r>
        <w:rPr>
          <w:rFonts w:ascii="Times New Roman" w:cs="Times New Roman" w:eastAsia="Times New Roman" w:hAnsi="Times New Roman"/>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w:t>
      </w:r>
    </w:p>
    <w:p>
      <w:pPr>
        <w:spacing w:after="0" w:line="179"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For further information on our critical accounting estimates, see “Management’s Discussion and Analysis of Financial Condition and Results of Operations” and the notes to our audited financial statements included in our Annual Report on Form 10-K for the year ended December 31, 2015, filed with SEC on March 7, 2016. There has been no material change to these estimates for the three months ended March 31, 2016.</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principal liquidity needs are to fund operating expenses, meet debt service requirements, fund investment activities, and make dividend distributions. Our primary sources of liquidity and capital resources are cash on hand, cash provided by operating activities (primarily arising under the Master Lease with Windstream), borrowings under our Credit Agreement, and proceeds from the issuance of debt and equity securities. As of March 31, 2016, we had approximately $665.0 million of liquidity, consisting of unrestricted cash and cash equivalents of $165 million and $500 million of unused borrowing availability under the Revolving Credit Agreement.</w:t>
      </w:r>
    </w:p>
    <w:p>
      <w:pPr>
        <w:spacing w:after="0" w:line="7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Cash provided by operating activities was $121.7 million for the three months ended March 31, 2016 driven by favorable changes in working capital, primarily attributable to our leasing activities.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investing activities was $1.3 million for the three months ended March 31, 2016, which was driven by the acquisition of real property interests.</w:t>
      </w:r>
    </w:p>
    <w:p>
      <w:pPr>
        <w:spacing w:after="0" w:line="109"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color w:val="auto"/>
        </w:rPr>
        <w:t>Cash used in financing activities was $97.6 million for the three months ended March 31, 2016, which primarily represents the dividends paid on January 15, 2016 ($90.3 million) and a principal payment related to the Term Loan Facility of $5.4 million.</w:t>
      </w:r>
    </w:p>
    <w:p>
      <w:pPr>
        <w:spacing w:after="0" w:line="6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We anticipate our cash on hand and borrowing availability under our Revolving Credit Facility, combined with our cash flows provided by leasing activities will be sufficient to fund our business operations, debt service and distributions to our shareholders over the next twelve months. However, we may take advantage of opportunities to generate additional liquidity through capital markets transactions. 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we could be subject to a shortfall in liquidity in the future, and this shortfall may occur rapidly and with little or no notice, which would limit our ability to address the shortfall on a timely basis.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2016, we had contractual obligations and commitments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(millions)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jc w:val="center"/>
              <w:ind w:right="400"/>
              <w:spacing w:after="0" w:line="127"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240" w:type="dxa"/>
            <w:vAlign w:val="bottom"/>
          </w:tcPr>
          <w:p>
            <w:pPr>
              <w:spacing w:after="0"/>
              <w:rPr>
                <w:sz w:val="10"/>
                <w:szCs w:val="10"/>
                <w:color w:val="auto"/>
              </w:rPr>
            </w:pPr>
          </w:p>
        </w:tc>
        <w:tc>
          <w:tcPr>
            <w:tcW w:w="900" w:type="dxa"/>
            <w:vAlign w:val="bottom"/>
          </w:tcPr>
          <w:p>
            <w:pPr>
              <w:jc w:val="right"/>
              <w:ind w:right="398"/>
              <w:spacing w:after="0" w:line="127" w:lineRule="exact"/>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right"/>
              <w:ind w:right="398"/>
              <w:spacing w:after="0" w:line="127" w:lineRule="exact"/>
              <w:rPr>
                <w:sz w:val="20"/>
                <w:szCs w:val="20"/>
                <w:color w:val="auto"/>
              </w:rPr>
            </w:pPr>
            <w:r>
              <w:rPr>
                <w:rFonts w:ascii="Times New Roman" w:cs="Times New Roman" w:eastAsia="Times New Roman" w:hAnsi="Times New Roman"/>
                <w:sz w:val="14"/>
                <w:szCs w:val="14"/>
                <w:b w:val="1"/>
                <w:bCs w:val="1"/>
                <w:color w:val="auto"/>
              </w:rPr>
              <w:t>3-5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jc w:val="center"/>
              <w:ind w:right="420"/>
              <w:spacing w:after="0" w:line="127" w:lineRule="exact"/>
              <w:rPr>
                <w:sz w:val="20"/>
                <w:szCs w:val="20"/>
                <w:color w:val="auto"/>
              </w:rPr>
            </w:pPr>
            <w:r>
              <w:rPr>
                <w:rFonts w:ascii="Times New Roman" w:cs="Times New Roman" w:eastAsia="Times New Roman" w:hAnsi="Times New Roman"/>
                <w:sz w:val="14"/>
                <w:szCs w:val="14"/>
                <w:b w:val="1"/>
                <w:bCs w:val="1"/>
                <w:color w:val="auto"/>
                <w:w w:val="97"/>
              </w:rPr>
              <w:t>More than</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Pr>
          <w:p>
            <w:pPr>
              <w:spacing w:after="0"/>
              <w:rPr>
                <w:sz w:val="14"/>
                <w:szCs w:val="14"/>
                <w:color w:val="auto"/>
              </w:rPr>
            </w:pPr>
          </w:p>
        </w:tc>
        <w:tc>
          <w:tcPr>
            <w:tcW w:w="90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4"/>
                <w:szCs w:val="14"/>
                <w:color w:val="auto"/>
              </w:rPr>
            </w:pPr>
          </w:p>
        </w:tc>
        <w:tc>
          <w:tcPr>
            <w:tcW w:w="11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14"/>
                <w:szCs w:val="14"/>
                <w:color w:val="auto"/>
              </w:rPr>
              <w:t>(a)</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3,526.9</w:t>
            </w: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 on long-term debt obligations</w:t>
            </w:r>
            <w:r>
              <w:rPr>
                <w:rFonts w:ascii="Times New Roman" w:cs="Times New Roman" w:eastAsia="Times New Roman" w:hAnsi="Times New Roman"/>
                <w:sz w:val="14"/>
                <w:szCs w:val="14"/>
                <w:color w:val="auto"/>
              </w:rPr>
              <w:t>(b)</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projected obligations and commitments</w:t>
            </w:r>
            <w:r>
              <w:rPr>
                <w:rFonts w:ascii="Times New Roman" w:cs="Times New Roman" w:eastAsia="Times New Roman" w:hAnsi="Times New Roman"/>
                <w:sz w:val="14"/>
                <w:szCs w:val="14"/>
                <w:b w:val="1"/>
                <w:bCs w:val="1"/>
                <w:color w:val="auto"/>
              </w:rPr>
              <w:t>(c)</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w:t>
            </w:r>
            <w:r>
              <w:rPr>
                <w:rFonts w:ascii="Times New Roman" w:cs="Times New Roman" w:eastAsia="Times New Roman" w:hAnsi="Times New Roman"/>
                <w:sz w:val="18"/>
                <w:szCs w:val="18"/>
                <w:u w:val="single" w:color="auto"/>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520" w:hanging="515"/>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$130.3 million of unamortized discounts on long-term debt and deferred financing costs.</w:t>
      </w:r>
    </w:p>
    <w:p>
      <w:pPr>
        <w:spacing w:after="0" w:line="21" w:lineRule="exact"/>
        <w:rPr>
          <w:rFonts w:ascii="Times New Roman" w:cs="Times New Roman" w:eastAsia="Times New Roman" w:hAnsi="Times New Roman"/>
          <w:sz w:val="18"/>
          <w:szCs w:val="18"/>
          <w:color w:val="auto"/>
        </w:rPr>
      </w:pPr>
    </w:p>
    <w:p>
      <w:pPr>
        <w:ind w:left="520" w:hanging="515"/>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on our Term Loan Facility are based on our swap rates.</w:t>
      </w:r>
    </w:p>
    <w:p>
      <w:pPr>
        <w:spacing w:after="0" w:line="3" w:lineRule="exact"/>
        <w:rPr>
          <w:rFonts w:ascii="Times New Roman" w:cs="Times New Roman" w:eastAsia="Times New Roman" w:hAnsi="Times New Roman"/>
          <w:sz w:val="18"/>
          <w:szCs w:val="18"/>
          <w:color w:val="auto"/>
        </w:rPr>
      </w:pPr>
    </w:p>
    <w:p>
      <w:pPr>
        <w:ind w:left="520" w:hanging="515"/>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$45.9 million of derivative liability related to interest rate swaps maturing on October 24, 2022.</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We will elect to be taxed as a REIT for U.S. federal income tax purposes beginning with our 2015 tax year.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We intend to make regular quarterly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5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On April 15, 2016, we paid, to shareholders of record as of the close of business on March 31, 2016, a cash dividend on our common stock of $0.60 per share for the period from January 1, 2016 through March 31, 2016.</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1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We do not anticipate incurring significant capital expenditures on an annual basis in connection with operating our Consumer CLEC Business or related to our corporate assets. For the three months ended March 31, 2016, we incurred capital expenditures of $0.1 million related to the build-out of our corporate office. Capital expenditures for the Distribution Systems leased under the Master Lease are generally the responsibility of Windstream. The Master Lease stipulates that Windstream can request that we fund $50 million of capital expenditures per year for five years (but in no event to extend beyond the end of the sixth year of the Master Lease); however, Windstream cannot require CS&amp;L to make such capital expenditures. If we elect to fund requested capital expenditures, the annual lease payments will be increased by 8.125% of the capital expenditures funded by us during the first two years and at a floating rate based on our cost of capital thereafter.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Guidance</w:t>
      </w:r>
    </w:p>
    <w:p>
      <w:pPr>
        <w:spacing w:after="0" w:line="11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New accounting rules and disclosures can impact our reported results and comparability of our financial statements. These matters are described in our Annual Report on Form 10-K for the year ended December 31, 2015, filed with the SEC on March 7, 2016.</w:t>
      </w:r>
    </w:p>
    <w:p>
      <w:pPr>
        <w:spacing w:after="0" w:line="6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The standard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2017 and interim periods within those annual periods. Early adoption is permitted for public companies for annual periods beginning after December 15, 2016.</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w:t>
      </w:r>
      <w:r>
        <w:rPr>
          <w:rFonts w:ascii="Times New Roman" w:cs="Times New Roman" w:eastAsia="Times New Roman" w:hAnsi="Times New Roman"/>
          <w:sz w:val="18"/>
          <w:szCs w:val="18"/>
          <w:color w:val="2F2F2F"/>
        </w:rPr>
        <w:t>which sets out the principles for the recognition, measurement, presentation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F2F2F"/>
        </w:rPr>
        <w:t>disclosure of leases for both parties to a contract (i.e. lessees and lessors). The new standard requires lessees to apply a dual approach, classifying leases as either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finance or operating leases based on the principle of whether or not the lease is effectively a financed purchase by the lessee. This classification will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F2F2F"/>
        </w:rPr>
        <w:t xml:space="preserve">determine </w:t>
      </w:r>
      <w:r>
        <w:rPr>
          <w:rFonts w:ascii="Times New Roman" w:cs="Times New Roman" w:eastAsia="Times New Roman" w:hAnsi="Times New Roman"/>
          <w:sz w:val="16"/>
          <w:szCs w:val="16"/>
          <w:color w:val="000000"/>
        </w:rPr>
        <w:t>whether lease expense is recognized</w:t>
      </w:r>
      <w:r>
        <w:rPr>
          <w:rFonts w:ascii="Times New Roman" w:cs="Times New Roman" w:eastAsia="Times New Roman" w:hAnsi="Times New Roman"/>
          <w:sz w:val="16"/>
          <w:szCs w:val="16"/>
          <w:color w:val="2F2F2F"/>
        </w:rPr>
        <w:t xml:space="preserve"> based on an effective interest method </w:t>
      </w:r>
      <w:r>
        <w:rPr>
          <w:rFonts w:ascii="Times New Roman" w:cs="Times New Roman" w:eastAsia="Times New Roman" w:hAnsi="Times New Roman"/>
          <w:sz w:val="16"/>
          <w:szCs w:val="16"/>
          <w:color w:val="000000"/>
        </w:rPr>
        <w:t>or</w:t>
      </w:r>
      <w:r>
        <w:rPr>
          <w:rFonts w:ascii="Times New Roman" w:cs="Times New Roman" w:eastAsia="Times New Roman" w:hAnsi="Times New Roman"/>
          <w:sz w:val="16"/>
          <w:szCs w:val="16"/>
          <w:color w:val="2F2F2F"/>
        </w:rPr>
        <w:t xml:space="preserve"> on a straight line basis over the term of the lease, respectively. A lessee 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F2F2F"/>
        </w:rPr>
        <w:t>also required to record a right-of-use asset and a lease liability for all leases with a term of greater than 12 months regardless of their classification. Leases with 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F2F2F"/>
        </w:rPr>
        <w:t>term of 12 months or less will be accounted for similar to existing guidance for operating leases today. The Company is in the process of evaluating this guidance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to determine the impact it will have on our financial statements.</w:t>
      </w:r>
    </w:p>
    <w:p>
      <w:pPr>
        <w:spacing w:after="0" w:line="194"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(“ASU 2016-09”) </w:t>
      </w:r>
      <w:r>
        <w:rPr>
          <w:rFonts w:ascii="Times New Roman" w:cs="Times New Roman" w:eastAsia="Times New Roman" w:hAnsi="Times New Roman"/>
          <w:sz w:val="18"/>
          <w:szCs w:val="18"/>
          <w:color w:val="2F2F2F"/>
        </w:rPr>
        <w:t>ASU 2016-09 simplifies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F2F2F"/>
        </w:rPr>
        <w:t>several aspects of the accounting for share-based payment transactions, including the income tax consequences, classification of awards as either equity or liabilities, and classification on the statement of cash flows. ASU 2016-09 is effective for fiscal years beginning after December 15, 2016, and interim periods within those fiscal years and early adoption is permitted. The Company is currently in the process of evaluating the impact of adoption of the ASU on its consolidated financial statements.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Balance-Sheet Arrangements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Quarterly Report on Form 10-Q, we do not have any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There have been no material changes from the information reported under Item 7A of our Annual Report on Form 10-K for the year ended December 31, 2015, filed with the SEC on March 7, 2016.</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1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 13a-15(e) under the Securities Exchange Act of 1934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March 31, 2016. Based on this evaluation, our principal executive officer and principal financial officer concluded that our disclosure controls and procedures were effective as of March 31, 2016.</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SEC, as required by Section 404 of the Sarbanes-Oxley Act of 2002, adopted rules that generally require every company that files reports with the SEC to evaluate its effectiveness of internal controls over financial reporting. Our management is not required to evaluate the effectiveness of our internal controls over financial reporting until the filing of our 2016 Annual Report on Form 10-K, due to a transition period established by SEC rules applicable to new public companies. As a result, this Quarterly Report on Form 10-Q does not address whether there have been any changes in internal control over financial reporting. We intend to include an evaluation of our internal controls over financial reporting in our 2016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There have been no material changes to the risk factors affecting our business that were discussed in “Item 1A. Risk Factors” in our Annual Report on Form 10-K for the year ended December 31, 2015 filed with the SEC on March 7, 2016, except the following supplemental risk factors related to the business of PEG Bandwidth, LLC (“PEG”), which we acquired on April 29, 2016: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level agreements in PEG’s customer agreements could subject us to liability or the loss of revenue.</w:t>
      </w:r>
    </w:p>
    <w:p>
      <w:pPr>
        <w:spacing w:after="0" w:line="11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Agreements with customers we have acquired may contain service guarantees, including network availability and delivery date targets, which could enable customers to claim credits and, under certain conditions, terminate their agreements. Our inability to meet the obligations of these service level agreements could adversely affect our revenue. While these agreements typically contain carve-outs for force majeure events, many events, such as fiber cuts, equipment failures and third-party vendors being unable to meet their underlying commitments to us, could impact our ability to meet the obligations of these service level agreements.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of PEG’s physical infrastructure or services could lead to significant costs and disruptions.</w:t>
      </w:r>
    </w:p>
    <w:p>
      <w:pPr>
        <w:spacing w:after="0" w:line="11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PEG’s business depends on providing customers with highly reliable service. The services provided are subject to failure resulting from numerous factors, including human error, power loss, improper maintenance, physical or electronic security breaches, fire, earthquake, hurricane, flood and other natural disasters, water damage, the effect of war, terrorism and any related conflicts or similar events worldwide, and sabotage and vandalism. Problems within PEG’s networks or facilities, whether within our control or the control of third-party providers, could result in service interruptions or equipment damage. We may not be able to efficiently upgrade or change PEG’s networks or facilities to meet new demands without incurring significant costs that we may not be able to pass on to customers. Given the service guarantees that may be included in PEG’s agreements with customers, such disruptions could result in customer credits; however, we cannot assume that customers will accept these credits as compensation in the future, and we may face additional liability or loss of customers.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PEG uses franchises, licenses, permits, rights-of-way, conduit leases, fiber agreements, and property leases, which could be canceled or not renewed.</w:t>
      </w:r>
    </w:p>
    <w:p>
      <w:pPr>
        <w:spacing w:after="0" w:line="11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PEG must maintain rights-of-way, franchises, and other permits from railroads, utilities, state highway authorities, local governments, transit authorities, and others to operate its fiber network. We cannot be certain that we will be successful in maintaining these rights-of-way agreements or obtaining future agreements on acceptable terms. Some of these agreements are short-term or revocable at will, and we cannot assure you that we will continue to have access to existing rights-of-way after they have expired or terminated. If a material portion of these agreements are terminated or are not renewed, we might be forced to abandon these networks. In order to operate these networks, we must also maintain fiber leases and IRU agreements between PEG and both public and private entities, and there is no assurance that we will be able to renew those fiber leases and IRU agreements on favorable terms, or at all. If we are unable to renew those fiber leases and IRU agreements on favorable terms, we may face increased costs or reduced revenues.</w:t>
      </w:r>
    </w:p>
    <w:p>
      <w:pPr>
        <w:spacing w:after="0" w:line="81" w:lineRule="exact"/>
        <w:rPr>
          <w:sz w:val="20"/>
          <w:szCs w:val="20"/>
          <w:color w:val="auto"/>
        </w:rPr>
      </w:pPr>
    </w:p>
    <w:p>
      <w:pPr>
        <w:jc w:val="both"/>
        <w:ind w:right="320"/>
        <w:spacing w:after="0" w:line="256" w:lineRule="auto"/>
        <w:rPr>
          <w:sz w:val="20"/>
          <w:szCs w:val="20"/>
          <w:color w:val="auto"/>
        </w:rPr>
      </w:pPr>
      <w:r>
        <w:rPr>
          <w:rFonts w:ascii="Times New Roman" w:cs="Times New Roman" w:eastAsia="Times New Roman" w:hAnsi="Times New Roman"/>
          <w:sz w:val="18"/>
          <w:szCs w:val="18"/>
          <w:color w:val="auto"/>
        </w:rPr>
        <w:t>In order to expand PEG’s network to new locations, we often need to obtain additional rights-of-way, franchises, and other permits. Our failure to obtain these rights in a prompt and cost-effective manner may prevent us from expanding our network, which may be necessary to meet our contractual obligations to our customers and could expose us to liabilities.</w:t>
      </w:r>
    </w:p>
    <w:p>
      <w:pPr>
        <w:spacing w:after="0" w:line="74"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color w:val="auto"/>
        </w:rPr>
        <w:t>If we lose or are unable to renew key real property leases where PEG has located networks or facilities, it could adversely affect our services and increase our costs, as we would be required to restructure or move these networks or facilities.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1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table below provides information regarding shares withheld from CS&amp;L employees to satisfy minimum statutory tax withholding obligations arising from the vesting of restricted stock granted under the Communications Sales &amp; Leasing, Inc. 2015 Equity Incentive Plan. The shares of common stock withheld to satisfy tax withholding obligations may be deemed purchases of such shares required to be disclosed pursuant to this Item 2.</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100" w:type="dxa"/>
            <w:vAlign w:val="bottom"/>
          </w:tcPr>
          <w:p>
            <w:pPr>
              <w:spacing w:after="0"/>
              <w:rPr>
                <w:sz w:val="11"/>
                <w:szCs w:val="11"/>
                <w:color w:val="auto"/>
              </w:rPr>
            </w:pPr>
          </w:p>
        </w:tc>
        <w:tc>
          <w:tcPr>
            <w:tcW w:w="1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Maximum Number of Shares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Average Price Paid per</w:t>
            </w:r>
          </w:p>
        </w:tc>
        <w:tc>
          <w:tcPr>
            <w:tcW w:w="1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Purchased as Part of</w:t>
            </w:r>
          </w:p>
        </w:tc>
        <w:tc>
          <w:tcPr>
            <w:tcW w:w="1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Period</w:t>
            </w:r>
          </w:p>
        </w:tc>
        <w:tc>
          <w:tcPr>
            <w:tcW w:w="9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1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00" w:type="dxa"/>
            <w:vAlign w:val="bottom"/>
          </w:tcPr>
          <w:p>
            <w:pPr>
              <w:spacing w:after="0"/>
              <w:rPr>
                <w:sz w:val="12"/>
                <w:szCs w:val="12"/>
                <w:color w:val="auto"/>
              </w:rPr>
            </w:pPr>
          </w:p>
        </w:tc>
        <w:tc>
          <w:tcPr>
            <w:tcW w:w="19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May Yet Be Purchased</w:t>
            </w:r>
          </w:p>
        </w:tc>
        <w:tc>
          <w:tcPr>
            <w:tcW w:w="0" w:type="dxa"/>
            <w:vAlign w:val="bottom"/>
          </w:tcPr>
          <w:p>
            <w:pPr>
              <w:spacing w:after="0"/>
              <w:rPr>
                <w:sz w:val="1"/>
                <w:szCs w:val="1"/>
                <w:color w:val="auto"/>
              </w:rPr>
            </w:pPr>
          </w:p>
        </w:tc>
      </w:tr>
      <w:tr>
        <w:trPr>
          <w:trHeight w:val="169"/>
        </w:trPr>
        <w:tc>
          <w:tcPr>
            <w:tcW w:w="5140" w:type="dxa"/>
            <w:vAlign w:val="bottom"/>
            <w:gridSpan w:val="3"/>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11"/>
                <w:szCs w:val="11"/>
                <w:b w:val="1"/>
                <w:bCs w:val="1"/>
                <w:color w:val="auto"/>
              </w:rPr>
              <w:t>(1)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1"/>
                <w:szCs w:val="11"/>
                <w:b w:val="1"/>
                <w:bCs w:val="1"/>
                <w:color w:val="auto"/>
              </w:rPr>
              <w:t>(2)</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or Programs</w:t>
            </w:r>
          </w:p>
        </w:tc>
        <w:tc>
          <w:tcPr>
            <w:tcW w:w="10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January 1, 2016 to January 31, 2016</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60" w:type="dxa"/>
            <w:vAlign w:val="bottom"/>
            <w:tcBorders>
              <w:top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800" w:type="dxa"/>
            <w:vAlign w:val="bottom"/>
            <w:tcBorders>
              <w:top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 2016 to February 29, 2016</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ind w:left="1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March 1, 2016 to March 31, 2016</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380" w:type="dxa"/>
            <w:vAlign w:val="bottom"/>
            <w:tcBorders>
              <w:bottom w:val="single" w:sz="8" w:color="CFF0FC"/>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Borders>
              <w:bottom w:val="single" w:sz="8" w:color="CFF0FC"/>
            </w:tcBorders>
          </w:tcPr>
          <w:p>
            <w:pPr>
              <w:spacing w:after="0"/>
              <w:rPr>
                <w:sz w:val="19"/>
                <w:szCs w:val="19"/>
                <w:color w:val="auto"/>
              </w:rPr>
            </w:pPr>
          </w:p>
        </w:tc>
        <w:tc>
          <w:tcPr>
            <w:tcW w:w="166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FF0FC"/>
            </w:tcBorders>
          </w:tcPr>
          <w:p>
            <w:pPr>
              <w:spacing w:after="0"/>
              <w:rPr>
                <w:sz w:val="19"/>
                <w:szCs w:val="19"/>
                <w:color w:val="auto"/>
              </w:rPr>
            </w:pPr>
          </w:p>
        </w:tc>
        <w:tc>
          <w:tcPr>
            <w:tcW w:w="1900" w:type="dxa"/>
            <w:vAlign w:val="bottom"/>
            <w:tcBorders>
              <w:bottom w:val="single" w:sz="8" w:color="CFF0FC"/>
            </w:tcBorders>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380" w:type="dxa"/>
            <w:vAlign w:val="bottom"/>
            <w:tcBorders>
              <w:bottom w:val="single" w:sz="8" w:color="CFF0FC"/>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ind w:left="1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CFF0FC"/>
            </w:tcBorders>
            <w:gridSpan w:val="2"/>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80" w:right="60" w:hanging="375"/>
        <w:spacing w:after="0" w:line="256"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91,412 shares withheld related to awards of CS&amp;L restricted stock held by current Windstream employees granted in connection with the Spin-Off accordance with the Employee Matters Agreement. Additional information regarding the Employee Matters Agreement is contained in Note 9 – Related Party Transactions of the Notes to the Condensed Consolidated Financial Statements.</w:t>
      </w:r>
    </w:p>
    <w:p>
      <w:pPr>
        <w:spacing w:after="0" w:line="179" w:lineRule="exact"/>
        <w:rPr>
          <w:rFonts w:ascii="Times New Roman" w:cs="Times New Roman" w:eastAsia="Times New Roman" w:hAnsi="Times New Roman"/>
          <w:sz w:val="18"/>
          <w:szCs w:val="18"/>
          <w:color w:val="auto"/>
        </w:rPr>
      </w:pPr>
    </w:p>
    <w:p>
      <w:pPr>
        <w:ind w:left="380" w:right="280" w:hanging="375"/>
        <w:spacing w:after="0" w:line="268"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price per share is the weighted-average of the fair market prices at which we calculated the number of shares withheld to cover tax withholdings for the employees.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tcPr>
          <w:p>
            <w:pPr>
              <w:ind w:left="48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5"/>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40" w:type="dxa"/>
            <w:vAlign w:val="bottom"/>
          </w:tcPr>
          <w:p>
            <w:pPr>
              <w:spacing w:after="0"/>
              <w:rPr>
                <w:sz w:val="16"/>
                <w:szCs w:val="16"/>
                <w:color w:val="auto"/>
              </w:rPr>
            </w:pPr>
          </w:p>
        </w:tc>
      </w:tr>
      <w:tr>
        <w:trPr>
          <w:trHeight w:val="29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Agreement and Plan of Merger, dated as of January 7, 2016, by and among Communications Sales &amp; Leasing, Inc., CSL Bandwidth Inc.,</w:t>
            </w:r>
          </w:p>
        </w:tc>
      </w:tr>
      <w:tr>
        <w:trPr>
          <w:trHeight w:val="210"/>
        </w:trPr>
        <w:tc>
          <w:tcPr>
            <w:tcW w:w="9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Penn Merger Sub, LLC, PEG Bandwidth, LLC, PEG Bandwidth Holdings, LLC, and PEG Bandwidth Holdings, LLC, as Unitholders’</w:t>
            </w:r>
          </w:p>
        </w:tc>
      </w:tr>
      <w:tr>
        <w:trPr>
          <w:trHeight w:val="210"/>
        </w:trPr>
        <w:tc>
          <w:tcPr>
            <w:tcW w:w="9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Representative (incorporated by reference to Exhibit 2.1 to the Company’s Current Report on Form 8-K dated and filed with the SEC as of</w:t>
            </w:r>
          </w:p>
        </w:tc>
      </w:tr>
      <w:tr>
        <w:trPr>
          <w:trHeight w:val="228"/>
        </w:trPr>
        <w:tc>
          <w:tcPr>
            <w:tcW w:w="980" w:type="dxa"/>
            <w:vAlign w:val="bottom"/>
          </w:tcPr>
          <w:p>
            <w:pPr>
              <w:spacing w:after="0"/>
              <w:rPr>
                <w:sz w:val="19"/>
                <w:szCs w:val="19"/>
                <w:color w:val="auto"/>
              </w:rPr>
            </w:pP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January 12, 2016 (File No. 001-36708))</w:t>
            </w:r>
          </w:p>
        </w:tc>
      </w:tr>
      <w:tr>
        <w:trPr>
          <w:trHeight w:val="40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Articles Supplementary for 3.00% Series A Convertible Preferred Stock, as amended (incorporated by reference to Exhibit 4.1 to the</w:t>
            </w:r>
          </w:p>
        </w:tc>
      </w:tr>
      <w:tr>
        <w:trPr>
          <w:trHeight w:val="228"/>
        </w:trPr>
        <w:tc>
          <w:tcPr>
            <w:tcW w:w="980" w:type="dxa"/>
            <w:vAlign w:val="bottom"/>
          </w:tcPr>
          <w:p>
            <w:pPr>
              <w:spacing w:after="0"/>
              <w:rPr>
                <w:sz w:val="19"/>
                <w:szCs w:val="19"/>
                <w:color w:val="auto"/>
              </w:rPr>
            </w:pP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Company’s Current Report on Form 8-K dated and filed with the SEC as of May 4, 2016 (File No. 001-36708))</w:t>
            </w:r>
          </w:p>
        </w:tc>
      </w:tr>
      <w:tr>
        <w:trPr>
          <w:trHeight w:val="40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Stockholders’ and Registration Rights Agreement dated May 2, 2016, by and between Communications Sales and Leasing, Inc. and PEG</w:t>
            </w:r>
          </w:p>
        </w:tc>
      </w:tr>
      <w:tr>
        <w:trPr>
          <w:trHeight w:val="210"/>
        </w:trPr>
        <w:tc>
          <w:tcPr>
            <w:tcW w:w="9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Bandwidth Holdings, LLC (incorporated by reference to Exhibit 10.1 to the</w:t>
            </w:r>
          </w:p>
        </w:tc>
      </w:tr>
      <w:tr>
        <w:trPr>
          <w:trHeight w:val="228"/>
        </w:trPr>
        <w:tc>
          <w:tcPr>
            <w:tcW w:w="980" w:type="dxa"/>
            <w:vAlign w:val="bottom"/>
          </w:tcPr>
          <w:p>
            <w:pPr>
              <w:spacing w:after="0"/>
              <w:rPr>
                <w:sz w:val="19"/>
                <w:szCs w:val="19"/>
                <w:color w:val="auto"/>
              </w:rPr>
            </w:pP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Company’s Current Report on Form 8-K dated and filed with the SEC as of May 4, 2016 (File No. 001-36708))</w:t>
            </w:r>
          </w:p>
        </w:tc>
      </w:tr>
      <w:tr>
        <w:trPr>
          <w:trHeight w:val="40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 No. 1 to Master Lease, entered into as of February 12, 2016, by and among CSL National, L.P. and the other entities listed</w:t>
            </w:r>
          </w:p>
        </w:tc>
      </w:tr>
      <w:tr>
        <w:trPr>
          <w:trHeight w:val="228"/>
        </w:trPr>
        <w:tc>
          <w:tcPr>
            <w:tcW w:w="980" w:type="dxa"/>
            <w:vAlign w:val="bottom"/>
          </w:tcPr>
          <w:p>
            <w:pPr>
              <w:spacing w:after="0"/>
              <w:rPr>
                <w:sz w:val="19"/>
                <w:szCs w:val="19"/>
                <w:color w:val="auto"/>
              </w:rPr>
            </w:pP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therein, as Landlord, and Windstream Holdings, Inc., as Tenant</w:t>
            </w:r>
          </w:p>
        </w:tc>
      </w:tr>
      <w:tr>
        <w:trPr>
          <w:trHeight w:val="42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Communications Sales &amp; Leasing, Inc. 2016 Short Term Incentive Plan**</w:t>
            </w:r>
          </w:p>
        </w:tc>
      </w:tr>
      <w:tr>
        <w:trPr>
          <w:trHeight w:val="40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 1934, as</w:t>
            </w:r>
          </w:p>
        </w:tc>
      </w:tr>
      <w:tr>
        <w:trPr>
          <w:trHeight w:val="228"/>
        </w:trPr>
        <w:tc>
          <w:tcPr>
            <w:tcW w:w="980" w:type="dxa"/>
            <w:vAlign w:val="bottom"/>
          </w:tcPr>
          <w:p>
            <w:pPr>
              <w:spacing w:after="0"/>
              <w:rPr>
                <w:sz w:val="19"/>
                <w:szCs w:val="19"/>
                <w:color w:val="auto"/>
              </w:rPr>
            </w:pP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31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r>
      <w:tr>
        <w:trPr>
          <w:trHeight w:val="228"/>
        </w:trPr>
        <w:tc>
          <w:tcPr>
            <w:tcW w:w="980" w:type="dxa"/>
            <w:vAlign w:val="bottom"/>
          </w:tcPr>
          <w:p>
            <w:pPr>
              <w:spacing w:after="0"/>
              <w:rPr>
                <w:sz w:val="19"/>
                <w:szCs w:val="19"/>
                <w:color w:val="auto"/>
              </w:rPr>
            </w:pP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31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Certification of Principal Executive Officer Pursuant to 18 U.S.C. Section 1350, as Adopted Pursuant to Section 906 of the Sarbanes-Oxley</w:t>
            </w:r>
          </w:p>
        </w:tc>
      </w:tr>
      <w:tr>
        <w:trPr>
          <w:trHeight w:val="228"/>
        </w:trPr>
        <w:tc>
          <w:tcPr>
            <w:tcW w:w="980" w:type="dxa"/>
            <w:vAlign w:val="bottom"/>
          </w:tcPr>
          <w:p>
            <w:pPr>
              <w:spacing w:after="0"/>
              <w:rPr>
                <w:sz w:val="19"/>
                <w:szCs w:val="19"/>
                <w:color w:val="auto"/>
              </w:rPr>
            </w:pP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 of 2002.</w:t>
            </w:r>
          </w:p>
        </w:tc>
      </w:tr>
      <w:tr>
        <w:trPr>
          <w:trHeight w:val="31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Certification of Principal Financial Officer Pursuant to 18 U.S.C. Section 1350, as Adopted Pursuant to Section 906 of the Sarbanes-Oxley</w:t>
            </w:r>
          </w:p>
        </w:tc>
      </w:tr>
      <w:tr>
        <w:trPr>
          <w:trHeight w:val="228"/>
        </w:trPr>
        <w:tc>
          <w:tcPr>
            <w:tcW w:w="980" w:type="dxa"/>
            <w:vAlign w:val="bottom"/>
          </w:tcPr>
          <w:p>
            <w:pPr>
              <w:spacing w:after="0"/>
              <w:rPr>
                <w:sz w:val="19"/>
                <w:szCs w:val="19"/>
                <w:color w:val="auto"/>
              </w:rPr>
            </w:pP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 of 2002.</w:t>
            </w: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9690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146" w:lineRule="exact"/>
        <w:rPr>
          <w:sz w:val="20"/>
          <w:szCs w:val="20"/>
          <w:color w:val="auto"/>
        </w:rPr>
      </w:pPr>
    </w:p>
    <w:p>
      <w:pPr>
        <w:ind w:left="520" w:hanging="515"/>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43" w:lineRule="exact"/>
        <w:rPr>
          <w:sz w:val="20"/>
          <w:szCs w:val="20"/>
          <w:color w:val="auto"/>
        </w:rPr>
      </w:pPr>
    </w:p>
    <w:p>
      <w:pPr>
        <w:ind w:left="520" w:hanging="515"/>
        <w:spacing w:after="0" w:line="268"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a request for confidential treatment and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140"/>
          </w:cols>
          <w:pgMar w:left="240" w:top="121" w:right="51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242" w:lineRule="exact"/>
        <w:rPr>
          <w:sz w:val="20"/>
          <w:szCs w:val="20"/>
          <w:color w:val="auto"/>
        </w:rPr>
      </w:pPr>
    </w:p>
    <w:p>
      <w:pPr>
        <w:spacing w:after="0"/>
        <w:tabs>
          <w:tab w:leader="none" w:pos="960" w:val="left"/>
          <w:tab w:leader="none" w:pos="5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12, 2016</w:t>
      </w:r>
      <w:r>
        <w:rPr>
          <w:sz w:val="20"/>
          <w:szCs w:val="20"/>
          <w:color w:val="auto"/>
        </w:rPr>
        <w:tab/>
      </w:r>
      <w:r>
        <w:rPr>
          <w:rFonts w:ascii="Times New Roman" w:cs="Times New Roman" w:eastAsia="Times New Roman" w:hAnsi="Times New Roman"/>
          <w:sz w:val="16"/>
          <w:szCs w:val="16"/>
          <w:color w:val="auto"/>
        </w:rPr>
        <w:t>/s/ 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22225</wp:posOffset>
            </wp:positionV>
            <wp:extent cx="36918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91890" cy="8255"/>
                    </a:xfrm>
                    <a:prstGeom prst="rect">
                      <a:avLst/>
                    </a:prstGeom>
                    <a:noFill/>
                  </pic:spPr>
                </pic:pic>
              </a:graphicData>
            </a:graphic>
          </wp:anchor>
        </w:drawing>
      </w:r>
    </w:p>
    <w:p>
      <w:pPr>
        <w:spacing w:after="0" w:line="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Mark A. Wallace</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Executive Vice President – Chief Financial Officer and Treasurer</w:t>
      </w:r>
    </w:p>
    <w:p>
      <w:pPr>
        <w:spacing w:after="0" w:line="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9" w:lineRule="exact"/>
        <w:rPr>
          <w:sz w:val="20"/>
          <w:szCs w:val="20"/>
          <w:color w:val="auto"/>
        </w:rPr>
      </w:pPr>
    </w:p>
    <w:p>
      <w:pPr>
        <w:spacing w:after="0"/>
        <w:tabs>
          <w:tab w:leader="none" w:pos="960" w:val="left"/>
          <w:tab w:leader="none" w:pos="5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12, 2016</w:t>
      </w:r>
      <w:r>
        <w:rPr>
          <w:sz w:val="20"/>
          <w:szCs w:val="20"/>
          <w:color w:val="auto"/>
        </w:rPr>
        <w:tab/>
      </w:r>
      <w:r>
        <w:rPr>
          <w:rFonts w:ascii="Times New Roman" w:cs="Times New Roman" w:eastAsia="Times New Roman" w:hAnsi="Times New Roman"/>
          <w:sz w:val="16"/>
          <w:szCs w:val="16"/>
          <w:color w:val="auto"/>
        </w:rPr>
        <w:t>/s/ Blake Schuhmacher</w:t>
      </w:r>
    </w:p>
    <w:p>
      <w:pPr>
        <w:spacing w:after="0" w:line="3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Blake Schuhmacher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-130175</wp:posOffset>
            </wp:positionV>
            <wp:extent cx="36918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91890" cy="8255"/>
                    </a:xfrm>
                    <a:prstGeom prst="rect">
                      <a:avLst/>
                    </a:prstGeom>
                    <a:noFill/>
                  </pic:spPr>
                </pic:pic>
              </a:graphicData>
            </a:graphic>
          </wp:anchor>
        </w:drawing>
      </w:r>
    </w:p>
    <w:p>
      <w:pPr>
        <w:ind w:left="5600"/>
        <w:spacing w:after="0"/>
        <w:rPr>
          <w:sz w:val="20"/>
          <w:szCs w:val="20"/>
          <w:color w:val="auto"/>
        </w:rPr>
      </w:pPr>
      <w:r>
        <w:rPr>
          <w:rFonts w:ascii="Times New Roman" w:cs="Times New Roman" w:eastAsia="Times New Roman" w:hAnsi="Times New Roman"/>
          <w:sz w:val="18"/>
          <w:szCs w:val="18"/>
          <w:b w:val="1"/>
          <w:bCs w:val="1"/>
          <w:color w:val="auto"/>
        </w:rPr>
        <w:t>Vice President – Chief Accounting Officer</w:t>
      </w:r>
    </w:p>
    <w:p>
      <w:pPr>
        <w:spacing w:after="0" w:line="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29234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920"/>
          </w:cols>
          <w:pgMar w:left="240" w:top="121" w:right="7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10440" w:type="dxa"/>
            <w:vAlign w:val="bottom"/>
          </w:tcPr>
          <w:p>
            <w:pPr>
              <w:ind w:left="43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4"/>
        </w:trPr>
        <w:tc>
          <w:tcPr>
            <w:tcW w:w="8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440" w:type="dxa"/>
            <w:vAlign w:val="bottom"/>
            <w:vMerge w:val="restart"/>
          </w:tcPr>
          <w:p>
            <w:pPr>
              <w:ind w:left="50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Agreement and Plan of Merger, dated as of January 7, 2016, by and among Communications Sales &amp; Leasing, Inc., CSL Bandwidth Inc., Penn</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Merger Sub, LLC, PEG Bandwidth, LLC, PEG Bandwidth Holdings, LLC, and PEG Bandwidth Holdings, LLC, as Unitholders’ Representative</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(incorporated by reference to Exhibit 2.1 to the Company’s Current Report on Form 8-K dated and filed with the SEC as of January 12, 2016 (File</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001-36708))</w:t>
            </w:r>
          </w:p>
        </w:tc>
        <w:tc>
          <w:tcPr>
            <w:tcW w:w="0" w:type="dxa"/>
            <w:vAlign w:val="bottom"/>
          </w:tcPr>
          <w:p>
            <w:pPr>
              <w:spacing w:after="0"/>
              <w:rPr>
                <w:sz w:val="1"/>
                <w:szCs w:val="1"/>
                <w:color w:val="auto"/>
              </w:rPr>
            </w:pPr>
          </w:p>
        </w:tc>
      </w:tr>
      <w:tr>
        <w:trPr>
          <w:trHeight w:val="42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Articles Supplementary for 3.00% Series A Convertible Preferred Stock, as amended (incorporated by reference to Exhibit 4.1 to the Company’s</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Report on Form 8-K dated and filed with the SEC as of May 4, 2016 (File No. 001-36708))</w:t>
            </w:r>
          </w:p>
        </w:tc>
        <w:tc>
          <w:tcPr>
            <w:tcW w:w="0" w:type="dxa"/>
            <w:vAlign w:val="bottom"/>
          </w:tcPr>
          <w:p>
            <w:pPr>
              <w:spacing w:after="0"/>
              <w:rPr>
                <w:sz w:val="1"/>
                <w:szCs w:val="1"/>
                <w:color w:val="auto"/>
              </w:rPr>
            </w:pPr>
          </w:p>
        </w:tc>
      </w:tr>
      <w:tr>
        <w:trPr>
          <w:trHeight w:val="42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and Registration Rights Agreement dated May 2, 2016, by and between Communications Sales and Leasing, Inc. and PEG</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Bandwidth Holdings, LLC (incorporated by reference to Exhibit 10.1 to the</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Company’s Current Report on Form 8-K dated and filed with the SEC as of May 4, 2016 (File No. 001-36708))</w:t>
            </w:r>
          </w:p>
        </w:tc>
        <w:tc>
          <w:tcPr>
            <w:tcW w:w="0" w:type="dxa"/>
            <w:vAlign w:val="bottom"/>
          </w:tcPr>
          <w:p>
            <w:pPr>
              <w:spacing w:after="0"/>
              <w:rPr>
                <w:sz w:val="1"/>
                <w:szCs w:val="1"/>
                <w:color w:val="auto"/>
              </w:rPr>
            </w:pPr>
          </w:p>
        </w:tc>
      </w:tr>
      <w:tr>
        <w:trPr>
          <w:trHeight w:val="42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Amendment No. 1 to Master Lease, entered into as of February 12, 2016, by and among CSL National, L.P. and the other entities listed therein, as</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Landlord, and Windstream Holdings, Inc., as Tenant</w:t>
            </w:r>
          </w:p>
        </w:tc>
        <w:tc>
          <w:tcPr>
            <w:tcW w:w="0" w:type="dxa"/>
            <w:vAlign w:val="bottom"/>
          </w:tcPr>
          <w:p>
            <w:pPr>
              <w:spacing w:after="0"/>
              <w:rPr>
                <w:sz w:val="1"/>
                <w:szCs w:val="1"/>
                <w:color w:val="auto"/>
              </w:rPr>
            </w:pPr>
          </w:p>
        </w:tc>
      </w:tr>
      <w:tr>
        <w:trPr>
          <w:trHeight w:val="44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Communications Sales &amp; Leasing, Inc. 2016 Short Term Incentive Plan**</w:t>
            </w:r>
          </w:p>
        </w:tc>
        <w:tc>
          <w:tcPr>
            <w:tcW w:w="0" w:type="dxa"/>
            <w:vAlign w:val="bottom"/>
          </w:tcPr>
          <w:p>
            <w:pPr>
              <w:spacing w:after="0"/>
              <w:rPr>
                <w:sz w:val="1"/>
                <w:szCs w:val="1"/>
                <w:color w:val="auto"/>
              </w:rPr>
            </w:pPr>
          </w:p>
        </w:tc>
      </w:tr>
      <w:tr>
        <w:trPr>
          <w:trHeight w:val="42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Rules 13a-14(a) and 15d-14(a) under the Securities Exchange Act of 1934, as Adopted</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33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33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Certification of Principal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33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Certification of Principal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35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5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5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5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5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5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9690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146" w:lineRule="exact"/>
        <w:rPr>
          <w:sz w:val="20"/>
          <w:szCs w:val="20"/>
          <w:color w:val="auto"/>
        </w:rPr>
      </w:pPr>
    </w:p>
    <w:p>
      <w:pPr>
        <w:ind w:left="520" w:hanging="515"/>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43" w:lineRule="exact"/>
        <w:rPr>
          <w:sz w:val="20"/>
          <w:szCs w:val="20"/>
          <w:color w:val="auto"/>
        </w:rPr>
      </w:pPr>
    </w:p>
    <w:p>
      <w:pPr>
        <w:ind w:left="520" w:right="120" w:hanging="515"/>
        <w:spacing w:after="0" w:line="268"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a request for confidential treatment and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60"/>
          </w:cols>
          <w:pgMar w:left="240" w:top="121" w:right="3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Master Lease Amendment - Confidential</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AMENDMENT NO. 1 TO MASTER LEASE</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This AMENDMENT NO. 1 TO MASTER LEASE (this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is entered into as of February 12, 2016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by and among CSL NATIONAL, LP, a Delaware limited partnership (“</w:t>
      </w:r>
      <w:r>
        <w:rPr>
          <w:rFonts w:ascii="Times New Roman" w:cs="Times New Roman" w:eastAsia="Times New Roman" w:hAnsi="Times New Roman"/>
          <w:sz w:val="21"/>
          <w:szCs w:val="21"/>
          <w:b w:val="1"/>
          <w:bCs w:val="1"/>
          <w:color w:val="auto"/>
        </w:rPr>
        <w:t>CS&amp;L National</w:t>
      </w:r>
      <w:r>
        <w:rPr>
          <w:rFonts w:ascii="Times New Roman" w:cs="Times New Roman" w:eastAsia="Times New Roman" w:hAnsi="Times New Roman"/>
          <w:sz w:val="21"/>
          <w:szCs w:val="21"/>
          <w:color w:val="auto"/>
        </w:rPr>
        <w:t>”), THE ENTITIES SET</w:t>
      </w:r>
    </w:p>
    <w:p>
      <w:pPr>
        <w:spacing w:after="0" w:line="235" w:lineRule="auto"/>
        <w:rPr>
          <w:sz w:val="20"/>
          <w:szCs w:val="20"/>
          <w:color w:val="auto"/>
        </w:rPr>
      </w:pPr>
      <w:r>
        <w:rPr>
          <w:rFonts w:ascii="Times New Roman" w:cs="Times New Roman" w:eastAsia="Times New Roman" w:hAnsi="Times New Roman"/>
          <w:sz w:val="21"/>
          <w:szCs w:val="21"/>
          <w:color w:val="auto"/>
        </w:rPr>
        <w:t>FORTH ON SCHEDULE 1 ATTACHED HERETO (together with CS&amp;L National and their respective permitted successors and</w:t>
      </w:r>
    </w:p>
    <w:p>
      <w:pPr>
        <w:spacing w:after="0" w:line="235" w:lineRule="auto"/>
        <w:rPr>
          <w:sz w:val="20"/>
          <w:szCs w:val="20"/>
          <w:color w:val="auto"/>
        </w:rPr>
      </w:pPr>
      <w:r>
        <w:rPr>
          <w:rFonts w:ascii="Times New Roman" w:cs="Times New Roman" w:eastAsia="Times New Roman" w:hAnsi="Times New Roman"/>
          <w:sz w:val="21"/>
          <w:szCs w:val="21"/>
          <w:color w:val="auto"/>
        </w:rPr>
        <w:t>assigns, “</w:t>
      </w:r>
      <w:r>
        <w:rPr>
          <w:rFonts w:ascii="Times New Roman" w:cs="Times New Roman" w:eastAsia="Times New Roman" w:hAnsi="Times New Roman"/>
          <w:sz w:val="21"/>
          <w:szCs w:val="21"/>
          <w:b w:val="1"/>
          <w:bCs w:val="1"/>
          <w:color w:val="auto"/>
        </w:rPr>
        <w:t>Landlord</w:t>
      </w:r>
      <w:r>
        <w:rPr>
          <w:rFonts w:ascii="Times New Roman" w:cs="Times New Roman" w:eastAsia="Times New Roman" w:hAnsi="Times New Roman"/>
          <w:sz w:val="21"/>
          <w:szCs w:val="21"/>
          <w:color w:val="auto"/>
        </w:rPr>
        <w:t>”), and WINDSTREAM HOLDINGS, INC., a Delaware corporation (together with its permitted successors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assigns, “</w:t>
      </w:r>
      <w:r>
        <w:rPr>
          <w:rFonts w:ascii="Times New Roman" w:cs="Times New Roman" w:eastAsia="Times New Roman" w:hAnsi="Times New Roman"/>
          <w:sz w:val="21"/>
          <w:szCs w:val="21"/>
          <w:b w:val="1"/>
          <w:bCs w:val="1"/>
          <w:color w:val="auto"/>
        </w:rPr>
        <w:t>Tenant</w:t>
      </w:r>
      <w:r>
        <w:rPr>
          <w:rFonts w:ascii="Times New Roman" w:cs="Times New Roman" w:eastAsia="Times New Roman" w:hAnsi="Times New Roman"/>
          <w:sz w:val="21"/>
          <w:szCs w:val="21"/>
          <w:color w:val="auto"/>
        </w:rPr>
        <w:t>”).</w:t>
      </w:r>
    </w:p>
    <w:p>
      <w:pPr>
        <w:spacing w:after="0" w:line="182" w:lineRule="exact"/>
        <w:rPr>
          <w:sz w:val="20"/>
          <w:szCs w:val="20"/>
          <w:color w:val="auto"/>
        </w:rPr>
      </w:pPr>
    </w:p>
    <w:p>
      <w:pPr>
        <w:ind w:right="200" w:firstLine="883"/>
        <w:spacing w:after="0" w:line="246" w:lineRule="auto"/>
        <w:tabs>
          <w:tab w:leader="none" w:pos="1714"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 is made to that certain Master Lease, dated April 24, 2015, by and among Landlord and Tenant (as the same may be modified or amended from time to time, the “</w:t>
      </w:r>
      <w:r>
        <w:rPr>
          <w:rFonts w:ascii="Times New Roman" w:cs="Times New Roman" w:eastAsia="Times New Roman" w:hAnsi="Times New Roman"/>
          <w:sz w:val="21"/>
          <w:szCs w:val="21"/>
          <w:b w:val="1"/>
          <w:bCs w:val="1"/>
          <w:color w:val="auto"/>
        </w:rPr>
        <w:t>Master Lease</w:t>
      </w:r>
      <w:r>
        <w:rPr>
          <w:rFonts w:ascii="Times New Roman" w:cs="Times New Roman" w:eastAsia="Times New Roman" w:hAnsi="Times New Roman"/>
          <w:sz w:val="21"/>
          <w:szCs w:val="21"/>
          <w:color w:val="auto"/>
        </w:rPr>
        <w:t>”) pursuant to which Landlord leases to Tenant certain communications distribution systems and other related real property. Capitalized terms used in this Amendment but not otherwise defined herein shall have the meanings given to such terms in the Master Lease.</w:t>
      </w:r>
    </w:p>
    <w:p>
      <w:pPr>
        <w:spacing w:after="0" w:line="167" w:lineRule="exact"/>
        <w:rPr>
          <w:rFonts w:ascii="Times New Roman" w:cs="Times New Roman" w:eastAsia="Times New Roman" w:hAnsi="Times New Roman"/>
          <w:sz w:val="21"/>
          <w:szCs w:val="21"/>
          <w:color w:val="auto"/>
        </w:rPr>
      </w:pPr>
    </w:p>
    <w:p>
      <w:pPr>
        <w:ind w:right="140" w:firstLine="883"/>
        <w:spacing w:after="0"/>
        <w:tabs>
          <w:tab w:leader="none" w:pos="1702"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and Tenant desire to amend the Master Lease to, among other things, establish a method and protocol to facilitate potential transfers of ownership rights or exchanges of indefeasible rights of use and other long term rights (an “</w:t>
      </w:r>
      <w:r>
        <w:rPr>
          <w:rFonts w:ascii="Times New Roman" w:cs="Times New Roman" w:eastAsia="Times New Roman" w:hAnsi="Times New Roman"/>
          <w:sz w:val="21"/>
          <w:szCs w:val="21"/>
          <w:b w:val="1"/>
          <w:bCs w:val="1"/>
          <w:color w:val="auto"/>
        </w:rPr>
        <w:t>IRU</w:t>
      </w:r>
      <w:r>
        <w:rPr>
          <w:rFonts w:ascii="Times New Roman" w:cs="Times New Roman" w:eastAsia="Times New Roman" w:hAnsi="Times New Roman"/>
          <w:sz w:val="21"/>
          <w:szCs w:val="21"/>
          <w:color w:val="auto"/>
        </w:rPr>
        <w:t xml:space="preserve">”) in certain fiber and associated assets constituting Leased Property pursuant to certain fiber exchange agreements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each a “</w:t>
      </w:r>
      <w:r>
        <w:rPr>
          <w:rFonts w:ascii="Times New Roman" w:cs="Times New Roman" w:eastAsia="Times New Roman" w:hAnsi="Times New Roman"/>
          <w:sz w:val="21"/>
          <w:szCs w:val="21"/>
          <w:b w:val="1"/>
          <w:bCs w:val="1"/>
          <w:color w:val="auto"/>
        </w:rPr>
        <w:t>Fiber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Exchange Agreement</w:t>
      </w:r>
      <w:r>
        <w:rPr>
          <w:rFonts w:ascii="Times New Roman" w:cs="Times New Roman" w:eastAsia="Times New Roman" w:hAnsi="Times New Roman"/>
          <w:sz w:val="21"/>
          <w:szCs w:val="21"/>
          <w:color w:val="auto"/>
        </w:rPr>
        <w:t>”) under which Landlord will grant to a third party ownership rights in certain fiber assets or an IRU in certain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fiber assets and associated assets that constitute Leased Property (the “</w:t>
      </w:r>
      <w:r>
        <w:rPr>
          <w:rFonts w:ascii="Times New Roman" w:cs="Times New Roman" w:eastAsia="Times New Roman" w:hAnsi="Times New Roman"/>
          <w:sz w:val="21"/>
          <w:szCs w:val="21"/>
          <w:b w:val="1"/>
          <w:bCs w:val="1"/>
          <w:color w:val="auto"/>
        </w:rPr>
        <w:t>Outbound Assets</w:t>
      </w:r>
      <w:r>
        <w:rPr>
          <w:rFonts w:ascii="Times New Roman" w:cs="Times New Roman" w:eastAsia="Times New Roman" w:hAnsi="Times New Roman"/>
          <w:sz w:val="21"/>
          <w:szCs w:val="21"/>
          <w:color w:val="auto"/>
        </w:rPr>
        <w:t>”) in exchange for Landlord receiving ownership rights in certain fiber assets or an IRU in certain fiber assets and associated assets of such third party (the “</w:t>
      </w:r>
      <w:r>
        <w:rPr>
          <w:rFonts w:ascii="Times New Roman" w:cs="Times New Roman" w:eastAsia="Times New Roman" w:hAnsi="Times New Roman"/>
          <w:sz w:val="21"/>
          <w:szCs w:val="21"/>
          <w:b w:val="1"/>
          <w:bCs w:val="1"/>
          <w:color w:val="auto"/>
        </w:rPr>
        <w:t>Inbound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Assets</w:t>
      </w:r>
      <w:r>
        <w:rPr>
          <w:rFonts w:ascii="Times New Roman" w:cs="Times New Roman" w:eastAsia="Times New Roman" w:hAnsi="Times New Roman"/>
          <w:sz w:val="21"/>
          <w:szCs w:val="21"/>
          <w:color w:val="auto"/>
        </w:rPr>
        <w:t>”), which Landlord will then lease to Tenant as Leased Property pursuant to the Master Lease.</w:t>
      </w:r>
    </w:p>
    <w:p>
      <w:pPr>
        <w:spacing w:after="0" w:line="177" w:lineRule="exact"/>
        <w:rPr>
          <w:rFonts w:ascii="Times New Roman" w:cs="Times New Roman" w:eastAsia="Times New Roman" w:hAnsi="Times New Roman"/>
          <w:sz w:val="21"/>
          <w:szCs w:val="21"/>
          <w:color w:val="auto"/>
        </w:rPr>
      </w:pPr>
    </w:p>
    <w:p>
      <w:pPr>
        <w:ind w:right="120" w:firstLine="883"/>
        <w:spacing w:after="0" w:line="252" w:lineRule="auto"/>
        <w:tabs>
          <w:tab w:leader="none" w:pos="1702"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and Tenant desire to further amend the Master Lease to, among other things, permit Landlord to install, own and operate (including leasing to certain eligible communications carriers) certain wireless communications towers, antennas and related equipment on designated portions of the Leased Property.</w:t>
      </w:r>
    </w:p>
    <w:p>
      <w:pPr>
        <w:spacing w:after="0" w:line="160" w:lineRule="exact"/>
        <w:rPr>
          <w:sz w:val="20"/>
          <w:szCs w:val="20"/>
          <w:color w:val="auto"/>
        </w:rPr>
      </w:pPr>
    </w:p>
    <w:p>
      <w:pPr>
        <w:ind w:right="220" w:firstLine="878"/>
        <w:spacing w:after="0" w:line="269" w:lineRule="auto"/>
        <w:rPr>
          <w:sz w:val="20"/>
          <w:szCs w:val="20"/>
          <w:color w:val="auto"/>
        </w:rPr>
      </w:pPr>
      <w:r>
        <w:rPr>
          <w:rFonts w:ascii="Times New Roman" w:cs="Times New Roman" w:eastAsia="Times New Roman" w:hAnsi="Times New Roman"/>
          <w:sz w:val="21"/>
          <w:szCs w:val="21"/>
          <w:color w:val="auto"/>
        </w:rPr>
        <w:t>NOW, THEREFORE, for good and valuable consideration, the receipt and sufficiency of which are hereby acknowledged, the parties, intending to be legally bound, agree as follows:</w:t>
      </w:r>
    </w:p>
    <w:p>
      <w:pPr>
        <w:spacing w:after="0" w:line="139" w:lineRule="exact"/>
        <w:rPr>
          <w:sz w:val="20"/>
          <w:szCs w:val="20"/>
          <w:color w:val="auto"/>
        </w:rPr>
      </w:pPr>
    </w:p>
    <w:p>
      <w:pPr>
        <w:ind w:left="880" w:hanging="875"/>
        <w:spacing w:after="0"/>
        <w:tabs>
          <w:tab w:leader="none" w:pos="880" w:val="left"/>
        </w:tabs>
        <w:numPr>
          <w:ilvl w:val="0"/>
          <w:numId w:val="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Exchange</w:t>
      </w:r>
      <w:r>
        <w:rPr>
          <w:rFonts w:ascii="Times New Roman" w:cs="Times New Roman" w:eastAsia="Times New Roman" w:hAnsi="Times New Roman"/>
          <w:sz w:val="21"/>
          <w:szCs w:val="21"/>
          <w:b w:val="1"/>
          <w:bCs w:val="1"/>
          <w:color w:val="auto"/>
        </w:rPr>
        <w:t>.</w:t>
      </w:r>
    </w:p>
    <w:p>
      <w:pPr>
        <w:spacing w:after="0" w:line="209" w:lineRule="exact"/>
        <w:rPr>
          <w:rFonts w:ascii="Times New Roman" w:cs="Times New Roman" w:eastAsia="Times New Roman" w:hAnsi="Times New Roman"/>
          <w:sz w:val="21"/>
          <w:szCs w:val="21"/>
          <w:color w:val="010000"/>
        </w:rPr>
      </w:pPr>
    </w:p>
    <w:p>
      <w:pPr>
        <w:jc w:val="both"/>
        <w:ind w:left="1740" w:hanging="867"/>
        <w:spacing w:after="0" w:line="242" w:lineRule="auto"/>
        <w:tabs>
          <w:tab w:leader="none" w:pos="1740" w:val="left"/>
        </w:tabs>
        <w:numPr>
          <w:ilvl w:val="1"/>
          <w:numId w:val="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Prior to executing a Fiber Exchange Agreement, the parties will work together to compute the fair market value of the Outbound Assets and Inbound Assets, including the valuation modeling and methodologies employed, working papers, comparable valuations utilized, and other relevant background materials used in arriving at the respective valuations, and all information concerning the initial construction, service date, subsequent use, and projected technical serviceable and useful life of such assets (with respect to any assets, the “</w:t>
      </w:r>
      <w:r>
        <w:rPr>
          <w:rFonts w:ascii="Times New Roman" w:cs="Times New Roman" w:eastAsia="Times New Roman" w:hAnsi="Times New Roman"/>
          <w:sz w:val="21"/>
          <w:szCs w:val="21"/>
          <w:b w:val="1"/>
          <w:bCs w:val="1"/>
          <w:color w:val="auto"/>
        </w:rPr>
        <w:t>Valuation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Materials</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1"/>
          <w:szCs w:val="21"/>
          <w:color w:val="010000"/>
        </w:rPr>
      </w:pPr>
    </w:p>
    <w:p>
      <w:pPr>
        <w:spacing w:after="0" w:line="213" w:lineRule="exact"/>
        <w:rPr>
          <w:rFonts w:ascii="Times New Roman" w:cs="Times New Roman" w:eastAsia="Times New Roman" w:hAnsi="Times New Roman"/>
          <w:sz w:val="21"/>
          <w:szCs w:val="21"/>
          <w:color w:val="010000"/>
        </w:rPr>
      </w:pPr>
    </w:p>
    <w:p>
      <w:pPr>
        <w:ind w:left="1740" w:hanging="867"/>
        <w:spacing w:after="0" w:line="269" w:lineRule="auto"/>
        <w:tabs>
          <w:tab w:leader="none" w:pos="1740" w:val="left"/>
        </w:tabs>
        <w:numPr>
          <w:ilvl w:val="1"/>
          <w:numId w:val="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parties mutually agree to proceed with the transactions contemplated by the Fiber Exchange Agreement, (i) Tenant, Landlord and the appropriate third party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29234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Master Lease Amendment - Confidential</w:t>
      </w:r>
    </w:p>
    <w:p>
      <w:pPr>
        <w:spacing w:after="0" w:line="24" w:lineRule="exact"/>
        <w:rPr>
          <w:sz w:val="20"/>
          <w:szCs w:val="20"/>
          <w:color w:val="auto"/>
        </w:rPr>
      </w:pPr>
    </w:p>
    <w:p>
      <w:pPr>
        <w:jc w:val="both"/>
        <w:ind w:left="867" w:hanging="867"/>
        <w:spacing w:after="0" w:line="238" w:lineRule="auto"/>
        <w:tabs>
          <w:tab w:leader="none" w:pos="867" w:val="left"/>
        </w:tabs>
        <w:numPr>
          <w:ilvl w:val="0"/>
          <w:numId w:val="1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will enter into the Fiber Exchange Agreement for the purposes set forth therein, including, without limitation, the performance testing and delivery of the Outbound Assets and the performance review and acceptance of the Inbound Assets, and (ii) Landlord will then lease the Inbound Assets to Tenant as Leased Property under the Master Lease.</w:t>
      </w:r>
    </w:p>
    <w:p>
      <w:pPr>
        <w:spacing w:after="0" w:line="175" w:lineRule="exact"/>
        <w:rPr>
          <w:rFonts w:ascii="Times New Roman" w:cs="Times New Roman" w:eastAsia="Times New Roman" w:hAnsi="Times New Roman"/>
          <w:sz w:val="21"/>
          <w:szCs w:val="21"/>
          <w:color w:val="010000"/>
        </w:rPr>
      </w:pPr>
    </w:p>
    <w:p>
      <w:pPr>
        <w:ind w:left="867" w:right="100" w:hanging="867"/>
        <w:spacing w:after="0" w:line="246" w:lineRule="auto"/>
        <w:tabs>
          <w:tab w:leader="none" w:pos="867" w:val="left"/>
        </w:tabs>
        <w:numPr>
          <w:ilvl w:val="0"/>
          <w:numId w:val="1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Simultaneously with the execution and delivery of the Fiber Exchange Agreement by Tenant, Landlord and the appropriate third party, Tenant and Landlord will effectuate and memorialize the removal of the Outbound Assets as Leased Property and the addition of the Inbound Assets as Leased Property by executing and delivering a letter agreement substantially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Letter of Exchange</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21"/>
          <w:szCs w:val="21"/>
          <w:color w:val="010000"/>
        </w:rPr>
      </w:pPr>
    </w:p>
    <w:p>
      <w:pPr>
        <w:ind w:left="867" w:right="140" w:hanging="867"/>
        <w:spacing w:after="0" w:line="252" w:lineRule="auto"/>
        <w:tabs>
          <w:tab w:leader="none" w:pos="867" w:val="left"/>
        </w:tabs>
        <w:numPr>
          <w:ilvl w:val="0"/>
          <w:numId w:val="1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As a condition to Landlord’s consent and agreement to execute and deliver the Fiber Exchange Agreement and related Letter of Exchange, Tenant shall certify to Landlord in such Letter of Exchange that, on and as of the date thereof, the following representations and warranties are true and correct:</w:t>
      </w:r>
    </w:p>
    <w:p>
      <w:pPr>
        <w:spacing w:after="0" w:line="160" w:lineRule="exact"/>
        <w:rPr>
          <w:rFonts w:ascii="Times New Roman" w:cs="Times New Roman" w:eastAsia="Times New Roman" w:hAnsi="Times New Roman"/>
          <w:sz w:val="21"/>
          <w:szCs w:val="21"/>
          <w:color w:val="010000"/>
        </w:rPr>
      </w:pPr>
    </w:p>
    <w:p>
      <w:pPr>
        <w:ind w:left="1747" w:hanging="865"/>
        <w:spacing w:after="0"/>
        <w:tabs>
          <w:tab w:leader="none" w:pos="1747" w:val="left"/>
        </w:tabs>
        <w:numPr>
          <w:ilvl w:val="1"/>
          <w:numId w:val="1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Event of Default has occurred and is continuing under the Master Lease, and there exists no event, condition or occurrence that with notice or passage of time or both would constitute an Event of Default under the Master Lease, including as a result of Tenant’s execution and performance of the Fiber Exchange Agreement, the agreements contemplated therein, or any other document executed or to be executed in connection therewith by Tenant or an Affiliate of Tenant. Neither the Letter of Exchange nor any other document executed or to be executed in connection therewith by Tenant or any Affiliate of Tenant constitutes a material breach of any other agreement of Tenant or such Affiliate of Tenant;</w:t>
      </w:r>
    </w:p>
    <w:p>
      <w:pPr>
        <w:spacing w:after="0" w:line="177" w:lineRule="exact"/>
        <w:rPr>
          <w:rFonts w:ascii="Times New Roman" w:cs="Times New Roman" w:eastAsia="Times New Roman" w:hAnsi="Times New Roman"/>
          <w:sz w:val="21"/>
          <w:szCs w:val="21"/>
          <w:color w:val="010000"/>
        </w:rPr>
      </w:pPr>
    </w:p>
    <w:p>
      <w:pPr>
        <w:ind w:left="1747" w:right="20" w:hanging="865"/>
        <w:spacing w:after="0" w:line="246" w:lineRule="auto"/>
        <w:tabs>
          <w:tab w:leader="none" w:pos="1747" w:val="left"/>
        </w:tabs>
        <w:numPr>
          <w:ilvl w:val="1"/>
          <w:numId w:val="1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Tenant is duly organized, validly existing and in good standing under the laws of Delaware and is duly authorized and qualified to perform its obligations under the Letter of Exchange and the Fiber Exchange Agreement within the State(s) and other legal jurisdictions where any portion of the Outbound Assets or Inbound Assets are located;</w:t>
      </w:r>
    </w:p>
    <w:p>
      <w:pPr>
        <w:spacing w:after="0" w:line="167" w:lineRule="exact"/>
        <w:rPr>
          <w:rFonts w:ascii="Times New Roman" w:cs="Times New Roman" w:eastAsia="Times New Roman" w:hAnsi="Times New Roman"/>
          <w:sz w:val="21"/>
          <w:szCs w:val="21"/>
          <w:color w:val="010000"/>
        </w:rPr>
      </w:pPr>
    </w:p>
    <w:p>
      <w:pPr>
        <w:ind w:left="1747" w:right="20" w:hanging="865"/>
        <w:spacing w:after="0" w:line="243" w:lineRule="auto"/>
        <w:tabs>
          <w:tab w:leader="none" w:pos="1747" w:val="left"/>
        </w:tabs>
        <w:numPr>
          <w:ilvl w:val="1"/>
          <w:numId w:val="1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value of each of the Outbound Assets and the Inbound Assets is accurately reflected in the Fiber Exchange Agreement, each has been determined using Tenant’s customary methodology that Tenant has consistently and historically used to value similar assets for purposes of similar transactions, and that Tenant has delivered to Landlord complete and accurate copies of all of the Valuation Materials with respect to the Outbound Assets and Inbound Assets; and</w:t>
      </w:r>
    </w:p>
    <w:p>
      <w:pPr>
        <w:spacing w:after="0" w:line="171" w:lineRule="exact"/>
        <w:rPr>
          <w:rFonts w:ascii="Times New Roman" w:cs="Times New Roman" w:eastAsia="Times New Roman" w:hAnsi="Times New Roman"/>
          <w:sz w:val="21"/>
          <w:szCs w:val="21"/>
          <w:color w:val="010000"/>
        </w:rPr>
      </w:pPr>
    </w:p>
    <w:p>
      <w:pPr>
        <w:ind w:left="1747" w:right="240" w:hanging="865"/>
        <w:spacing w:after="0" w:line="252" w:lineRule="auto"/>
        <w:tabs>
          <w:tab w:leader="none" w:pos="1747" w:val="left"/>
        </w:tabs>
        <w:numPr>
          <w:ilvl w:val="1"/>
          <w:numId w:val="1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Inbound Assets have been, or will have been as of the Mutual Acceptance Date (as defined in the Fiber Exchange Agreement), inspected by Tenant, and are, or will be as of such date, in good and operable condition, conform in all respects to the requirements of the Fiber</w:t>
      </w:r>
    </w:p>
    <w:p>
      <w:pPr>
        <w:spacing w:after="0" w:line="371" w:lineRule="exact"/>
        <w:rPr>
          <w:sz w:val="20"/>
          <w:szCs w:val="20"/>
          <w:color w:val="auto"/>
        </w:rPr>
      </w:pPr>
    </w:p>
    <w:p>
      <w:pPr>
        <w:ind w:left="4787"/>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68580</wp:posOffset>
            </wp:positionV>
            <wp:extent cx="729234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547"/>
          </w:cols>
          <w:pgMar w:left="1113" w:top="108" w:right="239" w:bottom="1440" w:gutter="0" w:footer="0" w:header="0"/>
        </w:sectPr>
      </w:pPr>
    </w:p>
    <w:bookmarkStart w:id="40" w:name="page41"/>
    <w:bookmarkEnd w:id="40"/>
    <w:p>
      <w:pPr>
        <w:ind w:left="7900"/>
        <w:spacing w:after="0"/>
        <w:rPr>
          <w:sz w:val="20"/>
          <w:szCs w:val="20"/>
          <w:color w:val="auto"/>
        </w:rPr>
      </w:pPr>
      <w:r>
        <w:rPr>
          <w:rFonts w:ascii="Times New Roman" w:cs="Times New Roman" w:eastAsia="Times New Roman" w:hAnsi="Times New Roman"/>
          <w:sz w:val="20"/>
          <w:szCs w:val="20"/>
          <w:b w:val="1"/>
          <w:bCs w:val="1"/>
          <w:i w:val="1"/>
          <w:iCs w:val="1"/>
          <w:color w:val="auto"/>
        </w:rPr>
        <w:t>Master Lease Amendment - Confidential</w:t>
      </w:r>
    </w:p>
    <w:p>
      <w:pPr>
        <w:spacing w:after="0" w:line="35" w:lineRule="exact"/>
        <w:rPr>
          <w:sz w:val="20"/>
          <w:szCs w:val="20"/>
          <w:color w:val="auto"/>
        </w:rPr>
      </w:pPr>
    </w:p>
    <w:p>
      <w:pPr>
        <w:ind w:left="2620" w:right="20"/>
        <w:spacing w:after="0" w:line="238" w:lineRule="auto"/>
        <w:rPr>
          <w:sz w:val="20"/>
          <w:szCs w:val="20"/>
          <w:color w:val="auto"/>
        </w:rPr>
      </w:pPr>
      <w:r>
        <w:rPr>
          <w:rFonts w:ascii="Times New Roman" w:cs="Times New Roman" w:eastAsia="Times New Roman" w:hAnsi="Times New Roman"/>
          <w:sz w:val="21"/>
          <w:szCs w:val="21"/>
          <w:color w:val="auto"/>
        </w:rPr>
        <w:t>Exchange Agreement (Tenant not having waived any of the conditions set forth therein), and will comply in all respects with industry standards and Legal Requirements (as defined in the Master Lease), unless Tenant properly rejects the Inbound Assets in accordance with the Fiber Exchange Agreement and such agreement is terminated as a result thereof.</w:t>
      </w:r>
    </w:p>
    <w:p>
      <w:pPr>
        <w:spacing w:after="0" w:line="176" w:lineRule="exact"/>
        <w:rPr>
          <w:sz w:val="20"/>
          <w:szCs w:val="20"/>
          <w:color w:val="auto"/>
        </w:rPr>
      </w:pPr>
    </w:p>
    <w:p>
      <w:pPr>
        <w:ind w:left="1740" w:right="320" w:hanging="867"/>
        <w:spacing w:after="0" w:line="243" w:lineRule="auto"/>
        <w:tabs>
          <w:tab w:leader="none" w:pos="1740" w:val="left"/>
        </w:tabs>
        <w:numPr>
          <w:ilvl w:val="1"/>
          <w:numId w:val="1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addition, as a condition to Landlord’s consent and agreement to execute and deliver the Fiber Exchange Agreement and related Letter of Exchange, Tenant shall covenant and agree in such Letter of Exchange that it shall strictly comply with all terms and conditions of the Fiber Exchange Agreement and all other agreements referenced therein, including, without limitation, any and all maintenance agreements or other agreements with respect to any assets associated with the Outbound Assets or Inbound Assets.</w:t>
      </w:r>
    </w:p>
    <w:p>
      <w:pPr>
        <w:spacing w:after="0" w:line="171" w:lineRule="exact"/>
        <w:rPr>
          <w:rFonts w:ascii="Times New Roman" w:cs="Times New Roman" w:eastAsia="Times New Roman" w:hAnsi="Times New Roman"/>
          <w:sz w:val="21"/>
          <w:szCs w:val="21"/>
          <w:color w:val="010000"/>
        </w:rPr>
      </w:pPr>
    </w:p>
    <w:p>
      <w:pPr>
        <w:ind w:left="1740" w:right="20" w:hanging="867"/>
        <w:spacing w:after="0" w:line="243" w:lineRule="auto"/>
        <w:tabs>
          <w:tab w:leader="none" w:pos="1740" w:val="left"/>
        </w:tabs>
        <w:numPr>
          <w:ilvl w:val="1"/>
          <w:numId w:val="1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event Tenant properly rejects the Inbound Assets, or the counterparty to the Fiber Exchange Agreement properly rejects the Outbound Assets, in accordance with the Fiber Exchange Agreement and such agreement is terminated as a result thereof, Tenant shall promptly notify Landlord of such termination and, pursuant to the terms and conditions of the Letter of Exchange, the Master Lease shall not be amended or modified with respect to such failed exchange of assets.</w:t>
      </w:r>
    </w:p>
    <w:p>
      <w:pPr>
        <w:spacing w:after="0" w:line="167" w:lineRule="exact"/>
        <w:rPr>
          <w:rFonts w:ascii="Times New Roman" w:cs="Times New Roman" w:eastAsia="Times New Roman" w:hAnsi="Times New Roman"/>
          <w:sz w:val="21"/>
          <w:szCs w:val="21"/>
          <w:color w:val="010000"/>
        </w:rPr>
      </w:pPr>
    </w:p>
    <w:p>
      <w:pPr>
        <w:ind w:left="880" w:right="20" w:hanging="875"/>
        <w:spacing w:after="0"/>
        <w:tabs>
          <w:tab w:leader="none" w:pos="880" w:val="left"/>
        </w:tabs>
        <w:numPr>
          <w:ilvl w:val="0"/>
          <w:numId w:val="1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Expenses</w:t>
      </w:r>
      <w:r>
        <w:rPr>
          <w:rFonts w:ascii="Times New Roman" w:cs="Times New Roman" w:eastAsia="Times New Roman" w:hAnsi="Times New Roman"/>
          <w:sz w:val="21"/>
          <w:szCs w:val="21"/>
          <w:color w:val="auto"/>
        </w:rPr>
        <w:t>. Each party shall be responsible for payment of the costs and expenses it incurs in connection with the evaluation,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processing and documentation of the transactions contemplated by this Amendment, including all reasonable attorneys’ fees or fees and expenses of other advisors, regardless of whether such transaction is consummated; provided, however, that Tenant agrees to reimburse Landlord for expenses reasonably incurred by Landlord up to Four Thousand Dollars ($</w:t>
      </w:r>
      <w:r>
        <w:rPr>
          <w:rFonts w:ascii="Times New Roman" w:cs="Times New Roman" w:eastAsia="Times New Roman" w:hAnsi="Times New Roman"/>
          <w:sz w:val="21"/>
          <w:szCs w:val="21"/>
          <w:color w:val="010000"/>
        </w:rPr>
        <w:t>4,000.00)</w:t>
      </w:r>
      <w:r>
        <w:rPr>
          <w:rFonts w:ascii="Times New Roman" w:cs="Times New Roman" w:eastAsia="Times New Roman" w:hAnsi="Times New Roman"/>
          <w:sz w:val="21"/>
          <w:szCs w:val="21"/>
          <w:color w:val="auto"/>
        </w:rPr>
        <w:t xml:space="preserve"> for the evaluation, processing and documentation of the transactions contemplated by a Fiber Exchange Agreement, including the valuation of the Outbound Assets and Inbound Assets by Landlord. Tenant shall pay Landlord such reimbursement no later than 15 days following Landlord’s submission to Tenant of reasonably detailed documentation evidencing such expenses. Landlord shall seek Tenant’s prior written approval for reimbursement of any expenses in excess of Four Thousand Dollars ($</w:t>
      </w:r>
      <w:r>
        <w:rPr>
          <w:rFonts w:ascii="Times New Roman" w:cs="Times New Roman" w:eastAsia="Times New Roman" w:hAnsi="Times New Roman"/>
          <w:sz w:val="21"/>
          <w:szCs w:val="21"/>
          <w:color w:val="010000"/>
        </w:rPr>
        <w:t>4,000.00)</w:t>
      </w:r>
      <w:r>
        <w:rPr>
          <w:rFonts w:ascii="Times New Roman" w:cs="Times New Roman" w:eastAsia="Times New Roman" w:hAnsi="Times New Roman"/>
          <w:sz w:val="21"/>
          <w:szCs w:val="21"/>
          <w:color w:val="auto"/>
        </w:rPr>
        <w:t xml:space="preserve"> incurred by Landlord regarding the same Fiber Exchange Agreement.</w:t>
      </w:r>
    </w:p>
    <w:p>
      <w:pPr>
        <w:spacing w:after="0" w:line="168" w:lineRule="exact"/>
        <w:rPr>
          <w:rFonts w:ascii="Times New Roman" w:cs="Times New Roman" w:eastAsia="Times New Roman" w:hAnsi="Times New Roman"/>
          <w:sz w:val="21"/>
          <w:szCs w:val="21"/>
          <w:color w:val="010000"/>
        </w:rPr>
      </w:pPr>
    </w:p>
    <w:p>
      <w:pPr>
        <w:ind w:left="880" w:right="340" w:hanging="875"/>
        <w:spacing w:after="0" w:line="273" w:lineRule="auto"/>
        <w:tabs>
          <w:tab w:leader="none" w:pos="880" w:val="left"/>
        </w:tabs>
        <w:numPr>
          <w:ilvl w:val="0"/>
          <w:numId w:val="1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Use of Leased Facilities by Landlord</w:t>
      </w:r>
      <w:r>
        <w:rPr>
          <w:rFonts w:ascii="Times New Roman" w:cs="Times New Roman" w:eastAsia="Times New Roman" w:hAnsi="Times New Roman"/>
          <w:sz w:val="21"/>
          <w:szCs w:val="21"/>
          <w:color w:val="auto"/>
        </w:rPr>
        <w:t>. Section 7.2 of the Master Lease is hereby amended by adding the following new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subsection (g) at the end of said Section and incorporating the new Schedule 7.2(g)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139" w:lineRule="exact"/>
        <w:rPr>
          <w:sz w:val="20"/>
          <w:szCs w:val="20"/>
          <w:color w:val="auto"/>
        </w:rPr>
      </w:pPr>
    </w:p>
    <w:p>
      <w:pPr>
        <w:ind w:left="1760" w:right="980"/>
        <w:spacing w:after="0" w:line="242" w:lineRule="auto"/>
        <w:rPr>
          <w:sz w:val="20"/>
          <w:szCs w:val="20"/>
          <w:color w:val="auto"/>
        </w:rPr>
      </w:pPr>
      <w:r>
        <w:rPr>
          <w:rFonts w:ascii="Times New Roman" w:cs="Times New Roman" w:eastAsia="Times New Roman" w:hAnsi="Times New Roman"/>
          <w:sz w:val="21"/>
          <w:szCs w:val="21"/>
          <w:color w:val="auto"/>
        </w:rPr>
        <w:t>“Notwithstanding the foregoing, Landlord shall have the right to use, or cause to be used, each central office, administrative office, retail store, vacant land, parking lot, warehouse, storage building, pad mount, reporting center and switch site included in the Leased Property, which shall be set forth on an exhibit to the Development Agreement (as defined below and, for purposes of clarification, in no event shall the grant set forth in this section include rights to utility poles, data centers, or Leased Property commonly identified as POPs or huts), in each case for the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29234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1" w:name="page42"/>
    <w:bookmarkEnd w:id="41"/>
    <w:p>
      <w:pPr>
        <w:ind w:left="7900"/>
        <w:spacing w:after="0"/>
        <w:rPr>
          <w:sz w:val="20"/>
          <w:szCs w:val="20"/>
          <w:color w:val="auto"/>
        </w:rPr>
      </w:pPr>
      <w:r>
        <w:rPr>
          <w:rFonts w:ascii="Times New Roman" w:cs="Times New Roman" w:eastAsia="Times New Roman" w:hAnsi="Times New Roman"/>
          <w:sz w:val="20"/>
          <w:szCs w:val="20"/>
          <w:b w:val="1"/>
          <w:bCs w:val="1"/>
          <w:i w:val="1"/>
          <w:iCs w:val="1"/>
          <w:color w:val="auto"/>
        </w:rPr>
        <w:t>Master Lease Amendment - Confidential</w:t>
      </w:r>
    </w:p>
    <w:p>
      <w:pPr>
        <w:spacing w:after="0" w:line="35" w:lineRule="exact"/>
        <w:rPr>
          <w:sz w:val="20"/>
          <w:szCs w:val="20"/>
          <w:color w:val="auto"/>
        </w:rPr>
      </w:pPr>
    </w:p>
    <w:p>
      <w:pPr>
        <w:ind w:left="1760" w:right="920"/>
        <w:spacing w:after="0" w:line="235" w:lineRule="auto"/>
        <w:rPr>
          <w:sz w:val="20"/>
          <w:szCs w:val="20"/>
          <w:color w:val="auto"/>
        </w:rPr>
      </w:pPr>
      <w:r>
        <w:rPr>
          <w:rFonts w:ascii="Times New Roman" w:cs="Times New Roman" w:eastAsia="Times New Roman" w:hAnsi="Times New Roman"/>
          <w:sz w:val="21"/>
          <w:szCs w:val="21"/>
          <w:color w:val="auto"/>
        </w:rPr>
        <w:t>purpose of: (i) on an exclusive basis in relation to third parties, constructing, installing and operating macro-towers, and related equipment, for use by commercial mobile radio service wireless carriers, and</w:t>
      </w:r>
    </w:p>
    <w:p>
      <w:pPr>
        <w:spacing w:after="0" w:line="1" w:lineRule="exact"/>
        <w:rPr>
          <w:sz w:val="20"/>
          <w:szCs w:val="20"/>
          <w:color w:val="auto"/>
        </w:rPr>
      </w:pPr>
    </w:p>
    <w:p>
      <w:pPr>
        <w:ind w:left="1760" w:right="920" w:firstLine="1"/>
        <w:spacing w:after="0" w:line="236" w:lineRule="auto"/>
        <w:tabs>
          <w:tab w:leader="none" w:pos="2070"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 non-exclusive basis, constructing, installing and operating rooftop antennas, and related equipment, for use by commercial mobile radio service wireless carriers (the “Expanded Use”); provided, however, in no event, shall Landlord be permitted to install or permit the installation of fixed wireless or IPTV distribution systems within the same local exchange area of the incumbent local exchange carriers that are Subsidiaries of Tenant and are operating the Facilities being leased by Tenant under this Master Lease. Nothing contained in this subsection (g) shall prohibit Tenant from constructing, installing and operating macro-towers at the locations listed in the exhibit to the Development Agreement, but Tenant agrees that it will not lease space on such macro-towers to commercial mobile radio service wireless carriers. Prior to Landlord’s initial use of such Leased Property for the foregoing purposes, Landlord and Tenant shall enter into a separate written agreement setting forth the procedures for Landlord’s development of such Leased Property for such purposes (the “</w:t>
      </w:r>
      <w:r>
        <w:rPr>
          <w:rFonts w:ascii="Times New Roman" w:cs="Times New Roman" w:eastAsia="Times New Roman" w:hAnsi="Times New Roman"/>
          <w:sz w:val="21"/>
          <w:szCs w:val="21"/>
          <w:b w:val="1"/>
          <w:bCs w:val="1"/>
          <w:color w:val="auto"/>
        </w:rPr>
        <w:t>Development Agreement</w:t>
      </w:r>
      <w:r>
        <w:rPr>
          <w:rFonts w:ascii="Times New Roman" w:cs="Times New Roman" w:eastAsia="Times New Roman" w:hAnsi="Times New Roman"/>
          <w:sz w:val="21"/>
          <w:szCs w:val="21"/>
          <w:color w:val="auto"/>
        </w:rPr>
        <w:t xml:space="preserve">”) as reasonably required to limit undue disruption to Tenant’s use, occupancy and operation of the Leased Property in accordance with the Master Lease and Landlord’s use of the Leased Property for the purposes described above. Landlord and Tenant shall cooperate in good faith to negotiate, execute and deliver the Development Agreement prior to February 26, 2016. In addition, the Expanded Use will be governed by the commercial arrangements further described in </w:t>
      </w:r>
      <w:r>
        <w:rPr>
          <w:rFonts w:ascii="Times New Roman" w:cs="Times New Roman" w:eastAsia="Times New Roman" w:hAnsi="Times New Roman"/>
          <w:sz w:val="21"/>
          <w:szCs w:val="21"/>
          <w:u w:val="single" w:color="auto"/>
          <w:color w:val="auto"/>
        </w:rPr>
        <w:t>Schedule 7.2(g)</w:t>
      </w:r>
      <w:r>
        <w:rPr>
          <w:rFonts w:ascii="Times New Roman" w:cs="Times New Roman" w:eastAsia="Times New Roman" w:hAnsi="Times New Roman"/>
          <w:sz w:val="21"/>
          <w:szCs w:val="21"/>
          <w:color w:val="auto"/>
        </w:rPr>
        <w:t xml:space="preserve"> attached hereto.”</w:t>
      </w:r>
    </w:p>
    <w:p>
      <w:pPr>
        <w:spacing w:after="0" w:line="170" w:lineRule="exact"/>
        <w:rPr>
          <w:rFonts w:ascii="Times New Roman" w:cs="Times New Roman" w:eastAsia="Times New Roman" w:hAnsi="Times New Roman"/>
          <w:sz w:val="21"/>
          <w:szCs w:val="21"/>
          <w:color w:val="auto"/>
        </w:rPr>
      </w:pPr>
    </w:p>
    <w:p>
      <w:pPr>
        <w:ind w:left="880" w:right="40" w:hanging="875"/>
        <w:spacing w:after="0" w:line="244" w:lineRule="auto"/>
        <w:tabs>
          <w:tab w:leader="none" w:pos="880" w:val="left"/>
        </w:tabs>
        <w:numPr>
          <w:ilvl w:val="0"/>
          <w:numId w:val="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Effectiveness of Letter Amendments</w:t>
      </w:r>
      <w:r>
        <w:rPr>
          <w:rFonts w:ascii="Times New Roman" w:cs="Times New Roman" w:eastAsia="Times New Roman" w:hAnsi="Times New Roman"/>
          <w:sz w:val="21"/>
          <w:szCs w:val="21"/>
          <w:color w:val="auto"/>
        </w:rPr>
        <w:t>. Upon execution and delivery thereof by duly authorized representatives of Landlord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Tenant, but subject to the satisfaction of conditions precedent stated therein, the Letter of Exchange shall be effective to amend the Master Lease with respect to the Leased Property as contemplated therein. To the extent of any conflict between any Letter of Exchange and the Master Lease, the Letter of Exchange shall control. Except as specifically modified by the Letter of Exchange, the Master Lease shall remain in full force and effect on the terms and conditions set forth therein.</w:t>
      </w:r>
    </w:p>
    <w:p>
      <w:pPr>
        <w:spacing w:after="0" w:line="166" w:lineRule="exact"/>
        <w:rPr>
          <w:rFonts w:ascii="Times New Roman" w:cs="Times New Roman" w:eastAsia="Times New Roman" w:hAnsi="Times New Roman"/>
          <w:sz w:val="21"/>
          <w:szCs w:val="21"/>
          <w:color w:val="010000"/>
        </w:rPr>
      </w:pPr>
    </w:p>
    <w:p>
      <w:pPr>
        <w:ind w:left="880" w:hanging="875"/>
        <w:spacing w:after="0" w:line="242" w:lineRule="auto"/>
        <w:tabs>
          <w:tab w:leader="none" w:pos="880" w:val="left"/>
        </w:tabs>
        <w:numPr>
          <w:ilvl w:val="0"/>
          <w:numId w:val="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Representations and Warranties</w:t>
      </w:r>
      <w:r>
        <w:rPr>
          <w:rFonts w:ascii="Times New Roman" w:cs="Times New Roman" w:eastAsia="Times New Roman" w:hAnsi="Times New Roman"/>
          <w:sz w:val="21"/>
          <w:szCs w:val="21"/>
          <w:color w:val="auto"/>
        </w:rPr>
        <w:t>. Each of Landlord and Tenant hereby represents and warrants to the other that: (i) it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necessary corporate power and authority to execute, deliver and perform its obligations under this Amendment; (ii) the execution, delivery and performance by it of this Amendment has been duly authorized by all necessary entity action on its part; and (iii) this Amendment constitutes a legal, valid and binding obligation of such party enforceable in accordance with its terms, except as enforceability may be limited by bankruptcy, insolvency or other laws of general application affecting the enforcement of creditor’s rights and by general principles of equity limiting the availability of certain remedies.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29234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Master Lease Amendment - Confidential</w:t>
      </w:r>
    </w:p>
    <w:p>
      <w:pPr>
        <w:spacing w:after="0" w:line="24" w:lineRule="exact"/>
        <w:rPr>
          <w:sz w:val="20"/>
          <w:szCs w:val="20"/>
          <w:color w:val="auto"/>
        </w:rPr>
      </w:pPr>
    </w:p>
    <w:p>
      <w:pPr>
        <w:ind w:left="880" w:right="200" w:hanging="875"/>
        <w:spacing w:after="0" w:line="237" w:lineRule="auto"/>
        <w:tabs>
          <w:tab w:leader="none" w:pos="880" w:val="left"/>
        </w:tabs>
        <w:numPr>
          <w:ilvl w:val="0"/>
          <w:numId w:val="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Value Limitation</w:t>
      </w:r>
      <w:r>
        <w:rPr>
          <w:rFonts w:ascii="Times New Roman" w:cs="Times New Roman" w:eastAsia="Times New Roman" w:hAnsi="Times New Roman"/>
          <w:sz w:val="21"/>
          <w:szCs w:val="21"/>
          <w:color w:val="auto"/>
        </w:rPr>
        <w:t>. Notwithstanding the foregoing, Landlord and Tenant hereby agree that any Fiber Exchange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related Letter of Exchange) which either (i) on an individual basis, involves total consideration in excess of $10,000,000.00 (Inbound Assets equal to $5,000,000 and Outbound Assets equal to $5,000,000), or (ii) on an aggregate basis with all other Fiber Exchange Agreements entered into pursuant to this Amendment, involves total consideration in excess of $50,000,000.00, shall require Landlord and Tenant to enter into an additional and separate writing to amend and supplement the Master Lease in accordance with Section 41.7 thereof.</w:t>
      </w:r>
    </w:p>
    <w:p>
      <w:pPr>
        <w:spacing w:after="0" w:line="172" w:lineRule="exact"/>
        <w:rPr>
          <w:rFonts w:ascii="Times New Roman" w:cs="Times New Roman" w:eastAsia="Times New Roman" w:hAnsi="Times New Roman"/>
          <w:sz w:val="21"/>
          <w:szCs w:val="21"/>
          <w:color w:val="010000"/>
        </w:rPr>
      </w:pPr>
    </w:p>
    <w:p>
      <w:pPr>
        <w:ind w:left="880" w:right="120" w:hanging="875"/>
        <w:spacing w:after="0" w:line="241" w:lineRule="auto"/>
        <w:tabs>
          <w:tab w:leader="none" w:pos="880" w:val="left"/>
        </w:tabs>
        <w:numPr>
          <w:ilvl w:val="0"/>
          <w:numId w:val="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Effectiveness of Amendment</w:t>
      </w:r>
      <w:r>
        <w:rPr>
          <w:rFonts w:ascii="Times New Roman" w:cs="Times New Roman" w:eastAsia="Times New Roman" w:hAnsi="Times New Roman"/>
          <w:sz w:val="21"/>
          <w:szCs w:val="21"/>
          <w:color w:val="auto"/>
        </w:rPr>
        <w:t>. As of the Effective Date, this Amendment shall amend and supplement the Master Lease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to the extent of any conflict between the Master Lease and this Amendment, this Amendment shall control. Except as specifically modified by this Amendment, the Master Lease shall remain in full force and effect on the terms and conditions set forth therein, and the Master Lease, as amended by this Amendment, is hereby ratified and confirmed by Landlord and Tenant. Nothing contained herein or in any other document referenced herein shall be construed as limiting Landlord’s discretion to approve or disapprove any transaction that may be discussed by the parties pursuant to Section 1 of this Agreement, or from placing additional conditions upon Landlord’s approval or consent with respect to such transaction.</w:t>
      </w:r>
    </w:p>
    <w:p>
      <w:pPr>
        <w:spacing w:after="0" w:line="170" w:lineRule="exact"/>
        <w:rPr>
          <w:rFonts w:ascii="Times New Roman" w:cs="Times New Roman" w:eastAsia="Times New Roman" w:hAnsi="Times New Roman"/>
          <w:sz w:val="21"/>
          <w:szCs w:val="21"/>
          <w:color w:val="010000"/>
        </w:rPr>
      </w:pPr>
    </w:p>
    <w:p>
      <w:pPr>
        <w:ind w:left="880" w:right="40" w:hanging="875"/>
        <w:spacing w:after="0" w:line="247" w:lineRule="auto"/>
        <w:tabs>
          <w:tab w:leader="none" w:pos="880" w:val="left"/>
        </w:tabs>
        <w:numPr>
          <w:ilvl w:val="0"/>
          <w:numId w:val="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Further Information</w:t>
      </w:r>
      <w:r>
        <w:rPr>
          <w:rFonts w:ascii="Times New Roman" w:cs="Times New Roman" w:eastAsia="Times New Roman" w:hAnsi="Times New Roman"/>
          <w:sz w:val="21"/>
          <w:szCs w:val="21"/>
          <w:color w:val="auto"/>
        </w:rPr>
        <w:t>. From time to time either party may request such additional information concerning the valuation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methodologies employed by the other party with respect to any transactions involving the Outbound Assets or Inbound Assets including, without limitation, any supplemental Valuation Materials prepared by or in the possession of the other party.</w:t>
      </w:r>
    </w:p>
    <w:p>
      <w:pPr>
        <w:spacing w:after="0" w:line="163" w:lineRule="exact"/>
        <w:rPr>
          <w:rFonts w:ascii="Times New Roman" w:cs="Times New Roman" w:eastAsia="Times New Roman" w:hAnsi="Times New Roman"/>
          <w:sz w:val="21"/>
          <w:szCs w:val="21"/>
          <w:color w:val="010000"/>
        </w:rPr>
      </w:pPr>
    </w:p>
    <w:p>
      <w:pPr>
        <w:jc w:val="both"/>
        <w:ind w:left="880" w:right="120" w:hanging="875"/>
        <w:spacing w:after="0" w:line="254" w:lineRule="auto"/>
        <w:tabs>
          <w:tab w:leader="none" w:pos="880" w:val="left"/>
        </w:tabs>
        <w:numPr>
          <w:ilvl w:val="0"/>
          <w:numId w:val="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Incorporation of Miscellaneous Terms from Master Lease</w:t>
      </w:r>
      <w:r>
        <w:rPr>
          <w:rFonts w:ascii="Times New Roman" w:cs="Times New Roman" w:eastAsia="Times New Roman" w:hAnsi="Times New Roman"/>
          <w:sz w:val="21"/>
          <w:szCs w:val="21"/>
          <w:color w:val="auto"/>
        </w:rPr>
        <w:t>. All of the provisions of Article XLI of the Master Lease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apply to this Amendment as if such provisions were fully set forth herein and, in each case, referencing this Amendment as part of the Master Lease.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29234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3" w:name="page44"/>
    <w:bookmarkEnd w:id="43"/>
    <w:p>
      <w:pPr>
        <w:ind w:left="7900"/>
        <w:spacing w:after="0"/>
        <w:rPr>
          <w:sz w:val="20"/>
          <w:szCs w:val="20"/>
          <w:color w:val="auto"/>
        </w:rPr>
      </w:pPr>
      <w:r>
        <w:rPr>
          <w:rFonts w:ascii="Times New Roman" w:cs="Times New Roman" w:eastAsia="Times New Roman" w:hAnsi="Times New Roman"/>
          <w:sz w:val="21"/>
          <w:szCs w:val="21"/>
          <w:b w:val="1"/>
          <w:bCs w:val="1"/>
          <w:i w:val="1"/>
          <w:iCs w:val="1"/>
          <w:color w:val="auto"/>
        </w:rPr>
        <w:t>Master Lease Amendment - Confidential</w:t>
      </w:r>
    </w:p>
    <w:p>
      <w:pPr>
        <w:spacing w:after="0" w:line="24" w:lineRule="exact"/>
        <w:rPr>
          <w:sz w:val="20"/>
          <w:szCs w:val="20"/>
          <w:color w:val="auto"/>
        </w:rPr>
      </w:pPr>
    </w:p>
    <w:p>
      <w:pPr>
        <w:ind w:right="480" w:firstLine="878"/>
        <w:spacing w:after="0" w:line="245" w:lineRule="auto"/>
        <w:rPr>
          <w:sz w:val="20"/>
          <w:szCs w:val="20"/>
          <w:color w:val="auto"/>
        </w:rPr>
      </w:pPr>
      <w:r>
        <w:rPr>
          <w:rFonts w:ascii="Times New Roman" w:cs="Times New Roman" w:eastAsia="Times New Roman" w:hAnsi="Times New Roman"/>
          <w:sz w:val="21"/>
          <w:szCs w:val="21"/>
          <w:color w:val="auto"/>
        </w:rPr>
        <w:t>IN WITNESS WHEREOF, this Amendment No. 1 to Master Lease has been executed by Landlord and Tenant as of the Effective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6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auto"/>
              </w:rPr>
              <w:t>TENANT:</w:t>
            </w:r>
          </w:p>
        </w:tc>
        <w:tc>
          <w:tcPr>
            <w:tcW w:w="1740" w:type="dxa"/>
            <w:vAlign w:val="bottom"/>
          </w:tcPr>
          <w:p>
            <w:pPr>
              <w:spacing w:after="0"/>
              <w:rPr>
                <w:sz w:val="21"/>
                <w:szCs w:val="21"/>
                <w:color w:val="auto"/>
              </w:rPr>
            </w:pPr>
          </w:p>
        </w:tc>
        <w:tc>
          <w:tcPr>
            <w:tcW w:w="594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auto"/>
              </w:rPr>
              <w:t>LANDLORD:</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376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auto"/>
              </w:rPr>
              <w:t>WINDSTREAM HOLDINGS, INC.,</w:t>
            </w:r>
          </w:p>
        </w:tc>
        <w:tc>
          <w:tcPr>
            <w:tcW w:w="174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auto"/>
              </w:rPr>
              <w:t>CSL ALABAMA SYSTEM, LLC</w:t>
            </w:r>
          </w:p>
        </w:tc>
        <w:tc>
          <w:tcPr>
            <w:tcW w:w="0" w:type="dxa"/>
            <w:vAlign w:val="bottom"/>
          </w:tcPr>
          <w:p>
            <w:pPr>
              <w:spacing w:after="0"/>
              <w:rPr>
                <w:sz w:val="1"/>
                <w:szCs w:val="1"/>
                <w:color w:val="auto"/>
              </w:rPr>
            </w:pPr>
          </w:p>
        </w:tc>
      </w:tr>
      <w:tr>
        <w:trPr>
          <w:trHeight w:val="237"/>
        </w:trPr>
        <w:tc>
          <w:tcPr>
            <w:tcW w:w="3760" w:type="dxa"/>
            <w:vAlign w:val="bottom"/>
            <w:gridSpan w:val="4"/>
          </w:tcPr>
          <w:p>
            <w:pPr>
              <w:spacing w:after="0" w:line="237" w:lineRule="exact"/>
              <w:rPr>
                <w:sz w:val="20"/>
                <w:szCs w:val="20"/>
                <w:color w:val="auto"/>
              </w:rPr>
            </w:pPr>
            <w:r>
              <w:rPr>
                <w:rFonts w:ascii="Times New Roman" w:cs="Times New Roman" w:eastAsia="Times New Roman" w:hAnsi="Times New Roman"/>
                <w:sz w:val="21"/>
                <w:szCs w:val="21"/>
                <w:color w:val="auto"/>
              </w:rPr>
              <w:t>a Delaware corporation</w:t>
            </w:r>
          </w:p>
        </w:tc>
        <w:tc>
          <w:tcPr>
            <w:tcW w:w="1740" w:type="dxa"/>
            <w:vAlign w:val="bottom"/>
          </w:tcPr>
          <w:p>
            <w:pPr>
              <w:spacing w:after="0"/>
              <w:rPr>
                <w:sz w:val="20"/>
                <w:szCs w:val="20"/>
                <w:color w:val="auto"/>
              </w:rPr>
            </w:pPr>
          </w:p>
        </w:tc>
        <w:tc>
          <w:tcPr>
            <w:tcW w:w="5940" w:type="dxa"/>
            <w:vAlign w:val="bottom"/>
            <w:gridSpan w:val="4"/>
          </w:tcPr>
          <w:p>
            <w:pPr>
              <w:spacing w:after="0" w:line="237" w:lineRule="exact"/>
              <w:rPr>
                <w:sz w:val="20"/>
                <w:szCs w:val="20"/>
                <w:color w:val="auto"/>
              </w:rPr>
            </w:pPr>
            <w:r>
              <w:rPr>
                <w:rFonts w:ascii="Times New Roman" w:cs="Times New Roman" w:eastAsia="Times New Roman" w:hAnsi="Times New Roman"/>
                <w:sz w:val="21"/>
                <w:szCs w:val="21"/>
                <w:b w:val="1"/>
                <w:bCs w:val="1"/>
                <w:color w:val="auto"/>
              </w:rPr>
              <w:t>CSL ARKANSAS SYSTEM, LLC</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940" w:type="dxa"/>
            <w:vAlign w:val="bottom"/>
            <w:gridSpan w:val="4"/>
          </w:tcPr>
          <w:p>
            <w:pPr>
              <w:spacing w:after="0" w:line="237" w:lineRule="exact"/>
              <w:rPr>
                <w:sz w:val="20"/>
                <w:szCs w:val="20"/>
                <w:color w:val="auto"/>
              </w:rPr>
            </w:pPr>
            <w:r>
              <w:rPr>
                <w:rFonts w:ascii="Times New Roman" w:cs="Times New Roman" w:eastAsia="Times New Roman" w:hAnsi="Times New Roman"/>
                <w:sz w:val="21"/>
                <w:szCs w:val="21"/>
                <w:b w:val="1"/>
                <w:bCs w:val="1"/>
                <w:color w:val="auto"/>
              </w:rPr>
              <w:t>CSL FLORIDA SYSTEM, LLC</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940" w:type="dxa"/>
            <w:vAlign w:val="bottom"/>
            <w:gridSpan w:val="4"/>
          </w:tcPr>
          <w:p>
            <w:pPr>
              <w:spacing w:after="0" w:line="237" w:lineRule="exact"/>
              <w:rPr>
                <w:sz w:val="20"/>
                <w:szCs w:val="20"/>
                <w:color w:val="auto"/>
              </w:rPr>
            </w:pPr>
            <w:r>
              <w:rPr>
                <w:rFonts w:ascii="Times New Roman" w:cs="Times New Roman" w:eastAsia="Times New Roman" w:hAnsi="Times New Roman"/>
                <w:sz w:val="21"/>
                <w:szCs w:val="21"/>
                <w:b w:val="1"/>
                <w:bCs w:val="1"/>
                <w:color w:val="auto"/>
              </w:rPr>
              <w:t>CSL GEORGIA SYSTEM, LLC</w:t>
            </w:r>
          </w:p>
        </w:tc>
        <w:tc>
          <w:tcPr>
            <w:tcW w:w="0" w:type="dxa"/>
            <w:vAlign w:val="bottom"/>
          </w:tcPr>
          <w:p>
            <w:pPr>
              <w:spacing w:after="0"/>
              <w:rPr>
                <w:sz w:val="1"/>
                <w:szCs w:val="1"/>
                <w:color w:val="auto"/>
              </w:rPr>
            </w:pPr>
          </w:p>
        </w:tc>
      </w:tr>
      <w:tr>
        <w:trPr>
          <w:trHeight w:val="229"/>
        </w:trPr>
        <w:tc>
          <w:tcPr>
            <w:tcW w:w="3760" w:type="dxa"/>
            <w:vAlign w:val="bottom"/>
            <w:gridSpan w:val="4"/>
          </w:tcPr>
          <w:p>
            <w:pPr>
              <w:spacing w:after="0" w:line="229" w:lineRule="exact"/>
              <w:rPr>
                <w:sz w:val="20"/>
                <w:szCs w:val="20"/>
                <w:color w:val="auto"/>
              </w:rPr>
            </w:pPr>
            <w:r>
              <w:rPr>
                <w:rFonts w:ascii="Times New Roman" w:cs="Times New Roman" w:eastAsia="Times New Roman" w:hAnsi="Times New Roman"/>
                <w:sz w:val="21"/>
                <w:szCs w:val="21"/>
                <w:color w:val="auto"/>
              </w:rPr>
              <w:t>By: /s/ Anthony W. Thomas________</w:t>
            </w:r>
          </w:p>
        </w:tc>
        <w:tc>
          <w:tcPr>
            <w:tcW w:w="1740" w:type="dxa"/>
            <w:vAlign w:val="bottom"/>
          </w:tcPr>
          <w:p>
            <w:pPr>
              <w:spacing w:after="0"/>
              <w:rPr>
                <w:sz w:val="19"/>
                <w:szCs w:val="19"/>
                <w:color w:val="auto"/>
              </w:rPr>
            </w:pPr>
          </w:p>
        </w:tc>
        <w:tc>
          <w:tcPr>
            <w:tcW w:w="5940" w:type="dxa"/>
            <w:vAlign w:val="bottom"/>
            <w:gridSpan w:val="4"/>
          </w:tcPr>
          <w:p>
            <w:pPr>
              <w:spacing w:after="0" w:line="229" w:lineRule="exact"/>
              <w:rPr>
                <w:sz w:val="20"/>
                <w:szCs w:val="20"/>
                <w:color w:val="auto"/>
              </w:rPr>
            </w:pPr>
            <w:r>
              <w:rPr>
                <w:rFonts w:ascii="Times New Roman" w:cs="Times New Roman" w:eastAsia="Times New Roman" w:hAnsi="Times New Roman"/>
                <w:sz w:val="21"/>
                <w:szCs w:val="21"/>
                <w:b w:val="1"/>
                <w:bCs w:val="1"/>
                <w:color w:val="auto"/>
              </w:rPr>
              <w:t>CSL IOWA SYSTEM, LLC</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840" w:type="dxa"/>
            <w:vAlign w:val="bottom"/>
            <w:gridSpan w:val="2"/>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940" w:type="dxa"/>
            <w:vAlign w:val="bottom"/>
            <w:gridSpan w:val="4"/>
            <w:vMerge w:val="restart"/>
          </w:tcPr>
          <w:p>
            <w:pPr>
              <w:spacing w:after="0"/>
              <w:rPr>
                <w:sz w:val="20"/>
                <w:szCs w:val="20"/>
                <w:color w:val="auto"/>
              </w:rPr>
            </w:pPr>
            <w:r>
              <w:rPr>
                <w:rFonts w:ascii="Times New Roman" w:cs="Times New Roman" w:eastAsia="Times New Roman" w:hAnsi="Times New Roman"/>
                <w:sz w:val="21"/>
                <w:szCs w:val="21"/>
                <w:b w:val="1"/>
                <w:bCs w:val="1"/>
                <w:color w:val="auto"/>
              </w:rPr>
              <w:t>CSL KENTUCKY SYSTEM, LLC</w:t>
            </w:r>
          </w:p>
        </w:tc>
        <w:tc>
          <w:tcPr>
            <w:tcW w:w="0" w:type="dxa"/>
            <w:vAlign w:val="bottom"/>
          </w:tcPr>
          <w:p>
            <w:pPr>
              <w:spacing w:after="0" w:line="20" w:lineRule="exact"/>
              <w:rPr>
                <w:sz w:val="1"/>
                <w:szCs w:val="1"/>
                <w:color w:val="auto"/>
              </w:rPr>
            </w:pPr>
          </w:p>
        </w:tc>
      </w:tr>
      <w:tr>
        <w:trPr>
          <w:trHeight w:val="225"/>
        </w:trPr>
        <w:tc>
          <w:tcPr>
            <w:tcW w:w="3200" w:type="dxa"/>
            <w:vAlign w:val="bottom"/>
            <w:gridSpan w:val="3"/>
          </w:tcPr>
          <w:p>
            <w:pPr>
              <w:spacing w:after="0" w:line="225" w:lineRule="exact"/>
              <w:rPr>
                <w:sz w:val="20"/>
                <w:szCs w:val="20"/>
                <w:color w:val="auto"/>
              </w:rPr>
            </w:pPr>
            <w:r>
              <w:rPr>
                <w:rFonts w:ascii="Times New Roman" w:cs="Times New Roman" w:eastAsia="Times New Roman" w:hAnsi="Times New Roman"/>
                <w:sz w:val="21"/>
                <w:szCs w:val="21"/>
                <w:color w:val="auto"/>
              </w:rPr>
              <w:t>Name: Anthony W. Thomas</w:t>
            </w:r>
          </w:p>
        </w:tc>
        <w:tc>
          <w:tcPr>
            <w:tcW w:w="56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594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60" w:type="dxa"/>
            <w:vAlign w:val="bottom"/>
            <w:gridSpan w:val="4"/>
          </w:tcPr>
          <w:p>
            <w:pPr>
              <w:spacing w:after="0" w:line="237" w:lineRule="exact"/>
              <w:rPr>
                <w:sz w:val="20"/>
                <w:szCs w:val="20"/>
                <w:color w:val="auto"/>
              </w:rPr>
            </w:pPr>
            <w:r>
              <w:rPr>
                <w:rFonts w:ascii="Times New Roman" w:cs="Times New Roman" w:eastAsia="Times New Roman" w:hAnsi="Times New Roman"/>
                <w:sz w:val="21"/>
                <w:szCs w:val="21"/>
                <w:color w:val="auto"/>
              </w:rPr>
              <w:t>Title: Chief Executive Officer</w:t>
            </w:r>
          </w:p>
        </w:tc>
        <w:tc>
          <w:tcPr>
            <w:tcW w:w="1740" w:type="dxa"/>
            <w:vAlign w:val="bottom"/>
          </w:tcPr>
          <w:p>
            <w:pPr>
              <w:spacing w:after="0"/>
              <w:rPr>
                <w:sz w:val="20"/>
                <w:szCs w:val="20"/>
                <w:color w:val="auto"/>
              </w:rPr>
            </w:pPr>
          </w:p>
        </w:tc>
        <w:tc>
          <w:tcPr>
            <w:tcW w:w="5940" w:type="dxa"/>
            <w:vAlign w:val="bottom"/>
            <w:gridSpan w:val="4"/>
          </w:tcPr>
          <w:p>
            <w:pPr>
              <w:spacing w:after="0" w:line="237" w:lineRule="exact"/>
              <w:rPr>
                <w:sz w:val="20"/>
                <w:szCs w:val="20"/>
                <w:color w:val="auto"/>
              </w:rPr>
            </w:pPr>
            <w:r>
              <w:rPr>
                <w:rFonts w:ascii="Times New Roman" w:cs="Times New Roman" w:eastAsia="Times New Roman" w:hAnsi="Times New Roman"/>
                <w:sz w:val="21"/>
                <w:szCs w:val="21"/>
                <w:b w:val="1"/>
                <w:bCs w:val="1"/>
                <w:color w:val="auto"/>
              </w:rPr>
              <w:t>CSL MISSISSIPPI SYSTEM, LLC</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940" w:type="dxa"/>
            <w:vAlign w:val="bottom"/>
            <w:gridSpan w:val="4"/>
          </w:tcPr>
          <w:p>
            <w:pPr>
              <w:spacing w:after="0" w:line="237" w:lineRule="exact"/>
              <w:rPr>
                <w:sz w:val="20"/>
                <w:szCs w:val="20"/>
                <w:color w:val="auto"/>
              </w:rPr>
            </w:pPr>
            <w:r>
              <w:rPr>
                <w:rFonts w:ascii="Times New Roman" w:cs="Times New Roman" w:eastAsia="Times New Roman" w:hAnsi="Times New Roman"/>
                <w:sz w:val="21"/>
                <w:szCs w:val="21"/>
                <w:b w:val="1"/>
                <w:bCs w:val="1"/>
                <w:color w:val="auto"/>
              </w:rPr>
              <w:t>CSL MISSOURI SYSTEM, LLC</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940" w:type="dxa"/>
            <w:vAlign w:val="bottom"/>
            <w:gridSpan w:val="4"/>
          </w:tcPr>
          <w:p>
            <w:pPr>
              <w:spacing w:after="0" w:line="237" w:lineRule="exact"/>
              <w:rPr>
                <w:sz w:val="20"/>
                <w:szCs w:val="20"/>
                <w:color w:val="auto"/>
              </w:rPr>
            </w:pPr>
            <w:r>
              <w:rPr>
                <w:rFonts w:ascii="Times New Roman" w:cs="Times New Roman" w:eastAsia="Times New Roman" w:hAnsi="Times New Roman"/>
                <w:sz w:val="21"/>
                <w:szCs w:val="21"/>
                <w:b w:val="1"/>
                <w:bCs w:val="1"/>
                <w:color w:val="auto"/>
              </w:rPr>
              <w:t>CSL NEW MEXICO SYSTEM, LLC</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940" w:type="dxa"/>
            <w:vAlign w:val="bottom"/>
            <w:gridSpan w:val="4"/>
          </w:tcPr>
          <w:p>
            <w:pPr>
              <w:spacing w:after="0" w:line="237" w:lineRule="exact"/>
              <w:rPr>
                <w:sz w:val="20"/>
                <w:szCs w:val="20"/>
                <w:color w:val="auto"/>
              </w:rPr>
            </w:pPr>
            <w:r>
              <w:rPr>
                <w:rFonts w:ascii="Times New Roman" w:cs="Times New Roman" w:eastAsia="Times New Roman" w:hAnsi="Times New Roman"/>
                <w:sz w:val="21"/>
                <w:szCs w:val="21"/>
                <w:b w:val="1"/>
                <w:bCs w:val="1"/>
                <w:color w:val="auto"/>
              </w:rPr>
              <w:t>CSL OHIO SYSTEM, LLC</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940" w:type="dxa"/>
            <w:vAlign w:val="bottom"/>
            <w:gridSpan w:val="4"/>
          </w:tcPr>
          <w:p>
            <w:pPr>
              <w:spacing w:after="0" w:line="237" w:lineRule="exact"/>
              <w:rPr>
                <w:sz w:val="20"/>
                <w:szCs w:val="20"/>
                <w:color w:val="auto"/>
              </w:rPr>
            </w:pPr>
            <w:r>
              <w:rPr>
                <w:rFonts w:ascii="Times New Roman" w:cs="Times New Roman" w:eastAsia="Times New Roman" w:hAnsi="Times New Roman"/>
                <w:sz w:val="21"/>
                <w:szCs w:val="21"/>
                <w:b w:val="1"/>
                <w:bCs w:val="1"/>
                <w:color w:val="auto"/>
              </w:rPr>
              <w:t>CSL OKLAHOMA SYSTEM, LLC</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940" w:type="dxa"/>
            <w:vAlign w:val="bottom"/>
            <w:gridSpan w:val="4"/>
          </w:tcPr>
          <w:p>
            <w:pPr>
              <w:spacing w:after="0" w:line="237" w:lineRule="exact"/>
              <w:rPr>
                <w:sz w:val="20"/>
                <w:szCs w:val="20"/>
                <w:color w:val="auto"/>
              </w:rPr>
            </w:pPr>
            <w:r>
              <w:rPr>
                <w:rFonts w:ascii="Times New Roman" w:cs="Times New Roman" w:eastAsia="Times New Roman" w:hAnsi="Times New Roman"/>
                <w:sz w:val="21"/>
                <w:szCs w:val="21"/>
                <w:b w:val="1"/>
                <w:bCs w:val="1"/>
                <w:color w:val="auto"/>
              </w:rPr>
              <w:t>CSL TEXAS SYSTEM, LLC</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940" w:type="dxa"/>
            <w:vAlign w:val="bottom"/>
            <w:gridSpan w:val="4"/>
          </w:tcPr>
          <w:p>
            <w:pPr>
              <w:spacing w:after="0" w:line="237" w:lineRule="exact"/>
              <w:rPr>
                <w:sz w:val="20"/>
                <w:szCs w:val="20"/>
                <w:color w:val="auto"/>
              </w:rPr>
            </w:pPr>
            <w:r>
              <w:rPr>
                <w:rFonts w:ascii="Times New Roman" w:cs="Times New Roman" w:eastAsia="Times New Roman" w:hAnsi="Times New Roman"/>
                <w:sz w:val="21"/>
                <w:szCs w:val="21"/>
                <w:b w:val="1"/>
                <w:bCs w:val="1"/>
                <w:color w:val="auto"/>
              </w:rPr>
              <w:t>CSL REALTY, LLC</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940" w:type="dxa"/>
            <w:vAlign w:val="bottom"/>
            <w:gridSpan w:val="4"/>
          </w:tcPr>
          <w:p>
            <w:pPr>
              <w:spacing w:after="0" w:line="237" w:lineRule="exact"/>
              <w:rPr>
                <w:sz w:val="20"/>
                <w:szCs w:val="20"/>
                <w:color w:val="auto"/>
              </w:rPr>
            </w:pPr>
            <w:r>
              <w:rPr>
                <w:rFonts w:ascii="Times New Roman" w:cs="Times New Roman" w:eastAsia="Times New Roman" w:hAnsi="Times New Roman"/>
                <w:sz w:val="21"/>
                <w:szCs w:val="21"/>
                <w:b w:val="1"/>
                <w:bCs w:val="1"/>
                <w:color w:val="auto"/>
              </w:rPr>
              <w:t>CSL GEORGIA REALTY, LLC</w:t>
            </w:r>
          </w:p>
        </w:tc>
        <w:tc>
          <w:tcPr>
            <w:tcW w:w="0" w:type="dxa"/>
            <w:vAlign w:val="bottom"/>
          </w:tcPr>
          <w:p>
            <w:pPr>
              <w:spacing w:after="0"/>
              <w:rPr>
                <w:sz w:val="1"/>
                <w:szCs w:val="1"/>
                <w:color w:val="auto"/>
              </w:rPr>
            </w:pPr>
          </w:p>
        </w:tc>
      </w:tr>
      <w:tr>
        <w:trPr>
          <w:trHeight w:val="280"/>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auto"/>
              </w:rPr>
              <w:t>CSL TENNESSEE REALTY, LLC</w:t>
            </w:r>
          </w:p>
        </w:tc>
        <w:tc>
          <w:tcPr>
            <w:tcW w:w="0" w:type="dxa"/>
            <w:vAlign w:val="bottom"/>
          </w:tcPr>
          <w:p>
            <w:pPr>
              <w:spacing w:after="0"/>
              <w:rPr>
                <w:sz w:val="1"/>
                <w:szCs w:val="1"/>
                <w:color w:val="auto"/>
              </w:rPr>
            </w:pPr>
          </w:p>
        </w:tc>
      </w:tr>
      <w:tr>
        <w:trPr>
          <w:trHeight w:val="423"/>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By: /s/ Kenneth A. Gunderman_______</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3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20" w:type="dxa"/>
            <w:vAlign w:val="bottom"/>
            <w:gridSpan w:val="3"/>
          </w:tcPr>
          <w:p>
            <w:pPr>
              <w:spacing w:after="0" w:line="229" w:lineRule="exact"/>
              <w:rPr>
                <w:sz w:val="20"/>
                <w:szCs w:val="20"/>
                <w:color w:val="auto"/>
              </w:rPr>
            </w:pPr>
            <w:r>
              <w:rPr>
                <w:rFonts w:ascii="Times New Roman" w:cs="Times New Roman" w:eastAsia="Times New Roman" w:hAnsi="Times New Roman"/>
                <w:sz w:val="21"/>
                <w:szCs w:val="21"/>
                <w:color w:val="auto"/>
                <w:w w:val="99"/>
              </w:rPr>
              <w:t>Name: Kenneth A. Gunderman</w:t>
            </w:r>
          </w:p>
        </w:tc>
        <w:tc>
          <w:tcPr>
            <w:tcW w:w="3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594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Title: President &amp; Chief Executive Officer</w:t>
            </w:r>
          </w:p>
        </w:tc>
        <w:tc>
          <w:tcPr>
            <w:tcW w:w="0" w:type="dxa"/>
            <w:vAlign w:val="bottom"/>
          </w:tcPr>
          <w:p>
            <w:pPr>
              <w:spacing w:after="0"/>
              <w:rPr>
                <w:sz w:val="1"/>
                <w:szCs w:val="1"/>
                <w:color w:val="auto"/>
              </w:rPr>
            </w:pPr>
          </w:p>
        </w:tc>
      </w:tr>
      <w:tr>
        <w:trPr>
          <w:trHeight w:val="668"/>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auto"/>
              </w:rPr>
              <w:t>CSL NORTH CAROLINA SYSTEM, LP</w:t>
            </w:r>
          </w:p>
        </w:tc>
        <w:tc>
          <w:tcPr>
            <w:tcW w:w="0" w:type="dxa"/>
            <w:vAlign w:val="bottom"/>
          </w:tcPr>
          <w:p>
            <w:pPr>
              <w:spacing w:after="0"/>
              <w:rPr>
                <w:sz w:val="1"/>
                <w:szCs w:val="1"/>
                <w:color w:val="auto"/>
              </w:rPr>
            </w:pPr>
          </w:p>
        </w:tc>
      </w:tr>
      <w:tr>
        <w:trPr>
          <w:trHeight w:val="280"/>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auto"/>
              </w:rPr>
              <w:t>CSL NORTH CAROLINA REALTY, LP</w:t>
            </w:r>
          </w:p>
        </w:tc>
        <w:tc>
          <w:tcPr>
            <w:tcW w:w="0" w:type="dxa"/>
            <w:vAlign w:val="bottom"/>
          </w:tcPr>
          <w:p>
            <w:pPr>
              <w:spacing w:after="0"/>
              <w:rPr>
                <w:sz w:val="1"/>
                <w:szCs w:val="1"/>
                <w:color w:val="auto"/>
              </w:rPr>
            </w:pPr>
          </w:p>
        </w:tc>
      </w:tr>
      <w:tr>
        <w:trPr>
          <w:trHeight w:val="474"/>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By: CSL North Carolina Realty GP, LLC, as its General Partner</w:t>
            </w:r>
          </w:p>
        </w:tc>
        <w:tc>
          <w:tcPr>
            <w:tcW w:w="0" w:type="dxa"/>
            <w:vAlign w:val="bottom"/>
          </w:tcPr>
          <w:p>
            <w:pPr>
              <w:spacing w:after="0"/>
              <w:rPr>
                <w:sz w:val="1"/>
                <w:szCs w:val="1"/>
                <w:color w:val="auto"/>
              </w:rPr>
            </w:pPr>
          </w:p>
        </w:tc>
      </w:tr>
      <w:tr>
        <w:trPr>
          <w:trHeight w:val="423"/>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By: /s/ Kenneth A. Gunderman_______</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3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20" w:type="dxa"/>
            <w:vAlign w:val="bottom"/>
            <w:gridSpan w:val="3"/>
          </w:tcPr>
          <w:p>
            <w:pPr>
              <w:spacing w:after="0" w:line="229" w:lineRule="exact"/>
              <w:rPr>
                <w:sz w:val="20"/>
                <w:szCs w:val="20"/>
                <w:color w:val="auto"/>
              </w:rPr>
            </w:pPr>
            <w:r>
              <w:rPr>
                <w:rFonts w:ascii="Times New Roman" w:cs="Times New Roman" w:eastAsia="Times New Roman" w:hAnsi="Times New Roman"/>
                <w:sz w:val="21"/>
                <w:szCs w:val="21"/>
                <w:color w:val="auto"/>
                <w:w w:val="99"/>
              </w:rPr>
              <w:t>Name: Kenneth A. Gunderman</w:t>
            </w:r>
          </w:p>
        </w:tc>
        <w:tc>
          <w:tcPr>
            <w:tcW w:w="3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594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Title: President &amp; Chief Executive Officer</w:t>
            </w:r>
          </w:p>
        </w:tc>
        <w:tc>
          <w:tcPr>
            <w:tcW w:w="0" w:type="dxa"/>
            <w:vAlign w:val="bottom"/>
          </w:tcPr>
          <w:p>
            <w:pPr>
              <w:spacing w:after="0"/>
              <w:rPr>
                <w:sz w:val="1"/>
                <w:szCs w:val="1"/>
                <w:color w:val="auto"/>
              </w:rPr>
            </w:pPr>
          </w:p>
        </w:tc>
      </w:tr>
      <w:tr>
        <w:trPr>
          <w:trHeight w:val="710"/>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auto"/>
              </w:rPr>
              <w:t>CSL NATIONAL, LP</w:t>
            </w:r>
          </w:p>
        </w:tc>
        <w:tc>
          <w:tcPr>
            <w:tcW w:w="0" w:type="dxa"/>
            <w:vAlign w:val="bottom"/>
          </w:tcPr>
          <w:p>
            <w:pPr>
              <w:spacing w:after="0"/>
              <w:rPr>
                <w:sz w:val="1"/>
                <w:szCs w:val="1"/>
                <w:color w:val="auto"/>
              </w:rPr>
            </w:pPr>
          </w:p>
        </w:tc>
      </w:tr>
      <w:tr>
        <w:trPr>
          <w:trHeight w:val="474"/>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By: CSL National GP, LLC, as its General Partner</w:t>
            </w:r>
          </w:p>
        </w:tc>
        <w:tc>
          <w:tcPr>
            <w:tcW w:w="0" w:type="dxa"/>
            <w:vAlign w:val="bottom"/>
          </w:tcPr>
          <w:p>
            <w:pPr>
              <w:spacing w:after="0"/>
              <w:rPr>
                <w:sz w:val="1"/>
                <w:szCs w:val="1"/>
                <w:color w:val="auto"/>
              </w:rPr>
            </w:pPr>
          </w:p>
        </w:tc>
      </w:tr>
      <w:tr>
        <w:trPr>
          <w:trHeight w:val="423"/>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94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By: /s/ Kenneth A. Gunderman_______</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3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20" w:type="dxa"/>
            <w:vAlign w:val="bottom"/>
            <w:gridSpan w:val="3"/>
          </w:tcPr>
          <w:p>
            <w:pPr>
              <w:spacing w:after="0" w:line="229" w:lineRule="exact"/>
              <w:rPr>
                <w:sz w:val="20"/>
                <w:szCs w:val="20"/>
                <w:color w:val="auto"/>
              </w:rPr>
            </w:pPr>
            <w:r>
              <w:rPr>
                <w:rFonts w:ascii="Times New Roman" w:cs="Times New Roman" w:eastAsia="Times New Roman" w:hAnsi="Times New Roman"/>
                <w:sz w:val="21"/>
                <w:szCs w:val="21"/>
                <w:color w:val="auto"/>
                <w:w w:val="99"/>
              </w:rPr>
              <w:t>Name: Kenneth A. Gunderman</w:t>
            </w:r>
          </w:p>
        </w:tc>
        <w:tc>
          <w:tcPr>
            <w:tcW w:w="3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594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Title: President &amp; Chief Executive Officer</w:t>
            </w:r>
          </w:p>
        </w:tc>
        <w:tc>
          <w:tcPr>
            <w:tcW w:w="0" w:type="dxa"/>
            <w:vAlign w:val="bottom"/>
          </w:tcPr>
          <w:p>
            <w:pPr>
              <w:spacing w:after="0"/>
              <w:rPr>
                <w:sz w:val="1"/>
                <w:szCs w:val="1"/>
                <w:color w:val="auto"/>
              </w:rPr>
            </w:pPr>
          </w:p>
        </w:tc>
      </w:tr>
      <w:tr>
        <w:trPr>
          <w:trHeight w:val="596"/>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80" w:type="dxa"/>
            <w:vAlign w:val="bottom"/>
            <w:gridSpan w:val="5"/>
          </w:tcPr>
          <w:p>
            <w:pPr>
              <w:ind w:left="460"/>
              <w:spacing w:after="0"/>
              <w:rPr>
                <w:sz w:val="20"/>
                <w:szCs w:val="20"/>
                <w:color w:val="auto"/>
              </w:rPr>
            </w:pPr>
            <w:r>
              <w:rPr>
                <w:rFonts w:ascii="Times New Roman" w:cs="Times New Roman" w:eastAsia="Times New Roman" w:hAnsi="Times New Roman"/>
                <w:sz w:val="14"/>
                <w:szCs w:val="14"/>
                <w:color w:val="auto"/>
              </w:rPr>
              <w:t>Signature Page to Amendment No. 1 to Master Lease</w:t>
            </w:r>
          </w:p>
        </w:tc>
        <w:tc>
          <w:tcPr>
            <w:tcW w:w="0" w:type="dxa"/>
            <w:vAlign w:val="bottom"/>
          </w:tcPr>
          <w:p>
            <w:pPr>
              <w:spacing w:after="0"/>
              <w:rPr>
                <w:sz w:val="1"/>
                <w:szCs w:val="1"/>
                <w:color w:val="auto"/>
              </w:rPr>
            </w:pPr>
          </w:p>
        </w:tc>
      </w:tr>
      <w:tr>
        <w:trPr>
          <w:trHeight w:val="96"/>
        </w:trPr>
        <w:tc>
          <w:tcPr>
            <w:tcW w:w="3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3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Master Lease Amendment - Confidential</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 1 – List of Landlord Entities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CSL ALABAMA SYSTEM, 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CSL ARKANSAS SYSTEM, LLC</w:t>
      </w:r>
    </w:p>
    <w:p>
      <w:pPr>
        <w:spacing w:after="0" w:line="235" w:lineRule="auto"/>
        <w:rPr>
          <w:sz w:val="20"/>
          <w:szCs w:val="20"/>
          <w:color w:val="auto"/>
        </w:rPr>
      </w:pPr>
      <w:r>
        <w:rPr>
          <w:rFonts w:ascii="Times New Roman" w:cs="Times New Roman" w:eastAsia="Times New Roman" w:hAnsi="Times New Roman"/>
          <w:sz w:val="21"/>
          <w:szCs w:val="21"/>
          <w:color w:val="auto"/>
        </w:rPr>
        <w:t>CSL FLORIDA SYSTEM, LLC</w:t>
      </w:r>
    </w:p>
    <w:p>
      <w:pPr>
        <w:spacing w:after="0" w:line="235" w:lineRule="auto"/>
        <w:rPr>
          <w:sz w:val="20"/>
          <w:szCs w:val="20"/>
          <w:color w:val="auto"/>
        </w:rPr>
      </w:pPr>
      <w:r>
        <w:rPr>
          <w:rFonts w:ascii="Times New Roman" w:cs="Times New Roman" w:eastAsia="Times New Roman" w:hAnsi="Times New Roman"/>
          <w:sz w:val="21"/>
          <w:szCs w:val="21"/>
          <w:color w:val="auto"/>
        </w:rPr>
        <w:t>CSL GEORGIA SYSTEM, LLC</w:t>
      </w:r>
    </w:p>
    <w:p>
      <w:pPr>
        <w:spacing w:after="0" w:line="235" w:lineRule="auto"/>
        <w:rPr>
          <w:sz w:val="20"/>
          <w:szCs w:val="20"/>
          <w:color w:val="auto"/>
        </w:rPr>
      </w:pPr>
      <w:r>
        <w:rPr>
          <w:rFonts w:ascii="Times New Roman" w:cs="Times New Roman" w:eastAsia="Times New Roman" w:hAnsi="Times New Roman"/>
          <w:sz w:val="21"/>
          <w:szCs w:val="21"/>
          <w:color w:val="auto"/>
        </w:rPr>
        <w:t>CSL IOWA SYSTEM, LLC</w:t>
      </w:r>
    </w:p>
    <w:p>
      <w:pPr>
        <w:spacing w:after="0" w:line="236" w:lineRule="auto"/>
        <w:rPr>
          <w:sz w:val="20"/>
          <w:szCs w:val="20"/>
          <w:color w:val="auto"/>
        </w:rPr>
      </w:pPr>
      <w:r>
        <w:rPr>
          <w:rFonts w:ascii="Times New Roman" w:cs="Times New Roman" w:eastAsia="Times New Roman" w:hAnsi="Times New Roman"/>
          <w:sz w:val="21"/>
          <w:szCs w:val="21"/>
          <w:color w:val="auto"/>
        </w:rPr>
        <w:t>CSL KENTUCKY SYSTEM, LLC</w:t>
      </w:r>
    </w:p>
    <w:p>
      <w:pPr>
        <w:spacing w:after="0" w:line="235" w:lineRule="auto"/>
        <w:rPr>
          <w:sz w:val="20"/>
          <w:szCs w:val="20"/>
          <w:color w:val="auto"/>
        </w:rPr>
      </w:pPr>
      <w:r>
        <w:rPr>
          <w:rFonts w:ascii="Times New Roman" w:cs="Times New Roman" w:eastAsia="Times New Roman" w:hAnsi="Times New Roman"/>
          <w:sz w:val="21"/>
          <w:szCs w:val="21"/>
          <w:color w:val="auto"/>
        </w:rPr>
        <w:t>CSL MISSISSIPPI SYSTEM, LLC</w:t>
      </w:r>
    </w:p>
    <w:p>
      <w:pPr>
        <w:spacing w:after="0" w:line="235" w:lineRule="auto"/>
        <w:rPr>
          <w:sz w:val="20"/>
          <w:szCs w:val="20"/>
          <w:color w:val="auto"/>
        </w:rPr>
      </w:pPr>
      <w:r>
        <w:rPr>
          <w:rFonts w:ascii="Times New Roman" w:cs="Times New Roman" w:eastAsia="Times New Roman" w:hAnsi="Times New Roman"/>
          <w:sz w:val="21"/>
          <w:szCs w:val="21"/>
          <w:color w:val="auto"/>
        </w:rPr>
        <w:t>CSL MISSOURI SYSTEM, LLC</w:t>
      </w:r>
    </w:p>
    <w:p>
      <w:pPr>
        <w:spacing w:after="0" w:line="236" w:lineRule="auto"/>
        <w:rPr>
          <w:sz w:val="20"/>
          <w:szCs w:val="20"/>
          <w:color w:val="auto"/>
        </w:rPr>
      </w:pPr>
      <w:r>
        <w:rPr>
          <w:rFonts w:ascii="Times New Roman" w:cs="Times New Roman" w:eastAsia="Times New Roman" w:hAnsi="Times New Roman"/>
          <w:sz w:val="21"/>
          <w:szCs w:val="21"/>
          <w:color w:val="auto"/>
        </w:rPr>
        <w:t>CSL NEW MEXICO SYSTEM, LLC</w:t>
      </w:r>
    </w:p>
    <w:p>
      <w:pPr>
        <w:spacing w:after="0" w:line="235" w:lineRule="auto"/>
        <w:rPr>
          <w:sz w:val="20"/>
          <w:szCs w:val="20"/>
          <w:color w:val="auto"/>
        </w:rPr>
      </w:pPr>
      <w:r>
        <w:rPr>
          <w:rFonts w:ascii="Times New Roman" w:cs="Times New Roman" w:eastAsia="Times New Roman" w:hAnsi="Times New Roman"/>
          <w:sz w:val="21"/>
          <w:szCs w:val="21"/>
          <w:color w:val="auto"/>
        </w:rPr>
        <w:t>CSL OHIO SYSTEM, LLC</w:t>
      </w:r>
    </w:p>
    <w:p>
      <w:pPr>
        <w:spacing w:after="0" w:line="235" w:lineRule="auto"/>
        <w:rPr>
          <w:sz w:val="20"/>
          <w:szCs w:val="20"/>
          <w:color w:val="auto"/>
        </w:rPr>
      </w:pPr>
      <w:r>
        <w:rPr>
          <w:rFonts w:ascii="Times New Roman" w:cs="Times New Roman" w:eastAsia="Times New Roman" w:hAnsi="Times New Roman"/>
          <w:sz w:val="21"/>
          <w:szCs w:val="21"/>
          <w:color w:val="auto"/>
        </w:rPr>
        <w:t>CSL OKLAHOMA SYSTEM, LLC</w:t>
      </w:r>
    </w:p>
    <w:p>
      <w:pPr>
        <w:spacing w:after="0" w:line="236" w:lineRule="auto"/>
        <w:rPr>
          <w:sz w:val="20"/>
          <w:szCs w:val="20"/>
          <w:color w:val="auto"/>
        </w:rPr>
      </w:pPr>
      <w:r>
        <w:rPr>
          <w:rFonts w:ascii="Times New Roman" w:cs="Times New Roman" w:eastAsia="Times New Roman" w:hAnsi="Times New Roman"/>
          <w:sz w:val="21"/>
          <w:szCs w:val="21"/>
          <w:color w:val="auto"/>
        </w:rPr>
        <w:t>CSL TEXAS SYSTEM, LLC</w:t>
      </w:r>
    </w:p>
    <w:p>
      <w:pPr>
        <w:spacing w:after="0" w:line="235" w:lineRule="auto"/>
        <w:rPr>
          <w:sz w:val="20"/>
          <w:szCs w:val="20"/>
          <w:color w:val="auto"/>
        </w:rPr>
      </w:pPr>
      <w:r>
        <w:rPr>
          <w:rFonts w:ascii="Times New Roman" w:cs="Times New Roman" w:eastAsia="Times New Roman" w:hAnsi="Times New Roman"/>
          <w:sz w:val="21"/>
          <w:szCs w:val="21"/>
          <w:color w:val="auto"/>
        </w:rPr>
        <w:t>CSL REALTY, LLC</w:t>
      </w:r>
    </w:p>
    <w:p>
      <w:pPr>
        <w:spacing w:after="0" w:line="235" w:lineRule="auto"/>
        <w:rPr>
          <w:sz w:val="20"/>
          <w:szCs w:val="20"/>
          <w:color w:val="auto"/>
        </w:rPr>
      </w:pPr>
      <w:r>
        <w:rPr>
          <w:rFonts w:ascii="Times New Roman" w:cs="Times New Roman" w:eastAsia="Times New Roman" w:hAnsi="Times New Roman"/>
          <w:sz w:val="21"/>
          <w:szCs w:val="21"/>
          <w:color w:val="auto"/>
        </w:rPr>
        <w:t>CSL GEORGIA REALTY, LLC</w:t>
      </w:r>
    </w:p>
    <w:p>
      <w:pPr>
        <w:spacing w:after="0" w:line="236" w:lineRule="auto"/>
        <w:rPr>
          <w:sz w:val="20"/>
          <w:szCs w:val="20"/>
          <w:color w:val="auto"/>
        </w:rPr>
      </w:pPr>
      <w:r>
        <w:rPr>
          <w:rFonts w:ascii="Times New Roman" w:cs="Times New Roman" w:eastAsia="Times New Roman" w:hAnsi="Times New Roman"/>
          <w:sz w:val="21"/>
          <w:szCs w:val="21"/>
          <w:color w:val="auto"/>
        </w:rPr>
        <w:t>CSL TENNESSEE REALTY, LLC</w:t>
      </w:r>
    </w:p>
    <w:p>
      <w:pPr>
        <w:spacing w:after="0" w:line="235" w:lineRule="auto"/>
        <w:rPr>
          <w:sz w:val="20"/>
          <w:szCs w:val="20"/>
          <w:color w:val="auto"/>
        </w:rPr>
      </w:pPr>
      <w:r>
        <w:rPr>
          <w:rFonts w:ascii="Times New Roman" w:cs="Times New Roman" w:eastAsia="Times New Roman" w:hAnsi="Times New Roman"/>
          <w:sz w:val="21"/>
          <w:szCs w:val="21"/>
          <w:color w:val="auto"/>
        </w:rPr>
        <w:t>CSL NORTH CAROLINA SYSTEM, LP</w:t>
      </w:r>
    </w:p>
    <w:p>
      <w:pPr>
        <w:spacing w:after="0"/>
        <w:rPr>
          <w:sz w:val="20"/>
          <w:szCs w:val="20"/>
          <w:color w:val="auto"/>
        </w:rPr>
      </w:pPr>
      <w:r>
        <w:rPr>
          <w:rFonts w:ascii="Times New Roman" w:cs="Times New Roman" w:eastAsia="Times New Roman" w:hAnsi="Times New Roman"/>
          <w:sz w:val="21"/>
          <w:szCs w:val="21"/>
          <w:color w:val="auto"/>
        </w:rPr>
        <w:t>CSL NORTH CAROLINA REALTY, LP</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Schedule 1 to Amendment No. 1 to 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29234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Master Lease Amendment - Confidential</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Letter of Exchange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CSL National, 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 Communications Sales &amp; Leasing, Inc.</w:t>
      </w:r>
    </w:p>
    <w:p>
      <w:pPr>
        <w:spacing w:after="0" w:line="235" w:lineRule="auto"/>
        <w:rPr>
          <w:sz w:val="20"/>
          <w:szCs w:val="20"/>
          <w:color w:val="auto"/>
        </w:rPr>
      </w:pPr>
      <w:r>
        <w:rPr>
          <w:rFonts w:ascii="Times New Roman" w:cs="Times New Roman" w:eastAsia="Times New Roman" w:hAnsi="Times New Roman"/>
          <w:sz w:val="21"/>
          <w:szCs w:val="21"/>
          <w:color w:val="auto"/>
        </w:rPr>
        <w:t>10802 Executive Center Drive</w:t>
      </w:r>
    </w:p>
    <w:p>
      <w:pPr>
        <w:spacing w:after="0" w:line="235" w:lineRule="auto"/>
        <w:rPr>
          <w:sz w:val="20"/>
          <w:szCs w:val="20"/>
          <w:color w:val="auto"/>
        </w:rPr>
      </w:pPr>
      <w:r>
        <w:rPr>
          <w:rFonts w:ascii="Times New Roman" w:cs="Times New Roman" w:eastAsia="Times New Roman" w:hAnsi="Times New Roman"/>
          <w:sz w:val="21"/>
          <w:szCs w:val="21"/>
          <w:color w:val="auto"/>
        </w:rPr>
        <w:t>Benton Building, Suite 300</w:t>
      </w:r>
    </w:p>
    <w:p>
      <w:pPr>
        <w:spacing w:after="0" w:line="235" w:lineRule="auto"/>
        <w:rPr>
          <w:sz w:val="20"/>
          <w:szCs w:val="20"/>
          <w:color w:val="auto"/>
        </w:rPr>
      </w:pPr>
      <w:r>
        <w:rPr>
          <w:rFonts w:ascii="Times New Roman" w:cs="Times New Roman" w:eastAsia="Times New Roman" w:hAnsi="Times New Roman"/>
          <w:sz w:val="21"/>
          <w:szCs w:val="21"/>
          <w:color w:val="auto"/>
        </w:rPr>
        <w:t>Little Rock, AR 72211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Senior Vice President -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CSL National, 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 Communications Sales &amp; Leasing, Inc.</w:t>
      </w:r>
    </w:p>
    <w:p>
      <w:pPr>
        <w:spacing w:after="0" w:line="235" w:lineRule="auto"/>
        <w:rPr>
          <w:sz w:val="20"/>
          <w:szCs w:val="20"/>
          <w:color w:val="auto"/>
        </w:rPr>
      </w:pPr>
      <w:r>
        <w:rPr>
          <w:rFonts w:ascii="Times New Roman" w:cs="Times New Roman" w:eastAsia="Times New Roman" w:hAnsi="Times New Roman"/>
          <w:sz w:val="21"/>
          <w:szCs w:val="21"/>
          <w:color w:val="auto"/>
        </w:rPr>
        <w:t>10802 Executive Center Drive</w:t>
      </w:r>
    </w:p>
    <w:p>
      <w:pPr>
        <w:spacing w:after="0" w:line="235" w:lineRule="auto"/>
        <w:rPr>
          <w:sz w:val="20"/>
          <w:szCs w:val="20"/>
          <w:color w:val="auto"/>
        </w:rPr>
      </w:pPr>
      <w:r>
        <w:rPr>
          <w:rFonts w:ascii="Times New Roman" w:cs="Times New Roman" w:eastAsia="Times New Roman" w:hAnsi="Times New Roman"/>
          <w:sz w:val="21"/>
          <w:szCs w:val="21"/>
          <w:color w:val="auto"/>
        </w:rPr>
        <w:t>Benton Building, Suite 300</w:t>
      </w:r>
    </w:p>
    <w:p>
      <w:pPr>
        <w:spacing w:after="0" w:line="235" w:lineRule="auto"/>
        <w:rPr>
          <w:sz w:val="20"/>
          <w:szCs w:val="20"/>
          <w:color w:val="auto"/>
        </w:rPr>
      </w:pPr>
      <w:r>
        <w:rPr>
          <w:rFonts w:ascii="Times New Roman" w:cs="Times New Roman" w:eastAsia="Times New Roman" w:hAnsi="Times New Roman"/>
          <w:sz w:val="21"/>
          <w:szCs w:val="21"/>
          <w:color w:val="auto"/>
        </w:rPr>
        <w:t>Little Rock, AR 72211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General Counsel</w:t>
      </w:r>
    </w:p>
    <w:p>
      <w:pPr>
        <w:sectPr>
          <w:pgSz w:w="11900" w:h="16838" w:orient="portrait"/>
          <w:cols w:equalWidth="0" w:num="1">
            <w:col w:w="11420"/>
          </w:cols>
          <w:pgMar w:left="240" w:top="108" w:right="239" w:bottom="1440" w:gutter="0" w:footer="0" w:header="0"/>
        </w:sectPr>
      </w:pP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Re: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1"/>
          <w:szCs w:val="21"/>
          <w:color w:val="auto"/>
        </w:rPr>
        <w:t>Exchange of fiber assets subject to that certain Master Lease (“</w:t>
      </w:r>
      <w:r>
        <w:rPr>
          <w:rFonts w:ascii="Times New Roman" w:cs="Times New Roman" w:eastAsia="Times New Roman" w:hAnsi="Times New Roman"/>
          <w:sz w:val="21"/>
          <w:szCs w:val="21"/>
          <w:b w:val="1"/>
          <w:bCs w:val="1"/>
          <w:color w:val="auto"/>
        </w:rPr>
        <w:t>Master Lease</w:t>
      </w:r>
      <w:r>
        <w:rPr>
          <w:rFonts w:ascii="Times New Roman" w:cs="Times New Roman" w:eastAsia="Times New Roman" w:hAnsi="Times New Roman"/>
          <w:sz w:val="21"/>
          <w:szCs w:val="21"/>
          <w:color w:val="auto"/>
        </w:rPr>
        <w:t>”), dated April 24, 2015, by and among CSL NATIONAL, LP, a Delaware limited partnership (“</w:t>
      </w:r>
      <w:r>
        <w:rPr>
          <w:rFonts w:ascii="Times New Roman" w:cs="Times New Roman" w:eastAsia="Times New Roman" w:hAnsi="Times New Roman"/>
          <w:sz w:val="21"/>
          <w:szCs w:val="21"/>
          <w:b w:val="1"/>
          <w:bCs w:val="1"/>
          <w:color w:val="auto"/>
        </w:rPr>
        <w:t>CS&amp;L National</w:t>
      </w:r>
      <w:r>
        <w:rPr>
          <w:rFonts w:ascii="Times New Roman" w:cs="Times New Roman" w:eastAsia="Times New Roman" w:hAnsi="Times New Roman"/>
          <w:sz w:val="21"/>
          <w:szCs w:val="21"/>
          <w:color w:val="auto"/>
        </w:rPr>
        <w:t>”, THE ENTITIES SET FORTH ON SCHEDULE 1 ATTACHED THERETO (collectively, together with CS&amp;L National and their respective permitted successors and assigns, “</w:t>
      </w:r>
      <w:r>
        <w:rPr>
          <w:rFonts w:ascii="Times New Roman" w:cs="Times New Roman" w:eastAsia="Times New Roman" w:hAnsi="Times New Roman"/>
          <w:sz w:val="21"/>
          <w:szCs w:val="21"/>
          <w:b w:val="1"/>
          <w:bCs w:val="1"/>
          <w:color w:val="auto"/>
        </w:rPr>
        <w:t>Landlord</w:t>
      </w:r>
      <w:r>
        <w:rPr>
          <w:rFonts w:ascii="Times New Roman" w:cs="Times New Roman" w:eastAsia="Times New Roman" w:hAnsi="Times New Roman"/>
          <w:sz w:val="21"/>
          <w:szCs w:val="21"/>
          <w:color w:val="auto"/>
        </w:rPr>
        <w:t>”), and WINDSTREAM HOLDINGS, INC., a Delaware corporation (together with its permitted successors and assigns, “</w:t>
      </w:r>
      <w:r>
        <w:rPr>
          <w:rFonts w:ascii="Times New Roman" w:cs="Times New Roman" w:eastAsia="Times New Roman" w:hAnsi="Times New Roman"/>
          <w:sz w:val="21"/>
          <w:szCs w:val="21"/>
          <w:b w:val="1"/>
          <w:bCs w:val="1"/>
          <w:color w:val="auto"/>
        </w:rPr>
        <w:t>Tenant</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ectPr>
          <w:pgSz w:w="11900" w:h="16838" w:orient="portrait"/>
          <w:cols w:equalWidth="0" w:num="2">
            <w:col w:w="1160" w:space="580"/>
            <w:col w:w="9680"/>
          </w:cols>
          <w:pgMar w:left="240" w:top="10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To Whom It May Concern:</w:t>
      </w:r>
    </w:p>
    <w:p>
      <w:pPr>
        <w:spacing w:after="0" w:line="202"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1"/>
          <w:szCs w:val="21"/>
          <w:color w:val="auto"/>
        </w:rPr>
        <w:t>Reference is made to that certain [Fiber Exchange Agreement] (the “</w:t>
      </w:r>
      <w:r>
        <w:rPr>
          <w:rFonts w:ascii="Times New Roman" w:cs="Times New Roman" w:eastAsia="Times New Roman" w:hAnsi="Times New Roman"/>
          <w:sz w:val="21"/>
          <w:szCs w:val="21"/>
          <w:b w:val="1"/>
          <w:bCs w:val="1"/>
          <w:color w:val="auto"/>
        </w:rPr>
        <w:t>Fiber Exchange Agreement</w:t>
      </w:r>
      <w:r>
        <w:rPr>
          <w:rFonts w:ascii="Times New Roman" w:cs="Times New Roman" w:eastAsia="Times New Roman" w:hAnsi="Times New Roman"/>
          <w:sz w:val="21"/>
          <w:szCs w:val="21"/>
          <w:color w:val="auto"/>
        </w:rPr>
        <w:t xml:space="preserve">”) [and associated maintenance and collocations agreements, all] attached hereto as </w:t>
      </w:r>
      <w:r>
        <w:rPr>
          <w:rFonts w:ascii="Times New Roman" w:cs="Times New Roman" w:eastAsia="Times New Roman" w:hAnsi="Times New Roman"/>
          <w:sz w:val="21"/>
          <w:szCs w:val="21"/>
          <w:u w:val="single" w:color="auto"/>
          <w:color w:val="auto"/>
        </w:rPr>
        <w:t>Annex 1</w:t>
      </w:r>
      <w:r>
        <w:rPr>
          <w:rFonts w:ascii="Times New Roman" w:cs="Times New Roman" w:eastAsia="Times New Roman" w:hAnsi="Times New Roman"/>
          <w:sz w:val="21"/>
          <w:szCs w:val="21"/>
          <w:color w:val="auto"/>
        </w:rPr>
        <w:t>. All capitalized terms not otherwise defined herein shall have the meanings given such terms in the Fiber Exchange Agreement. Subject to the consummation of the transactions contemplated by the Fiber Exchange Agreement, Landlord and Tenant mutually consent to the following modifications to the Leased Property under the Master Lease effective as of the Mutual Acceptance Date:</w:t>
      </w:r>
    </w:p>
    <w:p>
      <w:pPr>
        <w:spacing w:after="0" w:line="171" w:lineRule="exact"/>
        <w:rPr>
          <w:sz w:val="20"/>
          <w:szCs w:val="20"/>
          <w:color w:val="auto"/>
        </w:rPr>
      </w:pPr>
    </w:p>
    <w:p>
      <w:pPr>
        <w:jc w:val="both"/>
        <w:ind w:left="1740" w:hanging="867"/>
        <w:spacing w:after="0" w:line="252" w:lineRule="auto"/>
        <w:tabs>
          <w:tab w:leader="none" w:pos="1740" w:val="left"/>
        </w:tabs>
        <w:numPr>
          <w:ilvl w:val="0"/>
          <w:numId w:val="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assets defined in the Fiber Exchange Agreement as the fibers being delivered by Landlord to the third party (the “</w:t>
      </w:r>
      <w:r>
        <w:rPr>
          <w:rFonts w:ascii="Times New Roman" w:cs="Times New Roman" w:eastAsia="Times New Roman" w:hAnsi="Times New Roman"/>
          <w:sz w:val="21"/>
          <w:szCs w:val="21"/>
          <w:b w:val="1"/>
          <w:bCs w:val="1"/>
          <w:color w:val="auto"/>
        </w:rPr>
        <w:t>Outbound Fibers</w:t>
      </w:r>
      <w:r>
        <w:rPr>
          <w:rFonts w:ascii="Times New Roman" w:cs="Times New Roman" w:eastAsia="Times New Roman" w:hAnsi="Times New Roman"/>
          <w:sz w:val="21"/>
          <w:szCs w:val="21"/>
          <w:color w:val="auto"/>
        </w:rPr>
        <w:t>”) shall no longer constitute Leased Property pursuant to and as defined in the Master Lease;</w:t>
      </w:r>
    </w:p>
    <w:p>
      <w:pPr>
        <w:spacing w:after="0" w:line="160" w:lineRule="exact"/>
        <w:rPr>
          <w:rFonts w:ascii="Times New Roman" w:cs="Times New Roman" w:eastAsia="Times New Roman" w:hAnsi="Times New Roman"/>
          <w:sz w:val="21"/>
          <w:szCs w:val="21"/>
          <w:color w:val="010000"/>
        </w:rPr>
      </w:pPr>
    </w:p>
    <w:p>
      <w:pPr>
        <w:jc w:val="both"/>
        <w:ind w:left="1740" w:hanging="867"/>
        <w:spacing w:after="0" w:line="246" w:lineRule="auto"/>
        <w:tabs>
          <w:tab w:leader="none" w:pos="1740" w:val="left"/>
        </w:tabs>
        <w:numPr>
          <w:ilvl w:val="0"/>
          <w:numId w:val="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Tenant releases from the encumbrance of the Master Lease and grants to CSL an undivided interest in and to the Associated Property related to the Outbound Fibers, provided, however, that such Associated Property shall remain as Leased Property, pursuant to and as defined in the Master Lease, solely for the purposes of Tenant’s obligations to maintain said Associated Property;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A to Amendment No. 1 to 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29234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46" w:name="page47"/>
    <w:bookmarkEnd w:id="46"/>
    <w:p>
      <w:pPr>
        <w:spacing w:after="0" w:line="241" w:lineRule="exact"/>
        <w:rPr>
          <w:sz w:val="20"/>
          <w:szCs w:val="20"/>
          <w:color w:val="auto"/>
        </w:rPr>
      </w:pPr>
    </w:p>
    <w:p>
      <w:pPr>
        <w:jc w:val="both"/>
        <w:ind w:left="1740" w:hanging="867"/>
        <w:spacing w:after="0" w:line="252" w:lineRule="auto"/>
        <w:tabs>
          <w:tab w:leader="none" w:pos="1740" w:val="left"/>
        </w:tabs>
        <w:numPr>
          <w:ilvl w:val="0"/>
          <w:numId w:val="2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assets defined in the Fiber Exchange Agreement as the (the “</w:t>
      </w:r>
      <w:r>
        <w:rPr>
          <w:rFonts w:ascii="Times New Roman" w:cs="Times New Roman" w:eastAsia="Times New Roman" w:hAnsi="Times New Roman"/>
          <w:sz w:val="21"/>
          <w:szCs w:val="21"/>
          <w:b w:val="1"/>
          <w:bCs w:val="1"/>
          <w:color w:val="auto"/>
        </w:rPr>
        <w:t>Inbound Fibers</w:t>
      </w:r>
      <w:r>
        <w:rPr>
          <w:rFonts w:ascii="Times New Roman" w:cs="Times New Roman" w:eastAsia="Times New Roman" w:hAnsi="Times New Roman"/>
          <w:sz w:val="21"/>
          <w:szCs w:val="21"/>
          <w:color w:val="auto"/>
        </w:rPr>
        <w:t>”) and the related Associated Property terms and conditions of the Master Lease; and</w:t>
      </w:r>
    </w:p>
    <w:p>
      <w:pPr>
        <w:spacing w:after="0" w:line="20" w:lineRule="exact"/>
        <w:rPr>
          <w:sz w:val="20"/>
          <w:szCs w:val="20"/>
          <w:color w:val="auto"/>
        </w:rPr>
      </w:pPr>
      <w:r>
        <w:rPr>
          <w:sz w:val="20"/>
          <w:szCs w:val="20"/>
          <w:color w:val="auto"/>
        </w:rPr>
        <w:br w:type="column"/>
      </w:r>
    </w:p>
    <w:p>
      <w:pPr>
        <w:jc w:val="both"/>
        <w:ind w:firstLine="974"/>
        <w:spacing w:after="0" w:line="254" w:lineRule="auto"/>
        <w:rPr>
          <w:sz w:val="20"/>
          <w:szCs w:val="20"/>
          <w:color w:val="auto"/>
        </w:rPr>
      </w:pPr>
      <w:r>
        <w:rPr>
          <w:rFonts w:ascii="Times New Roman" w:cs="Times New Roman" w:eastAsia="Times New Roman" w:hAnsi="Times New Roman"/>
          <w:sz w:val="21"/>
          <w:szCs w:val="21"/>
          <w:b w:val="1"/>
          <w:bCs w:val="1"/>
          <w:i w:val="1"/>
          <w:iCs w:val="1"/>
          <w:color w:val="auto"/>
        </w:rPr>
        <w:t xml:space="preserve">Master Lease Amendment - Confidential </w:t>
      </w:r>
      <w:r>
        <w:rPr>
          <w:rFonts w:ascii="Times New Roman" w:cs="Times New Roman" w:eastAsia="Times New Roman" w:hAnsi="Times New Roman"/>
          <w:sz w:val="21"/>
          <w:szCs w:val="21"/>
          <w:color w:val="auto"/>
        </w:rPr>
        <w:t>fibers being delivered by the third party to Landlord shall constitute Leased Property, subject to all of the</w:t>
      </w:r>
    </w:p>
    <w:p>
      <w:pPr>
        <w:spacing w:after="0" w:line="395" w:lineRule="exact"/>
        <w:rPr>
          <w:sz w:val="20"/>
          <w:szCs w:val="20"/>
          <w:color w:val="auto"/>
        </w:rPr>
      </w:pPr>
    </w:p>
    <w:p>
      <w:pPr>
        <w:sectPr>
          <w:pgSz w:w="11900" w:h="16838" w:orient="portrait"/>
          <w:cols w:equalWidth="0" w:num="2">
            <w:col w:w="6880" w:space="40"/>
            <w:col w:w="4500"/>
          </w:cols>
          <w:pgMar w:left="240" w:top="108" w:right="239" w:bottom="1440" w:gutter="0" w:footer="0" w:header="0"/>
        </w:sectPr>
      </w:pPr>
    </w:p>
    <w:p>
      <w:pPr>
        <w:ind w:left="1740" w:hanging="867"/>
        <w:spacing w:after="0" w:line="269" w:lineRule="auto"/>
        <w:tabs>
          <w:tab w:leader="none" w:pos="1740" w:val="left"/>
        </w:tabs>
        <w:numPr>
          <w:ilvl w:val="0"/>
          <w:numId w:val="2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of the Inbound Fibers and the related Associated Party shall be deemed a part of the Facility (as defined in the Master Lease) referred to as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i w:val="1"/>
          <w:iCs w:val="1"/>
          <w:u w:val="single" w:color="auto"/>
          <w:color w:val="auto"/>
        </w:rPr>
        <w:t>Facility Designated for State Named Below</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in the Master Lease.</w:t>
      </w:r>
    </w:p>
    <w:p>
      <w:pPr>
        <w:spacing w:after="0" w:line="14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As a condition to Landlord’s agreement to execute and deliver the Fiber Exchange Agreement and this Letter of Exchange:</w:t>
      </w:r>
    </w:p>
    <w:p>
      <w:pPr>
        <w:spacing w:after="0" w:line="206" w:lineRule="exact"/>
        <w:rPr>
          <w:sz w:val="20"/>
          <w:szCs w:val="20"/>
          <w:color w:val="auto"/>
        </w:rPr>
      </w:pPr>
    </w:p>
    <w:p>
      <w:pPr>
        <w:ind w:right="120" w:firstLine="883"/>
        <w:spacing w:after="0" w:line="243" w:lineRule="auto"/>
        <w:tabs>
          <w:tab w:leader="none" w:pos="1708"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Tenant represents and warrants to Landlord that: (x) each of the representations and warranties contained in Section 1(d) of that certain Amendment No. 1 to Master Lease, dated as of February 12, 2016, by and among Tenant and Landlord are true and correct as of the date hereof, and (y) the majority of the fiber route miles included in the Inbound Fibers are located in the State of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i w:val="1"/>
          <w:iCs w:val="1"/>
          <w:u w:val="single" w:color="auto"/>
          <w:color w:val="auto"/>
        </w:rPr>
        <w:t>Name of State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[or in the case where the Inbound Fibers are located in three or more States, the plurality of the fiber route miles included in the Inbound Fibers are located in the State of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i w:val="1"/>
          <w:iCs w:val="1"/>
          <w:u w:val="single" w:color="auto"/>
          <w:color w:val="auto"/>
        </w:rPr>
        <w:t>Name of State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and</w:t>
      </w:r>
    </w:p>
    <w:p>
      <w:pPr>
        <w:spacing w:after="0" w:line="171" w:lineRule="exact"/>
        <w:rPr>
          <w:rFonts w:ascii="Times New Roman" w:cs="Times New Roman" w:eastAsia="Times New Roman" w:hAnsi="Times New Roman"/>
          <w:sz w:val="21"/>
          <w:szCs w:val="21"/>
          <w:color w:val="auto"/>
        </w:rPr>
      </w:pPr>
    </w:p>
    <w:p>
      <w:pPr>
        <w:ind w:right="400" w:firstLine="883"/>
        <w:spacing w:after="0" w:line="252" w:lineRule="auto"/>
        <w:tabs>
          <w:tab w:leader="none" w:pos="176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covenants and agrees that it shall strictly comply with all terms and conditions of the Fiber Exchange Agreement and all other agreements referenced therein, including, without limitation, any and all maintenance agreements or other agreements with respect to any assets associated with the Outbound Fibers or Inbound Fibers.</w:t>
      </w:r>
    </w:p>
    <w:p>
      <w:pPr>
        <w:spacing w:after="0" w:line="160" w:lineRule="exact"/>
        <w:rPr>
          <w:sz w:val="20"/>
          <w:szCs w:val="20"/>
          <w:color w:val="auto"/>
        </w:rPr>
      </w:pPr>
    </w:p>
    <w:p>
      <w:pPr>
        <w:ind w:right="160" w:firstLine="878"/>
        <w:spacing w:after="0" w:line="252" w:lineRule="auto"/>
        <w:rPr>
          <w:sz w:val="20"/>
          <w:szCs w:val="20"/>
          <w:color w:val="auto"/>
        </w:rPr>
      </w:pPr>
      <w:r>
        <w:rPr>
          <w:rFonts w:ascii="Times New Roman" w:cs="Times New Roman" w:eastAsia="Times New Roman" w:hAnsi="Times New Roman"/>
          <w:sz w:val="21"/>
          <w:szCs w:val="21"/>
          <w:color w:val="auto"/>
        </w:rPr>
        <w:t>Notwithstanding anything to the contrary contained herein or in the Master Lease, Tenant shall not have any right to abandon or otherwise cease operations of the CSL Fibers and the related and Associated Property without the prior written consent of Landlord.</w:t>
      </w:r>
    </w:p>
    <w:p>
      <w:pPr>
        <w:spacing w:after="0" w:line="160" w:lineRule="exact"/>
        <w:rPr>
          <w:sz w:val="20"/>
          <w:szCs w:val="20"/>
          <w:color w:val="auto"/>
        </w:rPr>
      </w:pPr>
    </w:p>
    <w:p>
      <w:pPr>
        <w:ind w:right="40" w:firstLine="878"/>
        <w:spacing w:after="0" w:line="238" w:lineRule="auto"/>
        <w:rPr>
          <w:sz w:val="20"/>
          <w:szCs w:val="20"/>
          <w:color w:val="auto"/>
        </w:rPr>
      </w:pPr>
      <w:r>
        <w:rPr>
          <w:rFonts w:ascii="Times New Roman" w:cs="Times New Roman" w:eastAsia="Times New Roman" w:hAnsi="Times New Roman"/>
          <w:sz w:val="21"/>
          <w:szCs w:val="21"/>
          <w:color w:val="auto"/>
        </w:rPr>
        <w:t>In addition to all other indemnities and other legal remedies available to Landlord in accordance with the Master Lease, Tenant hereby agrees to protect, indemnify, save harmless and defend Landlord and its directors, officers and employees from and against all losses, liabilities, obligations, claims, damages, penalties, causes of action, costs and expenses, including reasonable attorneys’, consultants’ and experts’ fees and expenses (collectively, “</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 imposed upon, incurred by, or asserted by third parties against, Landlord and its directors, officers and employees by reason of any breach of any representation and warranty or covenant contained in this letter agreement and any Claims arising under, in connection with, or related to the Fiber Exchange Agreement or any agreements referenced therein, including, without limitation, any use and maintenance of the Inbound Fibers, Outbound Fibers or any other rights or interests created or conveyed thereunder. Furthermore, Tenant shall indemnify, hold harmless and reimburse Landlord for any and all Impositions and any and all taxes imposed on Landlord with respect to the sale, exchange or other disposition of the Outbound Fibers or granting of rights to the Associated Property that arise out of or result from the transactions contemplated by this letter agreement or the Fiber Exchange Agreement (a “Tax Claim”). The indemnification provided herein shall not extend to the diminution in value of any CSL Fibers resulting from the expiration of time or the normal operation and use thereof. As a prerequisite of Tenant’s obligation to indemnify Landlord in connection with a Tax Claim, the parties shall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Exhibit A to Amendment No. 1 to 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29234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47" w:name="page48"/>
    <w:bookmarkEnd w:id="47"/>
    <w:p>
      <w:pPr>
        <w:ind w:left="7900"/>
        <w:spacing w:after="0"/>
        <w:rPr>
          <w:sz w:val="20"/>
          <w:szCs w:val="20"/>
          <w:color w:val="auto"/>
        </w:rPr>
      </w:pPr>
      <w:r>
        <w:rPr>
          <w:rFonts w:ascii="Times New Roman" w:cs="Times New Roman" w:eastAsia="Times New Roman" w:hAnsi="Times New Roman"/>
          <w:sz w:val="20"/>
          <w:szCs w:val="20"/>
          <w:b w:val="1"/>
          <w:bCs w:val="1"/>
          <w:i w:val="1"/>
          <w:iCs w:val="1"/>
          <w:color w:val="auto"/>
        </w:rPr>
        <w:t>Master Lease Amendment - Confidential</w:t>
      </w:r>
    </w:p>
    <w:p>
      <w:pPr>
        <w:spacing w:after="0" w:line="35"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21"/>
          <w:szCs w:val="21"/>
          <w:color w:val="auto"/>
        </w:rPr>
        <w:t>agree upon the anticipated tax treatment of the Fiber Exchange Agreement prior to the execution of this Letter of Exchange, and neither party will subsequently take a contrary position concerning the tax treatment of the Fiber Exchange Agreement without first obtaining the consent of the other party.</w:t>
      </w:r>
    </w:p>
    <w:p>
      <w:pPr>
        <w:spacing w:after="0" w:line="17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1"/>
          <w:szCs w:val="21"/>
          <w:color w:val="auto"/>
        </w:rPr>
        <w:t>Landlord shall be obligated to (a) deliver notice to Tenant of any Claim or Tax Claim for which it is seeking Tenant to indemnify Landlord pursuant to this Letter of Exchange promptly after Landlord becomes aware that such Claim or Tax Claim may be imposed on or incurred by Landlord or any of its Affiliates; provided, the failure to so notify Tenant shall not relieve Tenant of its obligations hereunder, except to the extent such failure materially and adversely prejudiced Tenant, (b) allow Tenant to participate in any investigation or audit conducted in connection with the Claim or Tax Claim, and (c) use commercially reasonable efforts to mitigate any damages it incurs or is reasonably expected to incur in connection with such Claim or Tax Claim; provided, neither such mitigation efforts nor any other provision contained herein will require Landlord or any of its Affiliates to take any action or position that is inconsistent with the advice or recommendations of its professional tax and accounting advisors. Landlord or its Affiliate, as applicable, shall have the right to control the conduct of any audit or administrative or judicial proceeding or of any demand or claim; provided, however, that Tenant, at its sole cost and expense, shall be entitled to participate in any such audit or proceeding related to a Claim or Tax Claim and to contest, resist and defend any applicable liability (including fines and penalties); it being agreed and understood that in no event shall Landlord have the right to enter into any settlement with respect to any Claim or Tax Claim for which Tenant has an obligation to indemnify Landlord hereunder without obtaining Tenant’s prior consent, not to be unreasonably withheld, conditioned or delayed. Any amounts which become payable by Tenant in connection with a Claim or Tax Claim shall be paid within thirty (30) days after liability therefor is determined by a final non appealable judgment or settlement or other agreement of the parties.</w:t>
      </w:r>
    </w:p>
    <w:p>
      <w:pPr>
        <w:spacing w:after="0" w:line="18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1"/>
          <w:szCs w:val="21"/>
          <w:color w:val="auto"/>
        </w:rPr>
        <w:t>Sincerely,</w:t>
      </w:r>
    </w:p>
    <w:p>
      <w:pPr>
        <w:spacing w:after="0" w:line="23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1"/>
          <w:szCs w:val="21"/>
          <w:color w:val="auto"/>
        </w:rPr>
        <w:t>WINDSTREAM HOLDINGS, INC.</w:t>
      </w:r>
    </w:p>
    <w:p>
      <w:pPr>
        <w:spacing w:after="0" w:line="23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1"/>
          <w:szCs w:val="21"/>
          <w:color w:val="auto"/>
        </w:rPr>
        <w:t>By: _____________________________</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1"/>
          <w:szCs w:val="21"/>
          <w:color w:val="auto"/>
        </w:rPr>
        <w:t>Name: ___________________________</w:t>
      </w:r>
    </w:p>
    <w:p>
      <w:pPr>
        <w:ind w:left="5280"/>
        <w:spacing w:after="0"/>
        <w:rPr>
          <w:sz w:val="20"/>
          <w:szCs w:val="20"/>
          <w:color w:val="auto"/>
        </w:rPr>
      </w:pPr>
      <w:r>
        <w:rPr>
          <w:rFonts w:ascii="Times New Roman" w:cs="Times New Roman" w:eastAsia="Times New Roman" w:hAnsi="Times New Roman"/>
          <w:sz w:val="21"/>
          <w:szCs w:val="21"/>
          <w:color w:val="auto"/>
        </w:rPr>
        <w:t>Title: ____________________________</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Acknowledged and Accepted: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LANDLORD</w:t>
      </w:r>
      <w:r>
        <w:rPr>
          <w:rFonts w:ascii="Times New Roman" w:cs="Times New Roman" w:eastAsia="Times New Roman" w:hAnsi="Times New Roman"/>
          <w:sz w:val="21"/>
          <w:szCs w:val="21"/>
          <w:b w:val="1"/>
          <w:bCs w:val="1"/>
          <w:color w:val="auto"/>
        </w:rPr>
        <w: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CSL ALABAMA SYSTEM,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CSL ARKANSAS SYSTEM, LLC</w:t>
      </w:r>
    </w:p>
    <w:p>
      <w:pPr>
        <w:spacing w:after="0" w:line="235" w:lineRule="auto"/>
        <w:rPr>
          <w:sz w:val="20"/>
          <w:szCs w:val="20"/>
          <w:color w:val="auto"/>
        </w:rPr>
      </w:pPr>
      <w:r>
        <w:rPr>
          <w:rFonts w:ascii="Times New Roman" w:cs="Times New Roman" w:eastAsia="Times New Roman" w:hAnsi="Times New Roman"/>
          <w:sz w:val="21"/>
          <w:szCs w:val="21"/>
          <w:b w:val="1"/>
          <w:bCs w:val="1"/>
          <w:color w:val="auto"/>
        </w:rPr>
        <w:t>CSL FLORIDA SYSTEM, LLC</w:t>
      </w:r>
    </w:p>
    <w:p>
      <w:pPr>
        <w:spacing w:after="0" w:line="235" w:lineRule="auto"/>
        <w:rPr>
          <w:sz w:val="20"/>
          <w:szCs w:val="20"/>
          <w:color w:val="auto"/>
        </w:rPr>
      </w:pPr>
      <w:r>
        <w:rPr>
          <w:rFonts w:ascii="Times New Roman" w:cs="Times New Roman" w:eastAsia="Times New Roman" w:hAnsi="Times New Roman"/>
          <w:sz w:val="21"/>
          <w:szCs w:val="21"/>
          <w:b w:val="1"/>
          <w:bCs w:val="1"/>
          <w:color w:val="auto"/>
        </w:rPr>
        <w:t>CSL GEORGIA SYSTEM, LLC</w:t>
      </w:r>
    </w:p>
    <w:p>
      <w:pPr>
        <w:spacing w:after="0" w:line="235" w:lineRule="auto"/>
        <w:rPr>
          <w:sz w:val="20"/>
          <w:szCs w:val="20"/>
          <w:color w:val="auto"/>
        </w:rPr>
      </w:pPr>
      <w:r>
        <w:rPr>
          <w:rFonts w:ascii="Times New Roman" w:cs="Times New Roman" w:eastAsia="Times New Roman" w:hAnsi="Times New Roman"/>
          <w:sz w:val="21"/>
          <w:szCs w:val="21"/>
          <w:b w:val="1"/>
          <w:bCs w:val="1"/>
          <w:color w:val="auto"/>
        </w:rPr>
        <w:t>CSL IOWA SYSTEM, LLC</w:t>
      </w:r>
    </w:p>
    <w:p>
      <w:pPr>
        <w:spacing w:after="0" w:line="236" w:lineRule="auto"/>
        <w:rPr>
          <w:sz w:val="20"/>
          <w:szCs w:val="20"/>
          <w:color w:val="auto"/>
        </w:rPr>
      </w:pPr>
      <w:r>
        <w:rPr>
          <w:rFonts w:ascii="Times New Roman" w:cs="Times New Roman" w:eastAsia="Times New Roman" w:hAnsi="Times New Roman"/>
          <w:sz w:val="21"/>
          <w:szCs w:val="21"/>
          <w:b w:val="1"/>
          <w:bCs w:val="1"/>
          <w:color w:val="auto"/>
        </w:rPr>
        <w:t>CSL KENTUCKY SYSTEM, LLC</w:t>
      </w:r>
    </w:p>
    <w:p>
      <w:pPr>
        <w:spacing w:after="0"/>
        <w:rPr>
          <w:sz w:val="20"/>
          <w:szCs w:val="20"/>
          <w:color w:val="auto"/>
        </w:rPr>
      </w:pPr>
      <w:r>
        <w:rPr>
          <w:rFonts w:ascii="Times New Roman" w:cs="Times New Roman" w:eastAsia="Times New Roman" w:hAnsi="Times New Roman"/>
          <w:sz w:val="21"/>
          <w:szCs w:val="21"/>
          <w:b w:val="1"/>
          <w:bCs w:val="1"/>
          <w:color w:val="auto"/>
        </w:rPr>
        <w:t>CSL MISSISSIPPI SYSTEM, LLC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A to Amendment No. 1 to 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29234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Master Lease Amendment - 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CSL MISSOURI SYSTEM, LLC</w:t>
      </w:r>
    </w:p>
    <w:p>
      <w:pPr>
        <w:spacing w:after="0" w:line="235" w:lineRule="auto"/>
        <w:rPr>
          <w:sz w:val="20"/>
          <w:szCs w:val="20"/>
          <w:color w:val="auto"/>
        </w:rPr>
      </w:pPr>
      <w:r>
        <w:rPr>
          <w:rFonts w:ascii="Times New Roman" w:cs="Times New Roman" w:eastAsia="Times New Roman" w:hAnsi="Times New Roman"/>
          <w:sz w:val="21"/>
          <w:szCs w:val="21"/>
          <w:b w:val="1"/>
          <w:bCs w:val="1"/>
          <w:color w:val="auto"/>
        </w:rPr>
        <w:t>CSL NEW MEXICO SYSTEM, LLC</w:t>
      </w:r>
    </w:p>
    <w:p>
      <w:pPr>
        <w:spacing w:after="0" w:line="235" w:lineRule="auto"/>
        <w:rPr>
          <w:sz w:val="20"/>
          <w:szCs w:val="20"/>
          <w:color w:val="auto"/>
        </w:rPr>
      </w:pPr>
      <w:r>
        <w:rPr>
          <w:rFonts w:ascii="Times New Roman" w:cs="Times New Roman" w:eastAsia="Times New Roman" w:hAnsi="Times New Roman"/>
          <w:sz w:val="21"/>
          <w:szCs w:val="21"/>
          <w:b w:val="1"/>
          <w:bCs w:val="1"/>
          <w:color w:val="auto"/>
        </w:rPr>
        <w:t>CSL OHIO SYSTEM, LLC</w:t>
      </w:r>
    </w:p>
    <w:p>
      <w:pPr>
        <w:spacing w:after="0" w:line="235" w:lineRule="auto"/>
        <w:rPr>
          <w:sz w:val="20"/>
          <w:szCs w:val="20"/>
          <w:color w:val="auto"/>
        </w:rPr>
      </w:pPr>
      <w:r>
        <w:rPr>
          <w:rFonts w:ascii="Times New Roman" w:cs="Times New Roman" w:eastAsia="Times New Roman" w:hAnsi="Times New Roman"/>
          <w:sz w:val="21"/>
          <w:szCs w:val="21"/>
          <w:b w:val="1"/>
          <w:bCs w:val="1"/>
          <w:color w:val="auto"/>
        </w:rPr>
        <w:t>CSL OKLAHOMA SYSTEM, LLC</w:t>
      </w:r>
    </w:p>
    <w:p>
      <w:pPr>
        <w:spacing w:after="0" w:line="236" w:lineRule="auto"/>
        <w:rPr>
          <w:sz w:val="20"/>
          <w:szCs w:val="20"/>
          <w:color w:val="auto"/>
        </w:rPr>
      </w:pPr>
      <w:r>
        <w:rPr>
          <w:rFonts w:ascii="Times New Roman" w:cs="Times New Roman" w:eastAsia="Times New Roman" w:hAnsi="Times New Roman"/>
          <w:sz w:val="21"/>
          <w:szCs w:val="21"/>
          <w:b w:val="1"/>
          <w:bCs w:val="1"/>
          <w:color w:val="auto"/>
        </w:rPr>
        <w:t>CSL TEXAS SYSTEM, LLC</w:t>
      </w:r>
    </w:p>
    <w:p>
      <w:pPr>
        <w:spacing w:after="0" w:line="235" w:lineRule="auto"/>
        <w:rPr>
          <w:sz w:val="20"/>
          <w:szCs w:val="20"/>
          <w:color w:val="auto"/>
        </w:rPr>
      </w:pPr>
      <w:r>
        <w:rPr>
          <w:rFonts w:ascii="Times New Roman" w:cs="Times New Roman" w:eastAsia="Times New Roman" w:hAnsi="Times New Roman"/>
          <w:sz w:val="21"/>
          <w:szCs w:val="21"/>
          <w:b w:val="1"/>
          <w:bCs w:val="1"/>
          <w:color w:val="auto"/>
        </w:rPr>
        <w:t>CSL REALTY, LLC</w:t>
      </w:r>
    </w:p>
    <w:p>
      <w:pPr>
        <w:spacing w:after="0" w:line="235" w:lineRule="auto"/>
        <w:rPr>
          <w:sz w:val="20"/>
          <w:szCs w:val="20"/>
          <w:color w:val="auto"/>
        </w:rPr>
      </w:pPr>
      <w:r>
        <w:rPr>
          <w:rFonts w:ascii="Times New Roman" w:cs="Times New Roman" w:eastAsia="Times New Roman" w:hAnsi="Times New Roman"/>
          <w:sz w:val="21"/>
          <w:szCs w:val="21"/>
          <w:b w:val="1"/>
          <w:bCs w:val="1"/>
          <w:color w:val="auto"/>
        </w:rPr>
        <w:t>CSL GEORGIA REALTY,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CSL TENNESSEE REALTY, LLC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By:_____________________________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__________________________</w:t>
      </w:r>
    </w:p>
    <w:p>
      <w:pPr>
        <w:spacing w:after="0"/>
        <w:rPr>
          <w:sz w:val="20"/>
          <w:szCs w:val="20"/>
          <w:color w:val="auto"/>
        </w:rPr>
      </w:pPr>
      <w:r>
        <w:rPr>
          <w:rFonts w:ascii="Times New Roman" w:cs="Times New Roman" w:eastAsia="Times New Roman" w:hAnsi="Times New Roman"/>
          <w:sz w:val="21"/>
          <w:szCs w:val="21"/>
          <w:color w:val="auto"/>
        </w:rPr>
        <w:t>Title:__________________________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CSL NORTH CAROLINA SYSTEM,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CSL NORTH CAROLINA REALTY, LP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CSL North Carolina Realty GP, LLC, as its General Partner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By:___________________________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________________________</w:t>
      </w:r>
    </w:p>
    <w:p>
      <w:pPr>
        <w:spacing w:after="0"/>
        <w:rPr>
          <w:sz w:val="20"/>
          <w:szCs w:val="20"/>
          <w:color w:val="auto"/>
        </w:rPr>
      </w:pPr>
      <w:r>
        <w:rPr>
          <w:rFonts w:ascii="Times New Roman" w:cs="Times New Roman" w:eastAsia="Times New Roman" w:hAnsi="Times New Roman"/>
          <w:sz w:val="21"/>
          <w:szCs w:val="21"/>
          <w:color w:val="auto"/>
        </w:rPr>
        <w:t>Title:  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CSL NATIONAL, LP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CSL National GP, LLC, as its General Partner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By:___________________________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________________________</w:t>
      </w:r>
    </w:p>
    <w:p>
      <w:pPr>
        <w:spacing w:after="0"/>
        <w:rPr>
          <w:sz w:val="20"/>
          <w:szCs w:val="20"/>
          <w:color w:val="auto"/>
        </w:rPr>
      </w:pPr>
      <w:r>
        <w:rPr>
          <w:rFonts w:ascii="Times New Roman" w:cs="Times New Roman" w:eastAsia="Times New Roman" w:hAnsi="Times New Roman"/>
          <w:sz w:val="21"/>
          <w:szCs w:val="21"/>
          <w:color w:val="auto"/>
        </w:rPr>
        <w:t>Title:  ________________________</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A to Amendment No. 1 to 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29234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9" w:name="page50"/>
    <w:bookmarkEnd w:id="49"/>
    <w:p>
      <w:pPr>
        <w:ind w:left="7900"/>
        <w:spacing w:after="0"/>
        <w:rPr>
          <w:sz w:val="20"/>
          <w:szCs w:val="20"/>
          <w:color w:val="auto"/>
        </w:rPr>
      </w:pPr>
      <w:r>
        <w:rPr>
          <w:rFonts w:ascii="Times New Roman" w:cs="Times New Roman" w:eastAsia="Times New Roman" w:hAnsi="Times New Roman"/>
          <w:sz w:val="20"/>
          <w:szCs w:val="20"/>
          <w:b w:val="1"/>
          <w:bCs w:val="1"/>
          <w:i w:val="1"/>
          <w:iCs w:val="1"/>
          <w:color w:val="auto"/>
        </w:rPr>
        <w:t>Master Lease Amendment - Confidential</w:t>
      </w:r>
    </w:p>
    <w:p>
      <w:pPr>
        <w:spacing w:after="0" w:line="3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b w:val="1"/>
          <w:bCs w:val="1"/>
          <w:u w:val="single" w:color="auto"/>
          <w:color w:val="auto"/>
        </w:rPr>
        <w:t>Exhibit B – Additional Schedule to Master Lease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SCHEDULE 7.2(g)</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BACKHAUL FOR MACRO-TOWERS AND ROOFTOP ANTENNAS</w:t>
      </w:r>
    </w:p>
    <w:p>
      <w:pPr>
        <w:spacing w:after="0" w:line="200" w:lineRule="exact"/>
        <w:rPr>
          <w:sz w:val="20"/>
          <w:szCs w:val="20"/>
          <w:color w:val="auto"/>
        </w:rPr>
      </w:pPr>
    </w:p>
    <w:p>
      <w:pPr>
        <w:spacing w:after="0" w:line="243"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1"/>
          <w:szCs w:val="21"/>
          <w:color w:val="auto"/>
        </w:rPr>
        <w:t xml:space="preserve">Tenant will be the exclusive provider of any backhaul, transport or other telecommunications connectivity whatsoever (including but not limited to copper, fiber or future technologies) (the “Backhaul Connectivity”) to any of the macro-towers or rooftop antennas permitted to be installed pursuant to </w:t>
      </w:r>
      <w:r>
        <w:rPr>
          <w:rFonts w:ascii="Times New Roman" w:cs="Times New Roman" w:eastAsia="Times New Roman" w:hAnsi="Times New Roman"/>
          <w:sz w:val="21"/>
          <w:szCs w:val="21"/>
          <w:u w:val="single" w:color="auto"/>
          <w:color w:val="auto"/>
        </w:rPr>
        <w:t>Section 7.2(g)</w:t>
      </w:r>
      <w:r>
        <w:rPr>
          <w:rFonts w:ascii="Times New Roman" w:cs="Times New Roman" w:eastAsia="Times New Roman" w:hAnsi="Times New Roman"/>
          <w:sz w:val="21"/>
          <w:szCs w:val="21"/>
          <w:color w:val="auto"/>
        </w:rPr>
        <w:t xml:space="preserve"> (as used herein respectively, “Macro-Towers” and “Rooftop Antennas”).</w:t>
      </w:r>
    </w:p>
    <w:p>
      <w:pPr>
        <w:spacing w:after="0" w:line="18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1"/>
          <w:szCs w:val="21"/>
          <w:color w:val="auto"/>
        </w:rPr>
        <w:t>For any entity utilizing the Macro-Towers or the Rooftop Antennas that is a then current customer of Tenant, Tenant’s Affiliates or Tenant’s Subsidiaries (the “Customer Tower User”), Tenant will make certain that the Customer Tower User is provided with Backhaul Connectivity at the rates and upon the terms provided for in the Customer Tower User’s then current agreement(s) with Tenant, Tenant’s Affiliate or Tenant’s Subsidiary. If a Customer Tower User’s agreement with Tenant does not cover the services that the Customer Tower User desires to use for Backhaul Connectivity, then Tenant will make certain that the Customer Tower User is provided with those Backhaul Connectivity services at the same rates and terms upon which Tenant, Tenant’s Affiliate or Tenant’s Subsidiary provides Backhaul Connectivity to similarly situated entities for comparable services. For any entity utilizing the Macro-Towers or the Rooftop Antennas that is not a then current customer of Tenant, Tenant’s Affiliates or Tenant’s Subsidiaries (the “Non-Customer Tower User”), Tenant will make certain that the Non-Customer Tower User is provided with Backhaul Connectivity at the same rates and terms upon which Tenant, Tenant’s Affiliate or Tenant’s Subsidiary provides Backhaul Connectivity to similarly situated entities for comparable services.</w:t>
      </w:r>
    </w:p>
    <w:p>
      <w:pPr>
        <w:spacing w:after="0" w:line="20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In the event any potential Customer Tower User or Non-Customer Tower User notifies Tenant in writing that it is unwilling to utilize Backhaul Connectivity on the terms proposed by Tenant in accordance with the foregoing, Tenant shall, in its sole discretion, propose or choose not to propose, or cause its Affiliates and Subsidiaries to propose or choose not to propose, revised rates and terms to such Customer Tower User or Non-Customer Tower User. Tenant will inform the Customer Tower User or Non-Customer Tower User of its decision whether to propose or not to propose revised rates and terms within a reasonable period following receipt of such notice.</w:t>
      </w:r>
    </w:p>
    <w:p>
      <w:pPr>
        <w:spacing w:after="0" w:line="198"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21"/>
          <w:szCs w:val="21"/>
          <w:color w:val="auto"/>
        </w:rPr>
        <w:t>For purposes of this Schedule 7.2(g), similarly situated entities will be determined by referring to volume of business and revenue commitments. For purposes of this Schedule 7.2(g), comparable services will be determined by referring to technical specifications, agreement terms, service level requirements, configurations, end points, bandwidth and length of term. Notwithstanding anything to the contrary herein, If a Customer Tower User or Non-Customer Tower User desires to acquire Backhaul Connectivity via dark fiber, Tenant shall be the exclusive provider of such connectivity, but dark fiber connectivity shall be provided at Tenant’s sole discretion. Tenant agrees that it may determine in its sole discretion and on a case by case basis to waive its right 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B to Amendment No. 1 to 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29234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0" w:name="page51"/>
    <w:bookmarkEnd w:id="50"/>
    <w:p>
      <w:pPr>
        <w:ind w:left="7900"/>
        <w:spacing w:after="0"/>
        <w:rPr>
          <w:sz w:val="20"/>
          <w:szCs w:val="20"/>
          <w:color w:val="auto"/>
        </w:rPr>
      </w:pPr>
      <w:r>
        <w:rPr>
          <w:rFonts w:ascii="Times New Roman" w:cs="Times New Roman" w:eastAsia="Times New Roman" w:hAnsi="Times New Roman"/>
          <w:sz w:val="20"/>
          <w:szCs w:val="20"/>
          <w:b w:val="1"/>
          <w:bCs w:val="1"/>
          <w:i w:val="1"/>
          <w:iCs w:val="1"/>
          <w:color w:val="auto"/>
        </w:rPr>
        <w:t>Master Lease Amendment - Confidential</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 the exclusive provider of Backhaul Connectivity to a Customer Tower User or a Non-Customer Tower User.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Exhibit B to Amendment No. 1 to Master Lease</w:t>
      </w:r>
    </w:p>
    <w:p>
      <w:pPr>
        <w:sectPr>
          <w:pgSz w:w="11900" w:h="16838" w:orient="portrait"/>
          <w:cols w:equalWidth="0" w:num="1">
            <w:col w:w="11420"/>
          </w:cols>
          <w:pgMar w:left="240" w:top="108" w:right="239" w:bottom="1440" w:gutter="0" w:footer="0" w:header="0"/>
        </w:sectPr>
      </w:pPr>
    </w:p>
    <w:bookmarkStart w:id="51" w:name="page52"/>
    <w:bookmarkEnd w:id="51"/>
    <w:p>
      <w:pPr>
        <w:jc w:val="both"/>
        <w:ind w:right="20"/>
        <w:spacing w:after="0" w:line="263" w:lineRule="auto"/>
        <w:rPr>
          <w:sz w:val="20"/>
          <w:szCs w:val="20"/>
          <w:color w:val="auto"/>
        </w:rPr>
      </w:pPr>
      <w:r>
        <w:rPr>
          <w:rFonts w:ascii="Times New Roman" w:cs="Times New Roman" w:eastAsia="Times New Roman" w:hAnsi="Times New Roman"/>
          <w:sz w:val="19"/>
          <w:szCs w:val="19"/>
          <w:color w:val="auto"/>
        </w:rPr>
        <w:t>Portions of this document have been redacted pursuant to a Confidential Treatment Request filed with the Securities and Exchange Commission pursuant to Rule 406 under the Securities Act of 1933, as amended, and Rule 24b-2 under the Securities Exchange Act of 1934, as amended. Redacted portions are indicated with the notation “[**]”.</w:t>
      </w:r>
    </w:p>
    <w:p>
      <w:pPr>
        <w:spacing w:after="0" w:line="171"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9"/>
          <w:szCs w:val="19"/>
          <w:b w:val="1"/>
          <w:bCs w:val="1"/>
          <w:color w:val="auto"/>
        </w:rPr>
        <w:t>Exhibit 10.4</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COMMUNICATIONS SALES &amp; LEASING,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2016 SHORT TERM INCENTIVE PLAN</w:t>
      </w:r>
    </w:p>
    <w:p>
      <w:pPr>
        <w:spacing w:after="0" w:line="207" w:lineRule="exact"/>
        <w:rPr>
          <w:sz w:val="20"/>
          <w:szCs w:val="20"/>
          <w:color w:val="auto"/>
        </w:rPr>
      </w:pPr>
    </w:p>
    <w:p>
      <w:pPr>
        <w:ind w:right="280" w:firstLine="878"/>
        <w:spacing w:after="0" w:line="282" w:lineRule="auto"/>
        <w:rPr>
          <w:sz w:val="20"/>
          <w:szCs w:val="20"/>
          <w:color w:val="auto"/>
        </w:rPr>
      </w:pPr>
      <w:r>
        <w:rPr>
          <w:rFonts w:ascii="Times New Roman" w:cs="Times New Roman" w:eastAsia="Times New Roman" w:hAnsi="Times New Roman"/>
          <w:sz w:val="19"/>
          <w:szCs w:val="19"/>
          <w:color w:val="auto"/>
        </w:rPr>
        <w:t>As of February 29, 2016 (the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Communications Sales &amp; Leasing, Inc., a Maryland corporation (the “</w:t>
      </w:r>
      <w:r>
        <w:rPr>
          <w:rFonts w:ascii="Times New Roman" w:cs="Times New Roman" w:eastAsia="Times New Roman" w:hAnsi="Times New Roman"/>
          <w:sz w:val="19"/>
          <w:szCs w:val="19"/>
          <w:u w:val="single" w:color="auto"/>
          <w:color w:val="auto"/>
        </w:rPr>
        <w:t>Corporation</w:t>
      </w:r>
      <w:r>
        <w:rPr>
          <w:rFonts w:ascii="Times New Roman" w:cs="Times New Roman" w:eastAsia="Times New Roman" w:hAnsi="Times New Roman"/>
          <w:sz w:val="19"/>
          <w:szCs w:val="19"/>
          <w:color w:val="auto"/>
        </w:rPr>
        <w:t>”), hereby adopts this 2016 Short Term Plan (this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right="240" w:firstLine="878"/>
        <w:spacing w:after="0" w:line="257" w:lineRule="auto"/>
        <w:rPr>
          <w:sz w:val="20"/>
          <w:szCs w:val="20"/>
          <w:color w:val="auto"/>
        </w:rPr>
      </w:pPr>
      <w:r>
        <w:rPr>
          <w:rFonts w:ascii="Times New Roman" w:cs="Times New Roman" w:eastAsia="Times New Roman" w:hAnsi="Times New Roman"/>
          <w:sz w:val="19"/>
          <w:szCs w:val="19"/>
          <w:color w:val="auto"/>
        </w:rPr>
        <w:t>WHEREAS, the Board of Directors of the Corporation deems it in the best interest of the Corporation that the Corporation reward certain executives of the Corporation with a short-term incentive program (annual cash bonuses) in order to motivate the Corporation’s executive officers to achieve performance goals that reinforce the Corporation’s annual business plan, to assist the Corporation in attracting and retaining qualified executives and to promote the alignment of the executive officers’ interests with those of the Corporation’s stockholders; and</w:t>
      </w:r>
    </w:p>
    <w:p>
      <w:pPr>
        <w:spacing w:after="0" w:line="169" w:lineRule="exact"/>
        <w:rPr>
          <w:sz w:val="20"/>
          <w:szCs w:val="20"/>
          <w:color w:val="auto"/>
        </w:rPr>
      </w:pPr>
    </w:p>
    <w:p>
      <w:pPr>
        <w:ind w:right="780" w:firstLine="878"/>
        <w:spacing w:after="0" w:line="282" w:lineRule="auto"/>
        <w:rPr>
          <w:sz w:val="20"/>
          <w:szCs w:val="20"/>
          <w:color w:val="auto"/>
        </w:rPr>
      </w:pPr>
      <w:r>
        <w:rPr>
          <w:rFonts w:ascii="Times New Roman" w:cs="Times New Roman" w:eastAsia="Times New Roman" w:hAnsi="Times New Roman"/>
          <w:sz w:val="19"/>
          <w:szCs w:val="19"/>
          <w:color w:val="auto"/>
        </w:rPr>
        <w:t xml:space="preserve">WHEREAS, the Board of Directors approved on February 29, 2016 the terms of this Plan, including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 which is incorporated by reference in its entirety.</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NOW, THEREFORE, BE IT RESOLVED:</w:t>
      </w:r>
    </w:p>
    <w:p>
      <w:pPr>
        <w:spacing w:after="0" w:line="207" w:lineRule="exact"/>
        <w:rPr>
          <w:sz w:val="20"/>
          <w:szCs w:val="20"/>
          <w:color w:val="auto"/>
        </w:rPr>
      </w:pPr>
    </w:p>
    <w:p>
      <w:pPr>
        <w:ind w:right="440" w:firstLine="878"/>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Section 1. </w:t>
      </w:r>
      <w:r>
        <w:rPr>
          <w:rFonts w:ascii="Times New Roman" w:cs="Times New Roman" w:eastAsia="Times New Roman" w:hAnsi="Times New Roman"/>
          <w:sz w:val="19"/>
          <w:szCs w:val="19"/>
          <w:b w:val="1"/>
          <w:bCs w:val="1"/>
          <w:color w:val="auto"/>
        </w:rPr>
        <w:t>Definitions</w:t>
      </w:r>
      <w:r>
        <w:rPr>
          <w:rFonts w:ascii="Times New Roman" w:cs="Times New Roman" w:eastAsia="Times New Roman" w:hAnsi="Times New Roman"/>
          <w:sz w:val="19"/>
          <w:szCs w:val="19"/>
          <w:color w:val="auto"/>
        </w:rPr>
        <w:t>. The following words and phrases shall have the following meanings unless a different meaning is plainly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required by the context: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7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4"/>
              </w:rPr>
              <w:t>(a)</w:t>
            </w:r>
          </w:p>
        </w:tc>
        <w:tc>
          <w:tcPr>
            <w:tcW w:w="7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Award</w:t>
            </w:r>
            <w:r>
              <w:rPr>
                <w:rFonts w:ascii="Times New Roman" w:cs="Times New Roman" w:eastAsia="Times New Roman" w:hAnsi="Times New Roman"/>
                <w:sz w:val="19"/>
                <w:szCs w:val="19"/>
                <w:color w:val="auto"/>
              </w:rPr>
              <w:t>” means any Short-Term Cash Bonus granted under this Plan.</w:t>
            </w:r>
          </w:p>
        </w:tc>
      </w:tr>
      <w:tr>
        <w:trPr>
          <w:trHeight w:val="447"/>
        </w:trPr>
        <w:tc>
          <w:tcPr>
            <w:tcW w:w="37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(b)</w:t>
            </w:r>
          </w:p>
        </w:tc>
        <w:tc>
          <w:tcPr>
            <w:tcW w:w="772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Board</w:t>
            </w:r>
            <w:r>
              <w:rPr>
                <w:rFonts w:ascii="Times New Roman" w:cs="Times New Roman" w:eastAsia="Times New Roman" w:hAnsi="Times New Roman"/>
                <w:sz w:val="19"/>
                <w:szCs w:val="19"/>
                <w:color w:val="auto"/>
              </w:rPr>
              <w:t>” means the Board of Directors of the Corporation.</w:t>
            </w:r>
          </w:p>
        </w:tc>
      </w:tr>
      <w:tr>
        <w:trPr>
          <w:trHeight w:val="447"/>
        </w:trPr>
        <w:tc>
          <w:tcPr>
            <w:tcW w:w="37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4"/>
              </w:rPr>
              <w:t>(c)</w:t>
            </w:r>
          </w:p>
        </w:tc>
        <w:tc>
          <w:tcPr>
            <w:tcW w:w="7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Code</w:t>
            </w:r>
            <w:r>
              <w:rPr>
                <w:rFonts w:ascii="Times New Roman" w:cs="Times New Roman" w:eastAsia="Times New Roman" w:hAnsi="Times New Roman"/>
                <w:sz w:val="19"/>
                <w:szCs w:val="19"/>
                <w:color w:val="auto"/>
              </w:rPr>
              <w:t>” means the Internal Revenue Code of 1986, as amended.</w:t>
            </w:r>
          </w:p>
        </w:tc>
      </w:tr>
      <w:tr>
        <w:trPr>
          <w:trHeight w:val="413"/>
        </w:trPr>
        <w:tc>
          <w:tcPr>
            <w:tcW w:w="37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(d)</w:t>
            </w:r>
          </w:p>
        </w:tc>
        <w:tc>
          <w:tcPr>
            <w:tcW w:w="77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Committee</w:t>
            </w:r>
            <w:r>
              <w:rPr>
                <w:rFonts w:ascii="Times New Roman" w:cs="Times New Roman" w:eastAsia="Times New Roman" w:hAnsi="Times New Roman"/>
                <w:sz w:val="19"/>
                <w:szCs w:val="19"/>
                <w:color w:val="auto"/>
              </w:rPr>
              <w:t>” means the Compensation Committee of the Board which has been appointed to</w:t>
            </w:r>
          </w:p>
        </w:tc>
      </w:tr>
      <w:tr>
        <w:trPr>
          <w:trHeight w:val="252"/>
        </w:trPr>
        <w:tc>
          <w:tcPr>
            <w:tcW w:w="37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administer this Plan.</w:t>
            </w:r>
          </w:p>
        </w:tc>
        <w:tc>
          <w:tcPr>
            <w:tcW w:w="7720" w:type="dxa"/>
            <w:vAlign w:val="bottom"/>
          </w:tcPr>
          <w:p>
            <w:pPr>
              <w:spacing w:after="0"/>
              <w:rPr>
                <w:sz w:val="21"/>
                <w:szCs w:val="21"/>
                <w:color w:val="auto"/>
              </w:rPr>
            </w:pPr>
          </w:p>
        </w:tc>
      </w:tr>
      <w:tr>
        <w:trPr>
          <w:trHeight w:val="419"/>
        </w:trPr>
        <w:tc>
          <w:tcPr>
            <w:tcW w:w="37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4"/>
              </w:rPr>
              <w:t>(e)</w:t>
            </w:r>
          </w:p>
        </w:tc>
        <w:tc>
          <w:tcPr>
            <w:tcW w:w="7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Corporation</w:t>
            </w:r>
            <w:r>
              <w:rPr>
                <w:rFonts w:ascii="Times New Roman" w:cs="Times New Roman" w:eastAsia="Times New Roman" w:hAnsi="Times New Roman"/>
                <w:sz w:val="19"/>
                <w:szCs w:val="19"/>
                <w:color w:val="auto"/>
              </w:rPr>
              <w:t>” means Communications Sales &amp; Leasing, Inc., a Maryland corporation, and any</w:t>
            </w:r>
          </w:p>
        </w:tc>
      </w:tr>
      <w:tr>
        <w:trPr>
          <w:trHeight w:val="252"/>
        </w:trPr>
        <w:tc>
          <w:tcPr>
            <w:tcW w:w="37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direct or indirect subsidiary thereof.</w:t>
            </w:r>
          </w:p>
        </w:tc>
        <w:tc>
          <w:tcPr>
            <w:tcW w:w="7720" w:type="dxa"/>
            <w:vAlign w:val="bottom"/>
          </w:tcPr>
          <w:p>
            <w:pPr>
              <w:spacing w:after="0"/>
              <w:rPr>
                <w:sz w:val="21"/>
                <w:szCs w:val="21"/>
                <w:color w:val="auto"/>
              </w:rPr>
            </w:pPr>
          </w:p>
        </w:tc>
      </w:tr>
      <w:tr>
        <w:trPr>
          <w:trHeight w:val="419"/>
        </w:trPr>
        <w:tc>
          <w:tcPr>
            <w:tcW w:w="3720" w:type="dxa"/>
            <w:vAlign w:val="bottom"/>
          </w:tcPr>
          <w:p>
            <w:pPr>
              <w:jc w:val="center"/>
              <w:ind w:right="18"/>
              <w:spacing w:after="0"/>
              <w:rPr>
                <w:sz w:val="20"/>
                <w:szCs w:val="20"/>
                <w:color w:val="auto"/>
              </w:rPr>
            </w:pPr>
            <w:r>
              <w:rPr>
                <w:rFonts w:ascii="Times New Roman" w:cs="Times New Roman" w:eastAsia="Times New Roman" w:hAnsi="Times New Roman"/>
                <w:sz w:val="21"/>
                <w:szCs w:val="21"/>
                <w:color w:val="auto"/>
                <w:w w:val="95"/>
              </w:rPr>
              <w:t>(f)</w:t>
            </w:r>
          </w:p>
        </w:tc>
        <w:tc>
          <w:tcPr>
            <w:tcW w:w="77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Eligible Executive</w:t>
            </w:r>
            <w:r>
              <w:rPr>
                <w:rFonts w:ascii="Times New Roman" w:cs="Times New Roman" w:eastAsia="Times New Roman" w:hAnsi="Times New Roman"/>
                <w:sz w:val="19"/>
                <w:szCs w:val="19"/>
                <w:color w:val="auto"/>
              </w:rPr>
              <w:t>” means an executive officer of the Corporation holding the positions set forth</w:t>
            </w:r>
          </w:p>
        </w:tc>
      </w:tr>
      <w:tr>
        <w:trPr>
          <w:trHeight w:val="252"/>
        </w:trPr>
        <w:tc>
          <w:tcPr>
            <w:tcW w:w="3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in Section 3 of this Plan.</w:t>
            </w:r>
          </w:p>
        </w:tc>
        <w:tc>
          <w:tcPr>
            <w:tcW w:w="7720" w:type="dxa"/>
            <w:vAlign w:val="bottom"/>
          </w:tcPr>
          <w:p>
            <w:pPr>
              <w:spacing w:after="0"/>
              <w:rPr>
                <w:sz w:val="21"/>
                <w:szCs w:val="21"/>
                <w:color w:val="auto"/>
              </w:rPr>
            </w:pPr>
          </w:p>
        </w:tc>
      </w:tr>
      <w:tr>
        <w:trPr>
          <w:trHeight w:val="401"/>
        </w:trPr>
        <w:tc>
          <w:tcPr>
            <w:tcW w:w="37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(g)</w:t>
            </w:r>
          </w:p>
        </w:tc>
        <w:tc>
          <w:tcPr>
            <w:tcW w:w="77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Employee</w:t>
            </w:r>
            <w:r>
              <w:rPr>
                <w:rFonts w:ascii="Times New Roman" w:cs="Times New Roman" w:eastAsia="Times New Roman" w:hAnsi="Times New Roman"/>
                <w:sz w:val="19"/>
                <w:szCs w:val="19"/>
                <w:color w:val="auto"/>
              </w:rPr>
              <w:t>” means an individual who is an employee of the Corporation who is reported on the</w:t>
            </w:r>
          </w:p>
        </w:tc>
      </w:tr>
      <w:tr>
        <w:trPr>
          <w:trHeight w:val="303"/>
        </w:trPr>
        <w:tc>
          <w:tcPr>
            <w:tcW w:w="11440" w:type="dxa"/>
            <w:vAlign w:val="bottom"/>
            <w:gridSpan w:val="2"/>
          </w:tcPr>
          <w:p>
            <w:pPr>
              <w:ind w:left="880"/>
              <w:spacing w:after="0" w:line="219" w:lineRule="exact"/>
              <w:rPr>
                <w:sz w:val="20"/>
                <w:szCs w:val="20"/>
                <w:color w:val="auto"/>
              </w:rPr>
            </w:pPr>
            <w:r>
              <w:rPr>
                <w:rFonts w:ascii="Times New Roman" w:cs="Times New Roman" w:eastAsia="Times New Roman" w:hAnsi="Times New Roman"/>
                <w:sz w:val="19"/>
                <w:szCs w:val="19"/>
                <w:color w:val="auto"/>
              </w:rPr>
              <w:t>payroll records as a common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law employee.</w:t>
            </w:r>
          </w:p>
        </w:tc>
      </w:tr>
      <w:tr>
        <w:trPr>
          <w:trHeight w:val="433"/>
        </w:trPr>
        <w:tc>
          <w:tcPr>
            <w:tcW w:w="37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(h)</w:t>
            </w:r>
          </w:p>
        </w:tc>
        <w:tc>
          <w:tcPr>
            <w:tcW w:w="772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Plan</w:t>
            </w:r>
            <w:r>
              <w:rPr>
                <w:rFonts w:ascii="Times New Roman" w:cs="Times New Roman" w:eastAsia="Times New Roman" w:hAnsi="Times New Roman"/>
                <w:sz w:val="19"/>
                <w:szCs w:val="19"/>
                <w:color w:val="auto"/>
              </w:rPr>
              <w:t>” means this 2016 Short Term Plan of the Corporation.</w:t>
            </w:r>
          </w:p>
        </w:tc>
      </w:tr>
      <w:tr>
        <w:trPr>
          <w:trHeight w:val="413"/>
        </w:trPr>
        <w:tc>
          <w:tcPr>
            <w:tcW w:w="3720" w:type="dxa"/>
            <w:vAlign w:val="bottom"/>
          </w:tcPr>
          <w:p>
            <w:pPr>
              <w:jc w:val="center"/>
              <w:ind w:right="18"/>
              <w:spacing w:after="0"/>
              <w:rPr>
                <w:sz w:val="20"/>
                <w:szCs w:val="20"/>
                <w:color w:val="auto"/>
              </w:rPr>
            </w:pPr>
            <w:r>
              <w:rPr>
                <w:rFonts w:ascii="Times New Roman" w:cs="Times New Roman" w:eastAsia="Times New Roman" w:hAnsi="Times New Roman"/>
                <w:sz w:val="21"/>
                <w:szCs w:val="21"/>
                <w:color w:val="auto"/>
              </w:rPr>
              <w:t>(i)</w:t>
            </w:r>
          </w:p>
        </w:tc>
        <w:tc>
          <w:tcPr>
            <w:tcW w:w="7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Short-Term Incentive Bonus</w:t>
            </w:r>
            <w:r>
              <w:rPr>
                <w:rFonts w:ascii="Times New Roman" w:cs="Times New Roman" w:eastAsia="Times New Roman" w:hAnsi="Times New Roman"/>
                <w:sz w:val="19"/>
                <w:szCs w:val="19"/>
                <w:color w:val="auto"/>
              </w:rPr>
              <w:t>” means the incentive compensation granted to an Eligible Executive</w:t>
            </w:r>
          </w:p>
        </w:tc>
      </w:tr>
      <w:tr>
        <w:trPr>
          <w:trHeight w:val="252"/>
        </w:trPr>
        <w:tc>
          <w:tcPr>
            <w:tcW w:w="37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pursuant to Section 4 of this Plan.</w:t>
            </w:r>
          </w:p>
        </w:tc>
        <w:tc>
          <w:tcPr>
            <w:tcW w:w="7720" w:type="dxa"/>
            <w:vAlign w:val="bottom"/>
          </w:tcPr>
          <w:p>
            <w:pPr>
              <w:spacing w:after="0"/>
              <w:rPr>
                <w:sz w:val="21"/>
                <w:szCs w:val="21"/>
                <w:color w:val="auto"/>
              </w:rPr>
            </w:pPr>
          </w:p>
        </w:tc>
      </w:tr>
      <w:tr>
        <w:trPr>
          <w:trHeight w:val="211"/>
        </w:trPr>
        <w:tc>
          <w:tcPr>
            <w:tcW w:w="3720" w:type="dxa"/>
            <w:vAlign w:val="bottom"/>
            <w:tcBorders>
              <w:bottom w:val="single" w:sz="8" w:color="9A9A9A"/>
            </w:tcBorders>
          </w:tcPr>
          <w:p>
            <w:pPr>
              <w:spacing w:after="0"/>
              <w:rPr>
                <w:sz w:val="18"/>
                <w:szCs w:val="18"/>
                <w:color w:val="auto"/>
              </w:rPr>
            </w:pPr>
          </w:p>
        </w:tc>
        <w:tc>
          <w:tcPr>
            <w:tcW w:w="77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52" w:name="page53"/>
    <w:bookmarkEnd w:id="52"/>
    <w:p>
      <w:pPr>
        <w:ind w:left="880" w:right="20" w:firstLine="810"/>
        <w:spacing w:after="0" w:line="274" w:lineRule="auto"/>
        <w:rPr>
          <w:sz w:val="20"/>
          <w:szCs w:val="20"/>
          <w:color w:val="auto"/>
        </w:rPr>
      </w:pPr>
      <w:r>
        <w:rPr>
          <w:rFonts w:ascii="Times New Roman" w:cs="Times New Roman" w:eastAsia="Times New Roman" w:hAnsi="Times New Roman"/>
          <w:sz w:val="21"/>
          <w:szCs w:val="21"/>
          <w:color w:val="auto"/>
        </w:rPr>
        <w:t xml:space="preserve">(j)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Subsidiary</w:t>
      </w:r>
      <w:r>
        <w:rPr>
          <w:rFonts w:ascii="Times New Roman" w:cs="Times New Roman" w:eastAsia="Times New Roman" w:hAnsi="Times New Roman"/>
          <w:sz w:val="19"/>
          <w:szCs w:val="19"/>
          <w:color w:val="auto"/>
        </w:rPr>
        <w:t>” means a corporation at least 50% of the total combined voting power of all classes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stock which is owned by the Corporation, either directly or through one or more other Subsidiaries.</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b w:val="1"/>
          <w:bCs w:val="1"/>
          <w:color w:val="auto"/>
        </w:rPr>
        <w:t xml:space="preserve">Section 2. </w:t>
      </w:r>
      <w:r>
        <w:rPr>
          <w:rFonts w:ascii="Times New Roman" w:cs="Times New Roman" w:eastAsia="Times New Roman" w:hAnsi="Times New Roman"/>
          <w:sz w:val="19"/>
          <w:szCs w:val="19"/>
          <w:b w:val="1"/>
          <w:bCs w:val="1"/>
          <w:color w:val="auto"/>
        </w:rPr>
        <w:t>Administration</w:t>
      </w:r>
      <w:r>
        <w:rPr>
          <w:rFonts w:ascii="Times New Roman" w:cs="Times New Roman" w:eastAsia="Times New Roman" w:hAnsi="Times New Roman"/>
          <w:sz w:val="19"/>
          <w:szCs w:val="19"/>
          <w:color w:val="auto"/>
        </w:rPr>
        <w:t>. This Plan will be administered by the Committee. In addition to any other powers granted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Committee, the Committee will have the following powers:</w:t>
      </w:r>
    </w:p>
    <w:p>
      <w:pPr>
        <w:sectPr>
          <w:pgSz w:w="11900" w:h="16838" w:orient="portrait"/>
          <w:cols w:equalWidth="0" w:num="1">
            <w:col w:w="11400"/>
          </w:cols>
          <w:pgMar w:left="240" w:top="114" w:right="259" w:bottom="1440" w:gutter="0" w:footer="0" w:header="0"/>
        </w:sectPr>
      </w:pPr>
    </w:p>
    <w:p>
      <w:pPr>
        <w:spacing w:after="0" w:line="18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1"/>
          <w:szCs w:val="21"/>
          <w:color w:val="auto"/>
        </w:rPr>
        <w:t>(a)</w:t>
      </w:r>
    </w:p>
    <w:p>
      <w:pPr>
        <w:spacing w:after="0" w:line="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this Plan to Eligible Executives;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determine whether and to what extent Short-Term Incentive Bonuses are to be granted under</w:t>
      </w:r>
    </w:p>
    <w:p>
      <w:pPr>
        <w:spacing w:after="0" w:line="421" w:lineRule="exact"/>
        <w:rPr>
          <w:sz w:val="20"/>
          <w:szCs w:val="20"/>
          <w:color w:val="auto"/>
        </w:rPr>
      </w:pPr>
    </w:p>
    <w:p>
      <w:pPr>
        <w:sectPr>
          <w:pgSz w:w="11900" w:h="16838" w:orient="portrait"/>
          <w:cols w:equalWidth="0" w:num="2">
            <w:col w:w="3360" w:space="460"/>
            <w:col w:w="7580"/>
          </w:cols>
          <w:pgMar w:left="240" w:top="114" w:right="259" w:bottom="1440" w:gutter="0" w:footer="0" w:header="0"/>
          <w:type w:val="continuous"/>
        </w:sectPr>
      </w:pPr>
    </w:p>
    <w:p>
      <w:pPr>
        <w:ind w:left="880" w:right="120" w:firstLine="810"/>
        <w:spacing w:after="0" w:line="253" w:lineRule="exact"/>
        <w:rPr>
          <w:sz w:val="20"/>
          <w:szCs w:val="20"/>
          <w:color w:val="auto"/>
        </w:rPr>
      </w:pPr>
      <w:r>
        <w:rPr>
          <w:rFonts w:ascii="Times New Roman" w:cs="Times New Roman" w:eastAsia="Times New Roman" w:hAnsi="Times New Roman"/>
          <w:sz w:val="21"/>
          <w:szCs w:val="21"/>
          <w:color w:val="auto"/>
        </w:rPr>
        <w:t xml:space="preserve">(b) </w:t>
      </w:r>
      <w:r>
        <w:rPr>
          <w:rFonts w:ascii="Times New Roman" w:cs="Times New Roman" w:eastAsia="Times New Roman" w:hAnsi="Times New Roman"/>
          <w:sz w:val="19"/>
          <w:szCs w:val="19"/>
          <w:color w:val="auto"/>
        </w:rPr>
        <w:t>to determine whether the performance metrics required to receive Short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Incentive Bonuses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have been satisfied and to what extent they have been satisfied;</w:t>
      </w:r>
    </w:p>
    <w:p>
      <w:pPr>
        <w:sectPr>
          <w:pgSz w:w="11900" w:h="16838" w:orient="portrait"/>
          <w:cols w:equalWidth="0" w:num="1">
            <w:col w:w="11400"/>
          </w:cols>
          <w:pgMar w:left="240" w:top="114" w:right="259" w:bottom="1440" w:gutter="0" w:footer="0" w:header="0"/>
          <w:type w:val="continuous"/>
        </w:sectPr>
      </w:pPr>
    </w:p>
    <w:p>
      <w:pPr>
        <w:spacing w:after="0" w:line="17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(c)</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construe and interpret this Plan;</w:t>
      </w:r>
    </w:p>
    <w:p>
      <w:pPr>
        <w:spacing w:after="0" w:line="198" w:lineRule="exact"/>
        <w:rPr>
          <w:sz w:val="20"/>
          <w:szCs w:val="20"/>
          <w:color w:val="auto"/>
        </w:rPr>
      </w:pPr>
    </w:p>
    <w:p>
      <w:pPr>
        <w:sectPr>
          <w:pgSz w:w="11900" w:h="16838" w:orient="portrait"/>
          <w:cols w:equalWidth="0" w:num="2">
            <w:col w:w="3100" w:space="720"/>
            <w:col w:w="7580"/>
          </w:cols>
          <w:pgMar w:left="240" w:top="114" w:right="259" w:bottom="1440" w:gutter="0" w:footer="0" w:header="0"/>
          <w:type w:val="continuous"/>
        </w:sectPr>
      </w:pPr>
    </w:p>
    <w:p>
      <w:pPr>
        <w:ind w:left="1700"/>
        <w:spacing w:after="0" w:line="242" w:lineRule="exact"/>
        <w:tabs>
          <w:tab w:leader="none" w:pos="3820" w:val="left"/>
        </w:tabs>
        <w:rPr>
          <w:sz w:val="20"/>
          <w:szCs w:val="20"/>
          <w:color w:val="auto"/>
        </w:rPr>
      </w:pPr>
      <w:r>
        <w:rPr>
          <w:rFonts w:ascii="Times New Roman" w:cs="Times New Roman" w:eastAsia="Times New Roman" w:hAnsi="Times New Roman"/>
          <w:sz w:val="21"/>
          <w:szCs w:val="21"/>
          <w:color w:val="auto"/>
        </w:rPr>
        <w:t>(d)</w:t>
      </w:r>
      <w:r>
        <w:rPr>
          <w:sz w:val="20"/>
          <w:szCs w:val="20"/>
          <w:color w:val="auto"/>
        </w:rPr>
        <w:tab/>
      </w:r>
      <w:r>
        <w:rPr>
          <w:rFonts w:ascii="Times New Roman" w:cs="Times New Roman" w:eastAsia="Times New Roman" w:hAnsi="Times New Roman"/>
          <w:sz w:val="19"/>
          <w:szCs w:val="19"/>
          <w:color w:val="auto"/>
        </w:rPr>
        <w:t>to require, at the time Short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Incentive Bonuses are to be paid, the making of any</w:t>
      </w:r>
    </w:p>
    <w:p>
      <w:pPr>
        <w:sectPr>
          <w:pgSz w:w="11900" w:h="16838" w:orient="portrait"/>
          <w:cols w:equalWidth="0" w:num="1">
            <w:col w:w="11400"/>
          </w:cols>
          <w:pgMar w:left="240" w:top="114" w:right="259" w:bottom="1440" w:gutter="0" w:footer="0" w:header="0"/>
          <w:type w:val="continuous"/>
        </w:sectPr>
      </w:pPr>
    </w:p>
    <w:p>
      <w:pPr>
        <w:spacing w:after="0" w:line="61" w:lineRule="exact"/>
        <w:rPr>
          <w:sz w:val="20"/>
          <w:szCs w:val="20"/>
          <w:color w:val="auto"/>
        </w:rPr>
      </w:pPr>
    </w:p>
    <w:p>
      <w:pPr>
        <w:ind w:left="880" w:right="380"/>
        <w:spacing w:after="0" w:line="234" w:lineRule="auto"/>
        <w:rPr>
          <w:sz w:val="20"/>
          <w:szCs w:val="20"/>
          <w:color w:val="auto"/>
        </w:rPr>
      </w:pPr>
      <w:r>
        <w:rPr>
          <w:rFonts w:ascii="Times New Roman" w:cs="Times New Roman" w:eastAsia="Times New Roman" w:hAnsi="Times New Roman"/>
          <w:sz w:val="19"/>
          <w:szCs w:val="19"/>
          <w:color w:val="auto"/>
        </w:rPr>
        <w:t>representations or agreements that the Committee may deem necessary or advisable in order for the Corporation to comply with the securities laws of the United States of America or of any state or any rule or regulation thereunder;</w:t>
      </w:r>
    </w:p>
    <w:p>
      <w:pPr>
        <w:sectPr>
          <w:pgSz w:w="11900" w:h="16838" w:orient="portrait"/>
          <w:cols w:equalWidth="0" w:num="1">
            <w:col w:w="11400"/>
          </w:cols>
          <w:pgMar w:left="240" w:top="114" w:right="259" w:bottom="1440" w:gutter="0" w:footer="0" w:header="0"/>
          <w:type w:val="continuous"/>
        </w:sectPr>
      </w:pPr>
    </w:p>
    <w:p>
      <w:pPr>
        <w:spacing w:after="0" w:line="17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provide for satisfaction of an Eligible Executive’s tax liabilities arising in connection with this</w:t>
      </w:r>
    </w:p>
    <w:p>
      <w:pPr>
        <w:spacing w:after="0" w:line="38" w:lineRule="exact"/>
        <w:rPr>
          <w:sz w:val="20"/>
          <w:szCs w:val="20"/>
          <w:color w:val="auto"/>
        </w:rPr>
      </w:pPr>
    </w:p>
    <w:p>
      <w:pPr>
        <w:sectPr>
          <w:pgSz w:w="11900" w:h="16838" w:orient="portrait"/>
          <w:cols w:equalWidth="0" w:num="2">
            <w:col w:w="3100" w:space="720"/>
            <w:col w:w="7580"/>
          </w:cols>
          <w:pgMar w:left="240" w:top="114" w:right="25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9"/>
          <w:szCs w:val="19"/>
          <w:color w:val="auto"/>
        </w:rPr>
        <w:t>Plan; and</w:t>
      </w:r>
    </w:p>
    <w:p>
      <w:pPr>
        <w:sectPr>
          <w:pgSz w:w="11900" w:h="16838" w:orient="portrait"/>
          <w:cols w:equalWidth="0" w:num="1">
            <w:col w:w="11400"/>
          </w:cols>
          <w:pgMar w:left="240" w:top="114" w:right="259" w:bottom="1440" w:gutter="0" w:footer="0" w:header="0"/>
          <w:type w:val="continuous"/>
        </w:sectPr>
      </w:pPr>
    </w:p>
    <w:p>
      <w:pPr>
        <w:spacing w:after="0" w:line="17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1"/>
          <w:szCs w:val="21"/>
          <w:color w:val="auto"/>
        </w:rPr>
        <w:t>(f)</w:t>
      </w:r>
    </w:p>
    <w:p>
      <w:pPr>
        <w:spacing w:after="0" w:line="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administration of this Plan.</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9"/>
          <w:szCs w:val="19"/>
          <w:color w:val="auto"/>
        </w:rPr>
        <w:t>to make all other determinations and take all other actions necessary or advisable for the</w:t>
      </w:r>
    </w:p>
    <w:p>
      <w:pPr>
        <w:spacing w:after="0" w:line="439" w:lineRule="exact"/>
        <w:rPr>
          <w:sz w:val="20"/>
          <w:szCs w:val="20"/>
          <w:color w:val="auto"/>
        </w:rPr>
      </w:pPr>
    </w:p>
    <w:p>
      <w:pPr>
        <w:sectPr>
          <w:pgSz w:w="11900" w:h="16838" w:orient="portrait"/>
          <w:cols w:equalWidth="0" w:num="2">
            <w:col w:w="3080" w:space="720"/>
            <w:col w:w="7600"/>
          </w:cols>
          <w:pgMar w:left="240" w:top="114" w:right="25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9"/>
          <w:szCs w:val="19"/>
          <w:color w:val="auto"/>
        </w:rPr>
        <w:t>Any determinations or actions made or taken by the Committee pursuant to this Section 2 will be binding and final.</w:t>
      </w:r>
    </w:p>
    <w:p>
      <w:pPr>
        <w:spacing w:after="0" w:line="207" w:lineRule="exact"/>
        <w:rPr>
          <w:sz w:val="20"/>
          <w:szCs w:val="20"/>
          <w:color w:val="auto"/>
        </w:rPr>
      </w:pPr>
    </w:p>
    <w:p>
      <w:pPr>
        <w:ind w:firstLine="878"/>
        <w:spacing w:after="0" w:line="265" w:lineRule="exact"/>
        <w:rPr>
          <w:sz w:val="20"/>
          <w:szCs w:val="20"/>
          <w:color w:val="auto"/>
        </w:rPr>
      </w:pPr>
      <w:r>
        <w:rPr>
          <w:rFonts w:ascii="Times New Roman" w:cs="Times New Roman" w:eastAsia="Times New Roman" w:hAnsi="Times New Roman"/>
          <w:sz w:val="21"/>
          <w:szCs w:val="21"/>
          <w:b w:val="1"/>
          <w:bCs w:val="1"/>
          <w:color w:val="auto"/>
        </w:rPr>
        <w:t xml:space="preserve">Section 3. </w:t>
      </w:r>
      <w:r>
        <w:rPr>
          <w:rFonts w:ascii="Times New Roman" w:cs="Times New Roman" w:eastAsia="Times New Roman" w:hAnsi="Times New Roman"/>
          <w:sz w:val="19"/>
          <w:szCs w:val="19"/>
          <w:b w:val="1"/>
          <w:bCs w:val="1"/>
          <w:color w:val="auto"/>
        </w:rPr>
        <w:t>Eligibility</w:t>
      </w:r>
      <w:r>
        <w:rPr>
          <w:rFonts w:ascii="Times New Roman" w:cs="Times New Roman" w:eastAsia="Times New Roman" w:hAnsi="Times New Roman"/>
          <w:sz w:val="19"/>
          <w:szCs w:val="19"/>
          <w:color w:val="auto"/>
        </w:rPr>
        <w:t>. The individuals holding the following executive officer positions of the Corporation on the Effective Date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be eligible to receive Short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Incentive Bonuses under this Plan:</w:t>
      </w:r>
    </w:p>
    <w:p>
      <w:pPr>
        <w:sectPr>
          <w:pgSz w:w="11900" w:h="16838" w:orient="portrait"/>
          <w:cols w:equalWidth="0" w:num="1">
            <w:col w:w="11400"/>
          </w:cols>
          <w:pgMar w:left="240" w:top="114" w:right="259" w:bottom="1440" w:gutter="0" w:footer="0" w:header="0"/>
          <w:type w:val="continuous"/>
        </w:sectPr>
      </w:pPr>
    </w:p>
    <w:p>
      <w:pPr>
        <w:spacing w:after="0" w:line="15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(a)</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President and Chief Executive Officer</w:t>
      </w:r>
    </w:p>
    <w:p>
      <w:pPr>
        <w:spacing w:after="0" w:line="200" w:lineRule="exact"/>
        <w:rPr>
          <w:sz w:val="20"/>
          <w:szCs w:val="20"/>
          <w:color w:val="auto"/>
        </w:rPr>
      </w:pPr>
    </w:p>
    <w:p>
      <w:pPr>
        <w:sectPr>
          <w:pgSz w:w="11900" w:h="16838" w:orient="portrait"/>
          <w:cols w:equalWidth="0" w:num="2">
            <w:col w:w="3100" w:space="720"/>
            <w:col w:w="7580"/>
          </w:cols>
          <w:pgMar w:left="240" w:top="114" w:right="259" w:bottom="1440" w:gutter="0" w:footer="0" w:header="0"/>
          <w:type w:val="continuous"/>
        </w:sectPr>
      </w:pPr>
    </w:p>
    <w:p>
      <w:pPr>
        <w:spacing w:after="0" w:line="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(b)</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Executive Vice President and Chief Financial Officer; and</w:t>
      </w:r>
    </w:p>
    <w:p>
      <w:pPr>
        <w:spacing w:after="0" w:line="200" w:lineRule="exact"/>
        <w:rPr>
          <w:sz w:val="20"/>
          <w:szCs w:val="20"/>
          <w:color w:val="auto"/>
        </w:rPr>
      </w:pPr>
    </w:p>
    <w:p>
      <w:pPr>
        <w:sectPr>
          <w:pgSz w:w="11900" w:h="16838" w:orient="portrait"/>
          <w:cols w:equalWidth="0" w:num="2">
            <w:col w:w="3120" w:space="720"/>
            <w:col w:w="7560"/>
          </w:cols>
          <w:pgMar w:left="240" w:top="114" w:right="259" w:bottom="1440" w:gutter="0" w:footer="0" w:header="0"/>
          <w:type w:val="continuous"/>
        </w:sectPr>
      </w:pPr>
    </w:p>
    <w:p>
      <w:pPr>
        <w:spacing w:after="0" w:line="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(c)</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Executive Vice President and General Counsel.</w:t>
      </w:r>
    </w:p>
    <w:p>
      <w:pPr>
        <w:spacing w:after="0" w:line="198" w:lineRule="exact"/>
        <w:rPr>
          <w:sz w:val="20"/>
          <w:szCs w:val="20"/>
          <w:color w:val="auto"/>
        </w:rPr>
      </w:pPr>
    </w:p>
    <w:p>
      <w:pPr>
        <w:sectPr>
          <w:pgSz w:w="11900" w:h="16838" w:orient="portrait"/>
          <w:cols w:equalWidth="0" w:num="2">
            <w:col w:w="3100" w:space="720"/>
            <w:col w:w="7580"/>
          </w:cols>
          <w:pgMar w:left="240" w:top="114" w:right="259" w:bottom="1440" w:gutter="0" w:footer="0" w:header="0"/>
          <w:type w:val="continuous"/>
        </w:sectPr>
      </w:pPr>
    </w:p>
    <w:p>
      <w:pPr>
        <w:ind w:right="80" w:firstLine="878"/>
        <w:spacing w:after="0" w:line="243" w:lineRule="exact"/>
        <w:rPr>
          <w:sz w:val="20"/>
          <w:szCs w:val="20"/>
          <w:color w:val="auto"/>
        </w:rPr>
      </w:pPr>
      <w:r>
        <w:rPr>
          <w:rFonts w:ascii="Times New Roman" w:cs="Times New Roman" w:eastAsia="Times New Roman" w:hAnsi="Times New Roman"/>
          <w:sz w:val="21"/>
          <w:szCs w:val="21"/>
          <w:b w:val="1"/>
          <w:bCs w:val="1"/>
          <w:color w:val="auto"/>
        </w:rPr>
        <w:t xml:space="preserve">Section 4. </w:t>
      </w:r>
      <w:r>
        <w:rPr>
          <w:rFonts w:ascii="Times New Roman" w:cs="Times New Roman" w:eastAsia="Times New Roman" w:hAnsi="Times New Roman"/>
          <w:sz w:val="19"/>
          <w:szCs w:val="19"/>
          <w:b w:val="1"/>
          <w:bCs w:val="1"/>
          <w:color w:val="auto"/>
        </w:rPr>
        <w:t>Short</w:t>
      </w:r>
      <w:r>
        <w:rPr>
          <w:rFonts w:ascii="MS PGothic" w:cs="MS PGothic" w:eastAsia="MS PGothic" w:hAnsi="MS PGothic"/>
          <w:sz w:val="19"/>
          <w:szCs w:val="19"/>
          <w:color w:val="auto"/>
          <w:strike w:val="1"/>
        </w:rPr>
        <w:t>‑</w:t>
      </w:r>
      <w:r>
        <w:rPr>
          <w:rFonts w:ascii="Times New Roman" w:cs="Times New Roman" w:eastAsia="Times New Roman" w:hAnsi="Times New Roman"/>
          <w:sz w:val="19"/>
          <w:szCs w:val="19"/>
          <w:b w:val="1"/>
          <w:bCs w:val="1"/>
          <w:color w:val="auto"/>
        </w:rPr>
        <w:t>Term Incentive Bonuses</w:t>
      </w:r>
      <w:r>
        <w:rPr>
          <w:rFonts w:ascii="Times New Roman" w:cs="Times New Roman" w:eastAsia="Times New Roman" w:hAnsi="Times New Roman"/>
          <w:sz w:val="19"/>
          <w:szCs w:val="19"/>
          <w:color w:val="auto"/>
        </w:rPr>
        <w:t>. Short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Incentive Bonuses shall be awarded to the Eligible Executives as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 xml:space="preserve">this Section 4 and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to this Plan. Short-Term Incentive Bonuses shall be payable in cash upon the attainment of the criteria set forth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as the Committee shall determine, in its sole discretion.</w:t>
      </w:r>
    </w:p>
    <w:p>
      <w:pPr>
        <w:spacing w:after="0" w:line="176" w:lineRule="exact"/>
        <w:rPr>
          <w:sz w:val="20"/>
          <w:szCs w:val="20"/>
          <w:color w:val="auto"/>
        </w:rPr>
      </w:pPr>
    </w:p>
    <w:p>
      <w:pPr>
        <w:ind w:right="120" w:firstLine="878"/>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Section 5. </w:t>
      </w:r>
      <w:r>
        <w:rPr>
          <w:rFonts w:ascii="Times New Roman" w:cs="Times New Roman" w:eastAsia="Times New Roman" w:hAnsi="Times New Roman"/>
          <w:sz w:val="19"/>
          <w:szCs w:val="19"/>
          <w:b w:val="1"/>
          <w:bCs w:val="1"/>
          <w:color w:val="auto"/>
        </w:rPr>
        <w:t>Termination or Amendment</w:t>
      </w:r>
      <w:r>
        <w:rPr>
          <w:rFonts w:ascii="Times New Roman" w:cs="Times New Roman" w:eastAsia="Times New Roman" w:hAnsi="Times New Roman"/>
          <w:sz w:val="19"/>
          <w:szCs w:val="19"/>
          <w:color w:val="auto"/>
        </w:rPr>
        <w:t>. The Board may amend or terminate this Plan in any respect at any time. Board approval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must be accompanied by (a) stockholder approval in those cases in which amendment requires stockholder approval under applicable law or regulations or the requirements of the principal exchange or interdealer quotation system on which the shares of common stock of the Corporation are listed or quoted, and (b) affected Eligible Executive approval if the amendment or termination would adversely affect the holder’s rights under any outstanding grants or Awards. The</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29234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type w:val="continuous"/>
        </w:sectPr>
      </w:pPr>
    </w:p>
    <w:bookmarkStart w:id="53" w:name="page54"/>
    <w:bookmarkEnd w:id="53"/>
    <w:p>
      <w:pPr>
        <w:ind w:right="260"/>
        <w:spacing w:after="0" w:line="242" w:lineRule="exact"/>
        <w:rPr>
          <w:sz w:val="20"/>
          <w:szCs w:val="20"/>
          <w:color w:val="auto"/>
        </w:rPr>
      </w:pPr>
      <w:r>
        <w:rPr>
          <w:rFonts w:ascii="Times New Roman" w:cs="Times New Roman" w:eastAsia="Times New Roman" w:hAnsi="Times New Roman"/>
          <w:sz w:val="19"/>
          <w:szCs w:val="19"/>
          <w:color w:val="auto"/>
        </w:rPr>
        <w:t>Short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Incentive Bonus provisions may be wholly or partially amended or otherwise modified, suspended or terminated at any time or from time to time by the Committee or the Board. To the extent required by Section 162(m) of the Code with respect to bonus Awards that the Committee determines should qualify as performance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based compensation as described in Section 162(m)(4)(C), no action may modify the performance criteria or bonus potentials after the commencement of the measurement period with respect to which such bonus Awards relate.</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b w:val="1"/>
          <w:bCs w:val="1"/>
          <w:color w:val="auto"/>
        </w:rPr>
        <w:t xml:space="preserve">Section 6. </w:t>
      </w:r>
      <w:r>
        <w:rPr>
          <w:rFonts w:ascii="Times New Roman" w:cs="Times New Roman" w:eastAsia="Times New Roman" w:hAnsi="Times New Roman"/>
          <w:sz w:val="19"/>
          <w:szCs w:val="19"/>
          <w:b w:val="1"/>
          <w:bCs w:val="1"/>
          <w:color w:val="auto"/>
        </w:rPr>
        <w:t>Effectiveness of this Plan</w:t>
      </w:r>
      <w:r>
        <w:rPr>
          <w:rFonts w:ascii="Times New Roman" w:cs="Times New Roman" w:eastAsia="Times New Roman" w:hAnsi="Times New Roman"/>
          <w:sz w:val="19"/>
          <w:szCs w:val="19"/>
          <w:color w:val="auto"/>
        </w:rPr>
        <w:t>. This Plan is effective as of the Effective Date which is the date of adoption of this Plan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Board.</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b w:val="1"/>
          <w:bCs w:val="1"/>
          <w:color w:val="auto"/>
        </w:rPr>
        <w:t xml:space="preserve">Section 7. </w:t>
      </w:r>
      <w:r>
        <w:rPr>
          <w:rFonts w:ascii="Times New Roman" w:cs="Times New Roman" w:eastAsia="Times New Roman" w:hAnsi="Times New Roman"/>
          <w:sz w:val="19"/>
          <w:szCs w:val="19"/>
          <w:b w:val="1"/>
          <w:bCs w:val="1"/>
          <w:color w:val="auto"/>
        </w:rPr>
        <w:t>Term of this Plan</w:t>
      </w:r>
      <w:r>
        <w:rPr>
          <w:rFonts w:ascii="Times New Roman" w:cs="Times New Roman" w:eastAsia="Times New Roman" w:hAnsi="Times New Roman"/>
          <w:sz w:val="19"/>
          <w:szCs w:val="19"/>
          <w:color w:val="auto"/>
        </w:rPr>
        <w:t>. This Plan will terminate on the date all benefits anticipated by this Plan have been paid.</w:t>
      </w:r>
    </w:p>
    <w:p>
      <w:pPr>
        <w:spacing w:after="0" w:line="206" w:lineRule="exact"/>
        <w:rPr>
          <w:sz w:val="20"/>
          <w:szCs w:val="20"/>
          <w:color w:val="auto"/>
        </w:rPr>
      </w:pPr>
    </w:p>
    <w:p>
      <w:pPr>
        <w:ind w:right="40" w:firstLine="878"/>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Section 8. </w:t>
      </w:r>
      <w:r>
        <w:rPr>
          <w:rFonts w:ascii="Times New Roman" w:cs="Times New Roman" w:eastAsia="Times New Roman" w:hAnsi="Times New Roman"/>
          <w:sz w:val="19"/>
          <w:szCs w:val="19"/>
          <w:b w:val="1"/>
          <w:bCs w:val="1"/>
          <w:color w:val="auto"/>
        </w:rPr>
        <w:t>Indemnification of Committee</w:t>
      </w:r>
      <w:r>
        <w:rPr>
          <w:rFonts w:ascii="Times New Roman" w:cs="Times New Roman" w:eastAsia="Times New Roman" w:hAnsi="Times New Roman"/>
          <w:sz w:val="19"/>
          <w:szCs w:val="19"/>
          <w:color w:val="auto"/>
        </w:rPr>
        <w:t>. In addition to such other rights of indemnification as they may have as directors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Corporation or as members of the Committee, the members of the Committee will be indemnified by the Corporation against the reasonable expenses, including attorneys’ fees, actually and reasonably incurred in connection with the defense of any action, suit or proceeding, or in connection with any appeal therein, to which they or any of them may be a party by reason of any action taken or failure to act under or in connection with this Plan or any grant or Award hereunder, and against all amounts reasonably paid by them in settlement thereof or paid by them in satisfaction of a judgment in any such action, suit or proceeding, if such members acted in good faith and in a manner that they believed to be in, and not opposed to, the best interests of the Corporation.</w:t>
      </w:r>
    </w:p>
    <w:p>
      <w:pPr>
        <w:sectPr>
          <w:pgSz w:w="11900" w:h="16838" w:orient="portrait"/>
          <w:cols w:equalWidth="0" w:num="1">
            <w:col w:w="11420"/>
          </w:cols>
          <w:pgMar w:left="240" w:top="99" w:right="239" w:bottom="1440" w:gutter="0" w:footer="0" w:header="0"/>
        </w:sectPr>
      </w:pPr>
    </w:p>
    <w:p>
      <w:pPr>
        <w:spacing w:after="0" w:line="16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Section 9.</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General Provisions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ectPr>
          <w:pgSz w:w="11900" w:h="16838" w:orient="portrait"/>
          <w:cols w:equalWidth="0" w:num="2">
            <w:col w:w="1740" w:space="120"/>
            <w:col w:w="9560"/>
          </w:cols>
          <w:pgMar w:left="240" w:top="99" w:right="239" w:bottom="1440" w:gutter="0" w:footer="0" w:header="0"/>
          <w:type w:val="continuous"/>
        </w:sectPr>
      </w:pPr>
    </w:p>
    <w:p>
      <w:pPr>
        <w:spacing w:after="0" w:line="15" w:lineRule="exact"/>
        <w:rPr>
          <w:sz w:val="20"/>
          <w:szCs w:val="20"/>
          <w:color w:val="auto"/>
        </w:rPr>
      </w:pPr>
    </w:p>
    <w:p>
      <w:pPr>
        <w:ind w:left="1700"/>
        <w:spacing w:after="0"/>
        <w:tabs>
          <w:tab w:leader="none" w:pos="380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19"/>
          <w:szCs w:val="19"/>
          <w:color w:val="auto"/>
        </w:rPr>
        <w:t>The establishment of this Plan will not confer upon any Eligible Executive or Employee, any legal</w:t>
      </w:r>
    </w:p>
    <w:p>
      <w:pPr>
        <w:sectPr>
          <w:pgSz w:w="11900" w:h="16838" w:orient="portrait"/>
          <w:cols w:equalWidth="0" w:num="1">
            <w:col w:w="11420"/>
          </w:cols>
          <w:pgMar w:left="240" w:top="99" w:right="239" w:bottom="1440" w:gutter="0" w:footer="0" w:header="0"/>
          <w:type w:val="continuous"/>
        </w:sectPr>
      </w:pPr>
    </w:p>
    <w:p>
      <w:pPr>
        <w:spacing w:after="0" w:line="34" w:lineRule="exact"/>
        <w:rPr>
          <w:sz w:val="20"/>
          <w:szCs w:val="20"/>
          <w:color w:val="auto"/>
        </w:rPr>
      </w:pPr>
    </w:p>
    <w:p>
      <w:pPr>
        <w:ind w:left="880" w:right="260"/>
        <w:spacing w:after="0" w:line="244" w:lineRule="auto"/>
        <w:rPr>
          <w:sz w:val="20"/>
          <w:szCs w:val="20"/>
          <w:color w:val="auto"/>
        </w:rPr>
      </w:pPr>
      <w:r>
        <w:rPr>
          <w:rFonts w:ascii="Times New Roman" w:cs="Times New Roman" w:eastAsia="Times New Roman" w:hAnsi="Times New Roman"/>
          <w:sz w:val="19"/>
          <w:szCs w:val="19"/>
          <w:color w:val="auto"/>
        </w:rPr>
        <w:t>or equitable right against the Corporation, any Subsidiary or the Committee, except as expressly provided in this Plan or employment agreement of the Eligible Executive, if any.</w:t>
      </w:r>
    </w:p>
    <w:p>
      <w:pPr>
        <w:spacing w:after="0" w:line="175" w:lineRule="exact"/>
        <w:rPr>
          <w:sz w:val="20"/>
          <w:szCs w:val="20"/>
          <w:color w:val="auto"/>
        </w:rPr>
      </w:pPr>
    </w:p>
    <w:p>
      <w:pPr>
        <w:ind w:left="880" w:right="140" w:firstLine="810"/>
        <w:spacing w:after="0" w:line="254" w:lineRule="auto"/>
        <w:rPr>
          <w:sz w:val="20"/>
          <w:szCs w:val="20"/>
          <w:color w:val="auto"/>
        </w:rPr>
      </w:pPr>
      <w:r>
        <w:rPr>
          <w:rFonts w:ascii="Times New Roman" w:cs="Times New Roman" w:eastAsia="Times New Roman" w:hAnsi="Times New Roman"/>
          <w:sz w:val="21"/>
          <w:szCs w:val="21"/>
          <w:color w:val="auto"/>
        </w:rPr>
        <w:t xml:space="preserve">(b) </w:t>
      </w:r>
      <w:r>
        <w:rPr>
          <w:rFonts w:ascii="Times New Roman" w:cs="Times New Roman" w:eastAsia="Times New Roman" w:hAnsi="Times New Roman"/>
          <w:sz w:val="19"/>
          <w:szCs w:val="19"/>
          <w:color w:val="auto"/>
        </w:rPr>
        <w:t>This Plan does not constitute inducement or consideration for the employment of any Employee,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nor is it a contract of employment between the Corporation or any Subsidiary and any Employee. Participation in this Plan, or the receipt of a grant or Award hereunder, will not give an Employee any right to be retained in the service of the Corporation or any Subsidiary.</w:t>
      </w:r>
    </w:p>
    <w:p>
      <w:pPr>
        <w:spacing w:after="0" w:line="400" w:lineRule="exact"/>
        <w:rPr>
          <w:sz w:val="20"/>
          <w:szCs w:val="20"/>
          <w:color w:val="auto"/>
        </w:rPr>
      </w:pPr>
    </w:p>
    <w:p>
      <w:pPr>
        <w:ind w:left="880" w:right="200" w:firstLine="810"/>
        <w:spacing w:after="0" w:line="276" w:lineRule="auto"/>
        <w:rPr>
          <w:sz w:val="20"/>
          <w:szCs w:val="20"/>
          <w:color w:val="auto"/>
        </w:rPr>
      </w:pPr>
      <w:r>
        <w:rPr>
          <w:rFonts w:ascii="Times New Roman" w:cs="Times New Roman" w:eastAsia="Times New Roman" w:hAnsi="Times New Roman"/>
          <w:sz w:val="21"/>
          <w:szCs w:val="21"/>
          <w:color w:val="auto"/>
        </w:rPr>
        <w:t xml:space="preserve">(c) </w:t>
      </w:r>
      <w:r>
        <w:rPr>
          <w:rFonts w:ascii="Times New Roman" w:cs="Times New Roman" w:eastAsia="Times New Roman" w:hAnsi="Times New Roman"/>
          <w:sz w:val="19"/>
          <w:szCs w:val="19"/>
          <w:color w:val="auto"/>
        </w:rPr>
        <w:t>The interests of any Employee under this Plan are not subject to the claims of creditors and may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not, in any way, be assigned, alienated or encumbered except as otherwise provided herein.</w:t>
      </w:r>
    </w:p>
    <w:p>
      <w:pPr>
        <w:spacing w:after="0" w:line="142" w:lineRule="exact"/>
        <w:rPr>
          <w:sz w:val="20"/>
          <w:szCs w:val="20"/>
          <w:color w:val="auto"/>
        </w:rPr>
      </w:pPr>
    </w:p>
    <w:p>
      <w:pPr>
        <w:ind w:left="1700"/>
        <w:spacing w:after="0"/>
        <w:tabs>
          <w:tab w:leader="none" w:pos="3820" w:val="left"/>
        </w:tabs>
        <w:rPr>
          <w:sz w:val="20"/>
          <w:szCs w:val="20"/>
          <w:color w:val="auto"/>
        </w:rPr>
      </w:pPr>
      <w:r>
        <w:rPr>
          <w:rFonts w:ascii="Times New Roman" w:cs="Times New Roman" w:eastAsia="Times New Roman" w:hAnsi="Times New Roman"/>
          <w:sz w:val="21"/>
          <w:szCs w:val="21"/>
          <w:color w:val="auto"/>
        </w:rPr>
        <w:t>(d)</w:t>
      </w:r>
      <w:r>
        <w:rPr>
          <w:sz w:val="20"/>
          <w:szCs w:val="20"/>
          <w:color w:val="auto"/>
        </w:rPr>
        <w:tab/>
      </w:r>
      <w:r>
        <w:rPr>
          <w:rFonts w:ascii="Times New Roman" w:cs="Times New Roman" w:eastAsia="Times New Roman" w:hAnsi="Times New Roman"/>
          <w:sz w:val="19"/>
          <w:szCs w:val="19"/>
          <w:color w:val="auto"/>
        </w:rPr>
        <w:t>The Corporation may withhold any federal, state or local taxes required with respect to any</w:t>
      </w:r>
    </w:p>
    <w:p>
      <w:pPr>
        <w:spacing w:after="0" w:line="22" w:lineRule="exact"/>
        <w:rPr>
          <w:sz w:val="20"/>
          <w:szCs w:val="20"/>
          <w:color w:val="auto"/>
        </w:rPr>
      </w:pPr>
    </w:p>
    <w:p>
      <w:pPr>
        <w:ind w:left="880" w:right="80"/>
        <w:spacing w:after="0" w:line="251" w:lineRule="auto"/>
        <w:rPr>
          <w:sz w:val="20"/>
          <w:szCs w:val="20"/>
          <w:color w:val="auto"/>
        </w:rPr>
      </w:pPr>
      <w:r>
        <w:rPr>
          <w:rFonts w:ascii="Times New Roman" w:cs="Times New Roman" w:eastAsia="Times New Roman" w:hAnsi="Times New Roman"/>
          <w:sz w:val="19"/>
          <w:szCs w:val="19"/>
          <w:color w:val="auto"/>
        </w:rPr>
        <w:t>distribution under this Plan. The Employee shall take whatever action the Committee deems appropriate with respect to withholding of taxes, including, but not limited to, the Employee remitting to the Corporation any taxes required to be withheld by the Corporation under federal, state or local law as a result of the distribution.</w:t>
      </w:r>
    </w:p>
    <w:p>
      <w:pPr>
        <w:spacing w:after="0" w:line="169" w:lineRule="exact"/>
        <w:rPr>
          <w:sz w:val="20"/>
          <w:szCs w:val="20"/>
          <w:color w:val="auto"/>
        </w:rPr>
      </w:pPr>
    </w:p>
    <w:p>
      <w:pPr>
        <w:ind w:left="880" w:right="320" w:firstLine="810"/>
        <w:spacing w:after="0" w:line="259" w:lineRule="auto"/>
        <w:rPr>
          <w:sz w:val="20"/>
          <w:szCs w:val="20"/>
          <w:color w:val="auto"/>
        </w:rPr>
      </w:pPr>
      <w:r>
        <w:rPr>
          <w:rFonts w:ascii="Times New Roman" w:cs="Times New Roman" w:eastAsia="Times New Roman" w:hAnsi="Times New Roman"/>
          <w:sz w:val="21"/>
          <w:szCs w:val="21"/>
          <w:color w:val="auto"/>
        </w:rPr>
        <w:t xml:space="preserve">(e) </w:t>
      </w:r>
      <w:r>
        <w:rPr>
          <w:rFonts w:ascii="Times New Roman" w:cs="Times New Roman" w:eastAsia="Times New Roman" w:hAnsi="Times New Roman"/>
          <w:sz w:val="19"/>
          <w:szCs w:val="19"/>
          <w:color w:val="auto"/>
        </w:rPr>
        <w:t>Notwithstanding anything contained herein to the contrary, this Plan shall be administered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operated in accordance with any applicable laws and regulations, including, but not limited to, Section 409A of the Code. The Corporation reserves the right to amend this Plan at any time in order for this Plan to comply with any such laws and regulations.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29234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99" w:right="239" w:bottom="1440" w:gutter="0" w:footer="0" w:header="0"/>
          <w:type w:val="continuous"/>
        </w:sectPr>
      </w:pPr>
    </w:p>
    <w:bookmarkStart w:id="54" w:name="page55"/>
    <w:bookmarkEnd w:id="54"/>
    <w:p>
      <w:pPr>
        <w:ind w:left="1700"/>
        <w:spacing w:after="0"/>
        <w:rPr>
          <w:sz w:val="20"/>
          <w:szCs w:val="20"/>
          <w:color w:val="auto"/>
        </w:rPr>
      </w:pPr>
      <w:r>
        <w:rPr>
          <w:rFonts w:ascii="Times New Roman" w:cs="Times New Roman" w:eastAsia="Times New Roman" w:hAnsi="Times New Roman"/>
          <w:sz w:val="20"/>
          <w:szCs w:val="20"/>
          <w:color w:val="auto"/>
        </w:rPr>
        <w:t>(f)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This Plan will be governed, construed and administered in accordance with the laws of Delaware.</w:t>
      </w:r>
    </w:p>
    <w:p>
      <w:pPr>
        <w:spacing w:after="0" w:line="200" w:lineRule="exact"/>
        <w:rPr>
          <w:sz w:val="20"/>
          <w:szCs w:val="20"/>
          <w:color w:val="auto"/>
        </w:rPr>
      </w:pPr>
    </w:p>
    <w:p>
      <w:pPr>
        <w:sectPr>
          <w:pgSz w:w="11900" w:h="16838" w:orient="portrait"/>
          <w:cols w:equalWidth="0" w:num="2">
            <w:col w:w="3080" w:space="720"/>
            <w:col w:w="7720"/>
          </w:cols>
          <w:pgMar w:left="240" w:top="114" w:right="139" w:bottom="1440" w:gutter="0" w:footer="0" w:header="0"/>
        </w:sectPr>
      </w:pPr>
    </w:p>
    <w:p>
      <w:pPr>
        <w:spacing w:after="0" w:line="11" w:lineRule="exact"/>
        <w:rPr>
          <w:sz w:val="20"/>
          <w:szCs w:val="20"/>
          <w:color w:val="auto"/>
        </w:rPr>
      </w:pPr>
    </w:p>
    <w:p>
      <w:pPr>
        <w:ind w:left="1700"/>
        <w:spacing w:after="0"/>
        <w:tabs>
          <w:tab w:leader="none" w:pos="3820" w:val="left"/>
        </w:tabs>
        <w:rPr>
          <w:sz w:val="20"/>
          <w:szCs w:val="20"/>
          <w:color w:val="auto"/>
        </w:rPr>
      </w:pPr>
      <w:r>
        <w:rPr>
          <w:rFonts w:ascii="Times New Roman" w:cs="Times New Roman" w:eastAsia="Times New Roman" w:hAnsi="Times New Roman"/>
          <w:sz w:val="21"/>
          <w:szCs w:val="21"/>
          <w:color w:val="auto"/>
        </w:rPr>
        <w:t>(g)</w:t>
      </w:r>
      <w:r>
        <w:rPr>
          <w:sz w:val="20"/>
          <w:szCs w:val="20"/>
          <w:color w:val="auto"/>
        </w:rPr>
        <w:tab/>
      </w:r>
      <w:r>
        <w:rPr>
          <w:rFonts w:ascii="Times New Roman" w:cs="Times New Roman" w:eastAsia="Times New Roman" w:hAnsi="Times New Roman"/>
          <w:sz w:val="19"/>
          <w:szCs w:val="19"/>
          <w:color w:val="auto"/>
        </w:rPr>
        <w:t>If any provision of this Plan is held invalid or unenforceable, its invalidity or unenforceability</w:t>
      </w:r>
    </w:p>
    <w:p>
      <w:pPr>
        <w:sectPr>
          <w:pgSz w:w="11900" w:h="16838" w:orient="portrait"/>
          <w:cols w:equalWidth="0" w:num="1">
            <w:col w:w="11520"/>
          </w:cols>
          <w:pgMar w:left="240" w:top="114" w:right="139" w:bottom="1440" w:gutter="0" w:footer="0" w:header="0"/>
          <w:type w:val="continuous"/>
        </w:sectPr>
      </w:pPr>
    </w:p>
    <w:p>
      <w:pPr>
        <w:spacing w:after="0" w:line="34" w:lineRule="exact"/>
        <w:rPr>
          <w:sz w:val="20"/>
          <w:szCs w:val="20"/>
          <w:color w:val="auto"/>
        </w:rPr>
      </w:pPr>
    </w:p>
    <w:p>
      <w:pPr>
        <w:ind w:left="880" w:right="780"/>
        <w:spacing w:after="0" w:line="244" w:lineRule="auto"/>
        <w:rPr>
          <w:sz w:val="20"/>
          <w:szCs w:val="20"/>
          <w:color w:val="auto"/>
        </w:rPr>
      </w:pPr>
      <w:r>
        <w:rPr>
          <w:rFonts w:ascii="Times New Roman" w:cs="Times New Roman" w:eastAsia="Times New Roman" w:hAnsi="Times New Roman"/>
          <w:sz w:val="19"/>
          <w:szCs w:val="19"/>
          <w:color w:val="auto"/>
        </w:rPr>
        <w:t>shall not affect any other provisions of this Plan, and this Plan shall be construed and enforced as if such provision had not been included.</w:t>
      </w:r>
    </w:p>
    <w:p>
      <w:pPr>
        <w:spacing w:after="0" w:line="179" w:lineRule="exact"/>
        <w:rPr>
          <w:sz w:val="20"/>
          <w:szCs w:val="20"/>
          <w:color w:val="auto"/>
        </w:rPr>
      </w:pPr>
    </w:p>
    <w:p>
      <w:pPr>
        <w:ind w:right="200" w:firstLine="878"/>
        <w:spacing w:after="0" w:line="282" w:lineRule="auto"/>
        <w:rPr>
          <w:sz w:val="20"/>
          <w:szCs w:val="20"/>
          <w:color w:val="auto"/>
        </w:rPr>
      </w:pPr>
      <w:r>
        <w:rPr>
          <w:rFonts w:ascii="Times New Roman" w:cs="Times New Roman" w:eastAsia="Times New Roman" w:hAnsi="Times New Roman"/>
          <w:sz w:val="19"/>
          <w:szCs w:val="19"/>
          <w:color w:val="auto"/>
        </w:rPr>
        <w:t>IN WITNESS WHEREOF, the Corporation, by its duly authorized officer, has executed this Plan on the Effective Date as first set forth above and as duly authorized by the Board.</w:t>
      </w:r>
    </w:p>
    <w:p>
      <w:pPr>
        <w:spacing w:after="0" w:line="200" w:lineRule="exact"/>
        <w:rPr>
          <w:sz w:val="20"/>
          <w:szCs w:val="20"/>
          <w:color w:val="auto"/>
        </w:rPr>
      </w:pPr>
    </w:p>
    <w:p>
      <w:pPr>
        <w:spacing w:after="0" w:line="378" w:lineRule="exact"/>
        <w:rPr>
          <w:sz w:val="20"/>
          <w:szCs w:val="20"/>
          <w:color w:val="auto"/>
        </w:rPr>
      </w:pPr>
    </w:p>
    <w:tbl>
      <w:tblPr>
        <w:tblLayout w:type="fixed"/>
        <w:tblInd w:w="5720" w:type="dxa"/>
        <w:tblCellMar>
          <w:top w:w="0" w:type="dxa"/>
          <w:left w:w="0" w:type="dxa"/>
          <w:bottom w:w="0" w:type="dxa"/>
          <w:right w:w="0" w:type="dxa"/>
        </w:tblCellMar>
      </w:tblPr>
      <w:tr>
        <w:trPr>
          <w:trHeight w:val="252"/>
        </w:trPr>
        <w:tc>
          <w:tcPr>
            <w:tcW w:w="45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COMMUNICATIONS SALES &amp; LEASING, INC.</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6"/>
        </w:trPr>
        <w:tc>
          <w:tcPr>
            <w:tcW w:w="45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By:</w:t>
            </w:r>
          </w:p>
        </w:tc>
        <w:tc>
          <w:tcPr>
            <w:tcW w:w="94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w w:val="88"/>
              </w:rPr>
              <w:t>/s/</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Kenneth</w:t>
            </w:r>
          </w:p>
        </w:tc>
        <w:tc>
          <w:tcPr>
            <w:tcW w:w="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80" w:type="dxa"/>
            <w:vAlign w:val="bottom"/>
            <w:tcBorders>
              <w:bottom w:val="single" w:sz="8" w:color="auto"/>
            </w:tcBorders>
            <w:gridSpan w:val="2"/>
            <w:vMerge w:val="continue"/>
          </w:tcPr>
          <w:p>
            <w:pPr>
              <w:spacing w:after="0"/>
              <w:rPr>
                <w:sz w:val="17"/>
                <w:szCs w:val="17"/>
                <w:color w:val="auto"/>
              </w:rPr>
            </w:pPr>
          </w:p>
        </w:tc>
        <w:tc>
          <w:tcPr>
            <w:tcW w:w="1120" w:type="dxa"/>
            <w:vAlign w:val="bottom"/>
            <w:tcBorders>
              <w:bottom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9"/>
                <w:szCs w:val="19"/>
                <w:color w:val="auto"/>
              </w:rPr>
              <w:t>A.</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80" w:type="dxa"/>
            <w:vAlign w:val="bottom"/>
            <w:gridSpan w:val="2"/>
          </w:tcPr>
          <w:p>
            <w:pPr>
              <w:spacing w:after="0" w:line="204" w:lineRule="exact"/>
              <w:rPr>
                <w:sz w:val="20"/>
                <w:szCs w:val="20"/>
                <w:color w:val="auto"/>
              </w:rPr>
            </w:pPr>
            <w:r>
              <w:rPr>
                <w:rFonts w:ascii="Times New Roman" w:cs="Times New Roman" w:eastAsia="Times New Roman" w:hAnsi="Times New Roman"/>
                <w:sz w:val="19"/>
                <w:szCs w:val="19"/>
                <w:color w:val="auto"/>
              </w:rPr>
              <w:t>Gunderman</w:t>
            </w: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9"/>
                <w:szCs w:val="19"/>
                <w:color w:val="auto"/>
              </w:rPr>
              <w:t>Kenne</w:t>
            </w:r>
          </w:p>
        </w:tc>
        <w:tc>
          <w:tcPr>
            <w:tcW w:w="0" w:type="dxa"/>
            <w:vAlign w:val="bottom"/>
          </w:tcPr>
          <w:p>
            <w:pPr>
              <w:spacing w:after="0"/>
              <w:rPr>
                <w:sz w:val="1"/>
                <w:szCs w:val="1"/>
                <w:color w:val="auto"/>
              </w:rPr>
            </w:pPr>
          </w:p>
        </w:tc>
      </w:tr>
      <w:tr>
        <w:trPr>
          <w:trHeight w:val="220"/>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9"/>
                <w:szCs w:val="19"/>
                <w:color w:val="auto"/>
              </w:rPr>
              <w:t>Name:</w:t>
            </w:r>
          </w:p>
        </w:tc>
        <w:tc>
          <w:tcPr>
            <w:tcW w:w="3680" w:type="dxa"/>
            <w:vAlign w:val="bottom"/>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 Gunderman</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Title:</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Preside</w:t>
            </w:r>
          </w:p>
        </w:tc>
        <w:tc>
          <w:tcPr>
            <w:tcW w:w="0" w:type="dxa"/>
            <w:vAlign w:val="bottom"/>
          </w:tcPr>
          <w:p>
            <w:pPr>
              <w:spacing w:after="0"/>
              <w:rPr>
                <w:sz w:val="1"/>
                <w:szCs w:val="1"/>
                <w:color w:val="auto"/>
              </w:rPr>
            </w:pPr>
          </w:p>
        </w:tc>
      </w:tr>
      <w:tr>
        <w:trPr>
          <w:trHeight w:val="252"/>
        </w:trPr>
        <w:tc>
          <w:tcPr>
            <w:tcW w:w="45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and Chief Executive Officer</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29234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520"/>
          </w:cols>
          <w:pgMar w:left="240" w:top="114" w:right="139" w:bottom="1440" w:gutter="0" w:footer="0" w:header="0"/>
          <w:type w:val="continuous"/>
        </w:sectPr>
      </w:pPr>
    </w:p>
    <w:bookmarkStart w:id="55" w:name="page56"/>
    <w:bookmarkEnd w:id="55"/>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4460" w:type="dxa"/>
            <w:vAlign w:val="bottom"/>
            <w:gridSpan w:val="4"/>
          </w:tcPr>
          <w:p>
            <w:pPr>
              <w:jc w:val="center"/>
              <w:ind w:right="1000"/>
              <w:spacing w:after="0"/>
              <w:rPr>
                <w:sz w:val="20"/>
                <w:szCs w:val="20"/>
                <w:color w:val="auto"/>
              </w:rPr>
            </w:pPr>
            <w:r>
              <w:rPr>
                <w:rFonts w:ascii="Times New Roman" w:cs="Times New Roman" w:eastAsia="Times New Roman" w:hAnsi="Times New Roman"/>
                <w:sz w:val="19"/>
                <w:szCs w:val="19"/>
                <w:b w:val="1"/>
                <w:bCs w:val="1"/>
                <w:color w:val="auto"/>
              </w:rPr>
              <w:t>2016 Short Term Incentive Plan</w:t>
            </w:r>
          </w:p>
        </w:tc>
        <w:tc>
          <w:tcPr>
            <w:tcW w:w="2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8"/>
        </w:trPr>
        <w:tc>
          <w:tcPr>
            <w:tcW w:w="84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A.</w:t>
            </w:r>
          </w:p>
        </w:tc>
        <w:tc>
          <w:tcPr>
            <w:tcW w:w="31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Vesting based on the following:</w:t>
            </w:r>
          </w:p>
        </w:tc>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1.</w:t>
            </w:r>
          </w:p>
        </w:tc>
        <w:tc>
          <w:tcPr>
            <w:tcW w:w="71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9"/>
                <w:szCs w:val="19"/>
                <w:color w:val="auto"/>
              </w:rPr>
              <w:t>Stand Alone REIT Normalized AFFO</w:t>
            </w:r>
            <w:r>
              <w:rPr>
                <w:rFonts w:ascii="Times New Roman" w:cs="Times New Roman" w:eastAsia="Times New Roman" w:hAnsi="Times New Roman"/>
                <w:sz w:val="16"/>
                <w:szCs w:val="16"/>
                <w:color w:val="auto"/>
              </w:rPr>
              <w:t>(1)</w:t>
            </w:r>
            <w:r>
              <w:rPr>
                <w:rFonts w:ascii="Times New Roman" w:cs="Times New Roman" w:eastAsia="Times New Roman" w:hAnsi="Times New Roman"/>
                <w:sz w:val="19"/>
                <w:szCs w:val="19"/>
                <w:color w:val="auto"/>
              </w:rPr>
              <w:t xml:space="preserve"> for 2016 (50% weight):</w:t>
            </w:r>
          </w:p>
        </w:tc>
        <w:tc>
          <w:tcPr>
            <w:tcW w:w="256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360" w:type="dxa"/>
            <w:vAlign w:val="bottom"/>
            <w:tcBorders>
              <w:bottom w:val="single" w:sz="8" w:color="auto"/>
            </w:tcBorders>
            <w:shd w:val="clear" w:color="auto" w:fill="BFBFBF"/>
          </w:tcPr>
          <w:p>
            <w:pPr>
              <w:spacing w:after="0"/>
              <w:rPr>
                <w:sz w:val="18"/>
                <w:szCs w:val="18"/>
                <w:color w:val="auto"/>
              </w:rPr>
            </w:pPr>
          </w:p>
        </w:tc>
        <w:tc>
          <w:tcPr>
            <w:tcW w:w="500" w:type="dxa"/>
            <w:vAlign w:val="bottom"/>
            <w:tcBorders>
              <w:bottom w:val="single" w:sz="8" w:color="auto"/>
            </w:tcBorders>
            <w:shd w:val="clear" w:color="auto" w:fill="BFBFBF"/>
          </w:tcPr>
          <w:p>
            <w:pPr>
              <w:spacing w:after="0"/>
              <w:rPr>
                <w:sz w:val="18"/>
                <w:szCs w:val="18"/>
                <w:color w:val="auto"/>
              </w:rPr>
            </w:pPr>
          </w:p>
        </w:tc>
        <w:tc>
          <w:tcPr>
            <w:tcW w:w="2640" w:type="dxa"/>
            <w:vAlign w:val="bottom"/>
            <w:tcBorders>
              <w:bottom w:val="single" w:sz="8" w:color="auto"/>
              <w:right w:val="single" w:sz="8" w:color="auto"/>
            </w:tcBorders>
            <w:shd w:val="clear" w:color="auto" w:fill="BFBFBF"/>
          </w:tcPr>
          <w:p>
            <w:pPr>
              <w:jc w:val="center"/>
              <w:ind w:right="804"/>
              <w:spacing w:after="0" w:line="217" w:lineRule="exact"/>
              <w:rPr>
                <w:sz w:val="20"/>
                <w:szCs w:val="20"/>
                <w:color w:val="auto"/>
              </w:rPr>
            </w:pPr>
            <w:r>
              <w:rPr>
                <w:rFonts w:ascii="Times New Roman" w:cs="Times New Roman" w:eastAsia="Times New Roman" w:hAnsi="Times New Roman"/>
                <w:sz w:val="19"/>
                <w:szCs w:val="19"/>
                <w:b w:val="1"/>
                <w:bCs w:val="1"/>
                <w:color w:val="auto"/>
              </w:rPr>
              <w:t>Threshold</w:t>
            </w:r>
          </w:p>
        </w:tc>
        <w:tc>
          <w:tcPr>
            <w:tcW w:w="580" w:type="dxa"/>
            <w:vAlign w:val="bottom"/>
            <w:tcBorders>
              <w:bottom w:val="single" w:sz="8" w:color="auto"/>
              <w:right w:val="single" w:sz="8" w:color="BFBFBF"/>
            </w:tcBorders>
            <w:shd w:val="clear" w:color="auto" w:fill="BFBFBF"/>
          </w:tcPr>
          <w:p>
            <w:pPr>
              <w:spacing w:after="0"/>
              <w:rPr>
                <w:sz w:val="18"/>
                <w:szCs w:val="18"/>
                <w:color w:val="auto"/>
              </w:rPr>
            </w:pPr>
          </w:p>
        </w:tc>
        <w:tc>
          <w:tcPr>
            <w:tcW w:w="2920" w:type="dxa"/>
            <w:vAlign w:val="bottom"/>
            <w:tcBorders>
              <w:bottom w:val="single" w:sz="8" w:color="auto"/>
              <w:right w:val="single" w:sz="8" w:color="auto"/>
            </w:tcBorders>
            <w:shd w:val="clear" w:color="auto" w:fill="BFBFBF"/>
          </w:tcPr>
          <w:p>
            <w:pPr>
              <w:jc w:val="center"/>
              <w:ind w:right="524"/>
              <w:spacing w:after="0" w:line="217" w:lineRule="exact"/>
              <w:rPr>
                <w:sz w:val="20"/>
                <w:szCs w:val="20"/>
                <w:color w:val="auto"/>
              </w:rPr>
            </w:pPr>
            <w:r>
              <w:rPr>
                <w:rFonts w:ascii="Times New Roman" w:cs="Times New Roman" w:eastAsia="Times New Roman" w:hAnsi="Times New Roman"/>
                <w:sz w:val="19"/>
                <w:szCs w:val="19"/>
                <w:b w:val="1"/>
                <w:bCs w:val="1"/>
                <w:color w:val="auto"/>
                <w:w w:val="98"/>
              </w:rPr>
              <w:t>Target</w:t>
            </w:r>
          </w:p>
        </w:tc>
        <w:tc>
          <w:tcPr>
            <w:tcW w:w="520" w:type="dxa"/>
            <w:vAlign w:val="bottom"/>
            <w:tcBorders>
              <w:bottom w:val="single" w:sz="8" w:color="auto"/>
              <w:right w:val="single" w:sz="8" w:color="BFBFBF"/>
            </w:tcBorders>
            <w:shd w:val="clear" w:color="auto" w:fill="BFBFBF"/>
          </w:tcPr>
          <w:p>
            <w:pPr>
              <w:spacing w:after="0"/>
              <w:rPr>
                <w:sz w:val="18"/>
                <w:szCs w:val="18"/>
                <w:color w:val="auto"/>
              </w:rPr>
            </w:pPr>
          </w:p>
        </w:tc>
        <w:tc>
          <w:tcPr>
            <w:tcW w:w="440" w:type="dxa"/>
            <w:vAlign w:val="bottom"/>
            <w:tcBorders>
              <w:bottom w:val="single" w:sz="8" w:color="auto"/>
            </w:tcBorders>
            <w:shd w:val="clear" w:color="auto" w:fill="BFBFBF"/>
          </w:tcPr>
          <w:p>
            <w:pPr>
              <w:spacing w:after="0"/>
              <w:rPr>
                <w:sz w:val="18"/>
                <w:szCs w:val="18"/>
                <w:color w:val="auto"/>
              </w:rPr>
            </w:pPr>
          </w:p>
        </w:tc>
        <w:tc>
          <w:tcPr>
            <w:tcW w:w="2560" w:type="dxa"/>
            <w:vAlign w:val="bottom"/>
            <w:tcBorders>
              <w:bottom w:val="single" w:sz="8" w:color="auto"/>
              <w:right w:val="single" w:sz="8" w:color="auto"/>
            </w:tcBorders>
            <w:shd w:val="clear" w:color="auto" w:fill="BFBFBF"/>
          </w:tcPr>
          <w:p>
            <w:pPr>
              <w:jc w:val="center"/>
              <w:ind w:right="884"/>
              <w:spacing w:after="0" w:line="217" w:lineRule="exact"/>
              <w:rPr>
                <w:sz w:val="20"/>
                <w:szCs w:val="20"/>
                <w:color w:val="auto"/>
              </w:rPr>
            </w:pPr>
            <w:r>
              <w:rPr>
                <w:rFonts w:ascii="Times New Roman" w:cs="Times New Roman" w:eastAsia="Times New Roman" w:hAnsi="Times New Roman"/>
                <w:sz w:val="19"/>
                <w:szCs w:val="19"/>
                <w:b w:val="1"/>
                <w:bCs w:val="1"/>
                <w:color w:val="auto"/>
              </w:rPr>
              <w:t>Superior</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jc w:val="center"/>
              <w:ind w:right="804"/>
              <w:spacing w:after="0" w:line="217" w:lineRule="exact"/>
              <w:rPr>
                <w:sz w:val="20"/>
                <w:szCs w:val="20"/>
                <w:color w:val="auto"/>
              </w:rPr>
            </w:pPr>
            <w:r>
              <w:rPr>
                <w:rFonts w:ascii="Times New Roman" w:cs="Times New Roman" w:eastAsia="Times New Roman" w:hAnsi="Times New Roman"/>
                <w:sz w:val="19"/>
                <w:szCs w:val="19"/>
                <w:color w:val="auto"/>
              </w:rPr>
              <w:t>$382 million</w:t>
            </w:r>
          </w:p>
        </w:tc>
        <w:tc>
          <w:tcPr>
            <w:tcW w:w="580" w:type="dxa"/>
            <w:vAlign w:val="bottom"/>
            <w:tcBorders>
              <w:bottom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jc w:val="center"/>
              <w:ind w:right="524"/>
              <w:spacing w:after="0" w:line="217" w:lineRule="exact"/>
              <w:rPr>
                <w:sz w:val="20"/>
                <w:szCs w:val="20"/>
                <w:color w:val="auto"/>
              </w:rPr>
            </w:pPr>
            <w:r>
              <w:rPr>
                <w:rFonts w:ascii="Times New Roman" w:cs="Times New Roman" w:eastAsia="Times New Roman" w:hAnsi="Times New Roman"/>
                <w:sz w:val="19"/>
                <w:szCs w:val="19"/>
                <w:color w:val="auto"/>
              </w:rPr>
              <w:t>$385 million</w:t>
            </w:r>
          </w:p>
        </w:tc>
        <w:tc>
          <w:tcPr>
            <w:tcW w:w="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560" w:type="dxa"/>
            <w:vAlign w:val="bottom"/>
            <w:tcBorders>
              <w:bottom w:val="single" w:sz="8" w:color="auto"/>
              <w:right w:val="single" w:sz="8" w:color="auto"/>
            </w:tcBorders>
          </w:tcPr>
          <w:p>
            <w:pPr>
              <w:jc w:val="center"/>
              <w:ind w:right="884"/>
              <w:spacing w:after="0" w:line="217" w:lineRule="exact"/>
              <w:rPr>
                <w:sz w:val="20"/>
                <w:szCs w:val="20"/>
                <w:color w:val="auto"/>
              </w:rPr>
            </w:pPr>
            <w:r>
              <w:rPr>
                <w:rFonts w:ascii="Times New Roman" w:cs="Times New Roman" w:eastAsia="Times New Roman" w:hAnsi="Times New Roman"/>
                <w:sz w:val="19"/>
                <w:szCs w:val="19"/>
                <w:color w:val="auto"/>
              </w:rPr>
              <w:t>$388 million</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2.</w:t>
            </w:r>
          </w:p>
        </w:tc>
        <w:tc>
          <w:tcPr>
            <w:tcW w:w="710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9"/>
                <w:szCs w:val="19"/>
                <w:color w:val="auto"/>
              </w:rPr>
              <w:t>Maintain Consolidated Financial Leverage</w:t>
            </w:r>
            <w:r>
              <w:rPr>
                <w:rFonts w:ascii="Times New Roman" w:cs="Times New Roman" w:eastAsia="Times New Roman" w:hAnsi="Times New Roman"/>
                <w:sz w:val="16"/>
                <w:szCs w:val="16"/>
                <w:color w:val="auto"/>
              </w:rPr>
              <w:t>(2)</w:t>
            </w:r>
            <w:r>
              <w:rPr>
                <w:rFonts w:ascii="Times New Roman" w:cs="Times New Roman" w:eastAsia="Times New Roman" w:hAnsi="Times New Roman"/>
                <w:sz w:val="19"/>
                <w:szCs w:val="19"/>
                <w:color w:val="auto"/>
              </w:rPr>
              <w:t xml:space="preserve"> average at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or less (25% weight):</w:t>
            </w:r>
          </w:p>
        </w:tc>
        <w:tc>
          <w:tcPr>
            <w:tcW w:w="256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360" w:type="dxa"/>
            <w:vAlign w:val="bottom"/>
            <w:tcBorders>
              <w:bottom w:val="single" w:sz="8" w:color="auto"/>
            </w:tcBorders>
            <w:shd w:val="clear" w:color="auto" w:fill="BFBFBF"/>
          </w:tcPr>
          <w:p>
            <w:pPr>
              <w:spacing w:after="0"/>
              <w:rPr>
                <w:sz w:val="18"/>
                <w:szCs w:val="18"/>
                <w:color w:val="auto"/>
              </w:rPr>
            </w:pPr>
          </w:p>
        </w:tc>
        <w:tc>
          <w:tcPr>
            <w:tcW w:w="500" w:type="dxa"/>
            <w:vAlign w:val="bottom"/>
            <w:tcBorders>
              <w:bottom w:val="single" w:sz="8" w:color="auto"/>
            </w:tcBorders>
            <w:shd w:val="clear" w:color="auto" w:fill="BFBFBF"/>
          </w:tcPr>
          <w:p>
            <w:pPr>
              <w:spacing w:after="0"/>
              <w:rPr>
                <w:sz w:val="18"/>
                <w:szCs w:val="18"/>
                <w:color w:val="auto"/>
              </w:rPr>
            </w:pPr>
          </w:p>
        </w:tc>
        <w:tc>
          <w:tcPr>
            <w:tcW w:w="2640" w:type="dxa"/>
            <w:vAlign w:val="bottom"/>
            <w:tcBorders>
              <w:bottom w:val="single" w:sz="8" w:color="auto"/>
              <w:right w:val="single" w:sz="8" w:color="auto"/>
            </w:tcBorders>
            <w:shd w:val="clear" w:color="auto" w:fill="BFBFBF"/>
          </w:tcPr>
          <w:p>
            <w:pPr>
              <w:jc w:val="center"/>
              <w:ind w:right="804"/>
              <w:spacing w:after="0" w:line="217" w:lineRule="exact"/>
              <w:rPr>
                <w:sz w:val="20"/>
                <w:szCs w:val="20"/>
                <w:color w:val="auto"/>
              </w:rPr>
            </w:pPr>
            <w:r>
              <w:rPr>
                <w:rFonts w:ascii="Times New Roman" w:cs="Times New Roman" w:eastAsia="Times New Roman" w:hAnsi="Times New Roman"/>
                <w:sz w:val="19"/>
                <w:szCs w:val="19"/>
                <w:b w:val="1"/>
                <w:bCs w:val="1"/>
                <w:color w:val="auto"/>
              </w:rPr>
              <w:t>Threshold</w:t>
            </w:r>
          </w:p>
        </w:tc>
        <w:tc>
          <w:tcPr>
            <w:tcW w:w="580" w:type="dxa"/>
            <w:vAlign w:val="bottom"/>
            <w:tcBorders>
              <w:bottom w:val="single" w:sz="8" w:color="auto"/>
              <w:right w:val="single" w:sz="8" w:color="BFBFBF"/>
            </w:tcBorders>
            <w:shd w:val="clear" w:color="auto" w:fill="BFBFBF"/>
          </w:tcPr>
          <w:p>
            <w:pPr>
              <w:spacing w:after="0"/>
              <w:rPr>
                <w:sz w:val="18"/>
                <w:szCs w:val="18"/>
                <w:color w:val="auto"/>
              </w:rPr>
            </w:pPr>
          </w:p>
        </w:tc>
        <w:tc>
          <w:tcPr>
            <w:tcW w:w="2920" w:type="dxa"/>
            <w:vAlign w:val="bottom"/>
            <w:tcBorders>
              <w:bottom w:val="single" w:sz="8" w:color="auto"/>
              <w:right w:val="single" w:sz="8" w:color="auto"/>
            </w:tcBorders>
            <w:shd w:val="clear" w:color="auto" w:fill="BFBFBF"/>
          </w:tcPr>
          <w:p>
            <w:pPr>
              <w:jc w:val="center"/>
              <w:ind w:right="524"/>
              <w:spacing w:after="0" w:line="217" w:lineRule="exact"/>
              <w:rPr>
                <w:sz w:val="20"/>
                <w:szCs w:val="20"/>
                <w:color w:val="auto"/>
              </w:rPr>
            </w:pPr>
            <w:r>
              <w:rPr>
                <w:rFonts w:ascii="Times New Roman" w:cs="Times New Roman" w:eastAsia="Times New Roman" w:hAnsi="Times New Roman"/>
                <w:sz w:val="19"/>
                <w:szCs w:val="19"/>
                <w:b w:val="1"/>
                <w:bCs w:val="1"/>
                <w:color w:val="auto"/>
                <w:w w:val="98"/>
              </w:rPr>
              <w:t>Target</w:t>
            </w:r>
          </w:p>
        </w:tc>
        <w:tc>
          <w:tcPr>
            <w:tcW w:w="520" w:type="dxa"/>
            <w:vAlign w:val="bottom"/>
            <w:tcBorders>
              <w:bottom w:val="single" w:sz="8" w:color="auto"/>
              <w:right w:val="single" w:sz="8" w:color="BFBFBF"/>
            </w:tcBorders>
            <w:shd w:val="clear" w:color="auto" w:fill="BFBFBF"/>
          </w:tcPr>
          <w:p>
            <w:pPr>
              <w:spacing w:after="0"/>
              <w:rPr>
                <w:sz w:val="18"/>
                <w:szCs w:val="18"/>
                <w:color w:val="auto"/>
              </w:rPr>
            </w:pPr>
          </w:p>
        </w:tc>
        <w:tc>
          <w:tcPr>
            <w:tcW w:w="440" w:type="dxa"/>
            <w:vAlign w:val="bottom"/>
            <w:tcBorders>
              <w:bottom w:val="single" w:sz="8" w:color="auto"/>
            </w:tcBorders>
            <w:shd w:val="clear" w:color="auto" w:fill="BFBFBF"/>
          </w:tcPr>
          <w:p>
            <w:pPr>
              <w:spacing w:after="0"/>
              <w:rPr>
                <w:sz w:val="18"/>
                <w:szCs w:val="18"/>
                <w:color w:val="auto"/>
              </w:rPr>
            </w:pPr>
          </w:p>
        </w:tc>
        <w:tc>
          <w:tcPr>
            <w:tcW w:w="2560" w:type="dxa"/>
            <w:vAlign w:val="bottom"/>
            <w:tcBorders>
              <w:bottom w:val="single" w:sz="8" w:color="auto"/>
              <w:right w:val="single" w:sz="8" w:color="auto"/>
            </w:tcBorders>
            <w:shd w:val="clear" w:color="auto" w:fill="BFBFBF"/>
          </w:tcPr>
          <w:p>
            <w:pPr>
              <w:jc w:val="center"/>
              <w:ind w:right="884"/>
              <w:spacing w:after="0" w:line="217" w:lineRule="exact"/>
              <w:rPr>
                <w:sz w:val="20"/>
                <w:szCs w:val="20"/>
                <w:color w:val="auto"/>
              </w:rPr>
            </w:pPr>
            <w:r>
              <w:rPr>
                <w:rFonts w:ascii="Times New Roman" w:cs="Times New Roman" w:eastAsia="Times New Roman" w:hAnsi="Times New Roman"/>
                <w:sz w:val="19"/>
                <w:szCs w:val="19"/>
                <w:b w:val="1"/>
                <w:bCs w:val="1"/>
                <w:color w:val="auto"/>
              </w:rPr>
              <w:t>Superior</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jc w:val="center"/>
              <w:ind w:right="824"/>
              <w:spacing w:after="0" w:line="217" w:lineRule="exact"/>
              <w:rPr>
                <w:sz w:val="20"/>
                <w:szCs w:val="20"/>
                <w:color w:val="auto"/>
              </w:rPr>
            </w:pPr>
            <w:r>
              <w:rPr>
                <w:rFonts w:ascii="Times New Roman" w:cs="Times New Roman" w:eastAsia="Times New Roman" w:hAnsi="Times New Roman"/>
                <w:sz w:val="19"/>
                <w:szCs w:val="19"/>
                <w:b w:val="1"/>
                <w:bCs w:val="1"/>
                <w:color w:val="auto"/>
              </w:rPr>
              <w:t>[**]</w:t>
            </w:r>
          </w:p>
        </w:tc>
        <w:tc>
          <w:tcPr>
            <w:tcW w:w="3500" w:type="dxa"/>
            <w:vAlign w:val="bottom"/>
            <w:tcBorders>
              <w:bottom w:val="single" w:sz="8" w:color="auto"/>
              <w:right w:val="single" w:sz="8" w:color="auto"/>
            </w:tcBorders>
            <w:gridSpan w:val="2"/>
          </w:tcPr>
          <w:p>
            <w:pPr>
              <w:jc w:val="center"/>
              <w:spacing w:after="0" w:line="217" w:lineRule="exact"/>
              <w:rPr>
                <w:sz w:val="20"/>
                <w:szCs w:val="20"/>
                <w:color w:val="auto"/>
              </w:rPr>
            </w:pPr>
            <w:r>
              <w:rPr>
                <w:rFonts w:ascii="Times New Roman" w:cs="Times New Roman" w:eastAsia="Times New Roman" w:hAnsi="Times New Roman"/>
                <w:sz w:val="19"/>
                <w:szCs w:val="19"/>
                <w:b w:val="1"/>
                <w:bCs w:val="1"/>
                <w:color w:val="auto"/>
              </w:rPr>
              <w:t>[**]</w:t>
            </w:r>
          </w:p>
        </w:tc>
        <w:tc>
          <w:tcPr>
            <w:tcW w:w="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560" w:type="dxa"/>
            <w:vAlign w:val="bottom"/>
            <w:tcBorders>
              <w:bottom w:val="single" w:sz="8" w:color="auto"/>
              <w:right w:val="single" w:sz="8" w:color="auto"/>
            </w:tcBorders>
          </w:tcPr>
          <w:p>
            <w:pPr>
              <w:jc w:val="center"/>
              <w:ind w:right="904"/>
              <w:spacing w:after="0" w:line="217" w:lineRule="exact"/>
              <w:rPr>
                <w:sz w:val="20"/>
                <w:szCs w:val="20"/>
                <w:color w:val="auto"/>
              </w:rPr>
            </w:pPr>
            <w:r>
              <w:rPr>
                <w:rFonts w:ascii="Times New Roman" w:cs="Times New Roman" w:eastAsia="Times New Roman" w:hAnsi="Times New Roman"/>
                <w:sz w:val="19"/>
                <w:szCs w:val="19"/>
                <w:b w:val="1"/>
                <w:bCs w:val="1"/>
                <w:color w:val="auto"/>
              </w:rPr>
              <w:t>[**]</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3.</w:t>
            </w:r>
          </w:p>
        </w:tc>
        <w:tc>
          <w:tcPr>
            <w:tcW w:w="10080" w:type="dxa"/>
            <w:vAlign w:val="bottom"/>
            <w:gridSpan w:val="7"/>
          </w:tcPr>
          <w:p>
            <w:pPr>
              <w:ind w:left="400"/>
              <w:spacing w:after="0"/>
              <w:rPr>
                <w:sz w:val="20"/>
                <w:szCs w:val="20"/>
                <w:color w:val="auto"/>
              </w:rPr>
            </w:pP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 4Q16 Annualized Adjusted EBITDA</w:t>
            </w:r>
            <w:r>
              <w:rPr>
                <w:rFonts w:ascii="Times New Roman" w:cs="Times New Roman" w:eastAsia="Times New Roman" w:hAnsi="Times New Roman"/>
                <w:sz w:val="16"/>
                <w:szCs w:val="16"/>
                <w:color w:val="auto"/>
              </w:rPr>
              <w:t>(3)</w:t>
            </w:r>
            <w:r>
              <w:rPr>
                <w:rFonts w:ascii="Times New Roman" w:cs="Times New Roman" w:eastAsia="Times New Roman" w:hAnsi="Times New Roman"/>
                <w:sz w:val="19"/>
                <w:szCs w:val="19"/>
                <w:color w:val="auto"/>
              </w:rPr>
              <w:t>, from Annualized Adjusted EBITDA achieved in 4Q15 of $664 million</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9"/>
                <w:szCs w:val="19"/>
                <w:color w:val="auto"/>
              </w:rPr>
              <w:t>(25% weight):</w:t>
            </w:r>
          </w:p>
        </w:tc>
        <w:tc>
          <w:tcPr>
            <w:tcW w:w="58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360" w:type="dxa"/>
            <w:vAlign w:val="bottom"/>
            <w:tcBorders>
              <w:bottom w:val="single" w:sz="8" w:color="auto"/>
            </w:tcBorders>
            <w:shd w:val="clear" w:color="auto" w:fill="BFBFBF"/>
          </w:tcPr>
          <w:p>
            <w:pPr>
              <w:spacing w:after="0"/>
              <w:rPr>
                <w:sz w:val="18"/>
                <w:szCs w:val="18"/>
                <w:color w:val="auto"/>
              </w:rPr>
            </w:pPr>
          </w:p>
        </w:tc>
        <w:tc>
          <w:tcPr>
            <w:tcW w:w="500" w:type="dxa"/>
            <w:vAlign w:val="bottom"/>
            <w:tcBorders>
              <w:bottom w:val="single" w:sz="8" w:color="auto"/>
            </w:tcBorders>
            <w:shd w:val="clear" w:color="auto" w:fill="BFBFBF"/>
          </w:tcPr>
          <w:p>
            <w:pPr>
              <w:spacing w:after="0"/>
              <w:rPr>
                <w:sz w:val="18"/>
                <w:szCs w:val="18"/>
                <w:color w:val="auto"/>
              </w:rPr>
            </w:pPr>
          </w:p>
        </w:tc>
        <w:tc>
          <w:tcPr>
            <w:tcW w:w="2640" w:type="dxa"/>
            <w:vAlign w:val="bottom"/>
            <w:tcBorders>
              <w:bottom w:val="single" w:sz="8" w:color="auto"/>
              <w:right w:val="single" w:sz="8" w:color="auto"/>
            </w:tcBorders>
            <w:shd w:val="clear" w:color="auto" w:fill="BFBFBF"/>
          </w:tcPr>
          <w:p>
            <w:pPr>
              <w:jc w:val="center"/>
              <w:ind w:right="804"/>
              <w:spacing w:after="0" w:line="217" w:lineRule="exact"/>
              <w:rPr>
                <w:sz w:val="20"/>
                <w:szCs w:val="20"/>
                <w:color w:val="auto"/>
              </w:rPr>
            </w:pPr>
            <w:r>
              <w:rPr>
                <w:rFonts w:ascii="Times New Roman" w:cs="Times New Roman" w:eastAsia="Times New Roman" w:hAnsi="Times New Roman"/>
                <w:sz w:val="19"/>
                <w:szCs w:val="19"/>
                <w:b w:val="1"/>
                <w:bCs w:val="1"/>
                <w:color w:val="auto"/>
              </w:rPr>
              <w:t>Threshold</w:t>
            </w:r>
          </w:p>
        </w:tc>
        <w:tc>
          <w:tcPr>
            <w:tcW w:w="580" w:type="dxa"/>
            <w:vAlign w:val="bottom"/>
            <w:tcBorders>
              <w:bottom w:val="single" w:sz="8" w:color="auto"/>
              <w:right w:val="single" w:sz="8" w:color="BFBFBF"/>
            </w:tcBorders>
            <w:shd w:val="clear" w:color="auto" w:fill="BFBFBF"/>
          </w:tcPr>
          <w:p>
            <w:pPr>
              <w:spacing w:after="0"/>
              <w:rPr>
                <w:sz w:val="18"/>
                <w:szCs w:val="18"/>
                <w:color w:val="auto"/>
              </w:rPr>
            </w:pPr>
          </w:p>
        </w:tc>
        <w:tc>
          <w:tcPr>
            <w:tcW w:w="2920" w:type="dxa"/>
            <w:vAlign w:val="bottom"/>
            <w:tcBorders>
              <w:bottom w:val="single" w:sz="8" w:color="auto"/>
              <w:right w:val="single" w:sz="8" w:color="auto"/>
            </w:tcBorders>
            <w:shd w:val="clear" w:color="auto" w:fill="BFBFBF"/>
          </w:tcPr>
          <w:p>
            <w:pPr>
              <w:jc w:val="center"/>
              <w:ind w:right="524"/>
              <w:spacing w:after="0" w:line="217" w:lineRule="exact"/>
              <w:rPr>
                <w:sz w:val="20"/>
                <w:szCs w:val="20"/>
                <w:color w:val="auto"/>
              </w:rPr>
            </w:pPr>
            <w:r>
              <w:rPr>
                <w:rFonts w:ascii="Times New Roman" w:cs="Times New Roman" w:eastAsia="Times New Roman" w:hAnsi="Times New Roman"/>
                <w:sz w:val="19"/>
                <w:szCs w:val="19"/>
                <w:b w:val="1"/>
                <w:bCs w:val="1"/>
                <w:color w:val="auto"/>
                <w:w w:val="98"/>
              </w:rPr>
              <w:t>Target</w:t>
            </w:r>
          </w:p>
        </w:tc>
        <w:tc>
          <w:tcPr>
            <w:tcW w:w="520" w:type="dxa"/>
            <w:vAlign w:val="bottom"/>
            <w:tcBorders>
              <w:bottom w:val="single" w:sz="8" w:color="auto"/>
              <w:right w:val="single" w:sz="8" w:color="BFBFBF"/>
            </w:tcBorders>
            <w:shd w:val="clear" w:color="auto" w:fill="BFBFBF"/>
          </w:tcPr>
          <w:p>
            <w:pPr>
              <w:spacing w:after="0"/>
              <w:rPr>
                <w:sz w:val="18"/>
                <w:szCs w:val="18"/>
                <w:color w:val="auto"/>
              </w:rPr>
            </w:pPr>
          </w:p>
        </w:tc>
        <w:tc>
          <w:tcPr>
            <w:tcW w:w="440" w:type="dxa"/>
            <w:vAlign w:val="bottom"/>
            <w:tcBorders>
              <w:bottom w:val="single" w:sz="8" w:color="auto"/>
            </w:tcBorders>
            <w:shd w:val="clear" w:color="auto" w:fill="BFBFBF"/>
          </w:tcPr>
          <w:p>
            <w:pPr>
              <w:spacing w:after="0"/>
              <w:rPr>
                <w:sz w:val="18"/>
                <w:szCs w:val="18"/>
                <w:color w:val="auto"/>
              </w:rPr>
            </w:pPr>
          </w:p>
        </w:tc>
        <w:tc>
          <w:tcPr>
            <w:tcW w:w="2560" w:type="dxa"/>
            <w:vAlign w:val="bottom"/>
            <w:tcBorders>
              <w:bottom w:val="single" w:sz="8" w:color="auto"/>
              <w:right w:val="single" w:sz="8" w:color="auto"/>
            </w:tcBorders>
            <w:shd w:val="clear" w:color="auto" w:fill="BFBFBF"/>
          </w:tcPr>
          <w:p>
            <w:pPr>
              <w:jc w:val="center"/>
              <w:ind w:right="884"/>
              <w:spacing w:after="0" w:line="217" w:lineRule="exact"/>
              <w:rPr>
                <w:sz w:val="20"/>
                <w:szCs w:val="20"/>
                <w:color w:val="auto"/>
              </w:rPr>
            </w:pPr>
            <w:r>
              <w:rPr>
                <w:rFonts w:ascii="Times New Roman" w:cs="Times New Roman" w:eastAsia="Times New Roman" w:hAnsi="Times New Roman"/>
                <w:sz w:val="19"/>
                <w:szCs w:val="19"/>
                <w:b w:val="1"/>
                <w:bCs w:val="1"/>
                <w:color w:val="auto"/>
              </w:rPr>
              <w:t>Superior</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jc w:val="center"/>
              <w:ind w:right="824"/>
              <w:spacing w:after="0" w:line="217" w:lineRule="exact"/>
              <w:rPr>
                <w:sz w:val="20"/>
                <w:szCs w:val="20"/>
                <w:color w:val="auto"/>
              </w:rPr>
            </w:pPr>
            <w:r>
              <w:rPr>
                <w:rFonts w:ascii="Times New Roman" w:cs="Times New Roman" w:eastAsia="Times New Roman" w:hAnsi="Times New Roman"/>
                <w:sz w:val="19"/>
                <w:szCs w:val="19"/>
                <w:b w:val="1"/>
                <w:bCs w:val="1"/>
                <w:color w:val="auto"/>
              </w:rPr>
              <w:t>[**]</w:t>
            </w:r>
          </w:p>
        </w:tc>
        <w:tc>
          <w:tcPr>
            <w:tcW w:w="3500" w:type="dxa"/>
            <w:vAlign w:val="bottom"/>
            <w:tcBorders>
              <w:bottom w:val="single" w:sz="8" w:color="auto"/>
              <w:right w:val="single" w:sz="8" w:color="auto"/>
            </w:tcBorders>
            <w:gridSpan w:val="2"/>
          </w:tcPr>
          <w:p>
            <w:pPr>
              <w:jc w:val="center"/>
              <w:spacing w:after="0" w:line="217" w:lineRule="exact"/>
              <w:rPr>
                <w:sz w:val="20"/>
                <w:szCs w:val="20"/>
                <w:color w:val="auto"/>
              </w:rPr>
            </w:pPr>
            <w:r>
              <w:rPr>
                <w:rFonts w:ascii="Times New Roman" w:cs="Times New Roman" w:eastAsia="Times New Roman" w:hAnsi="Times New Roman"/>
                <w:sz w:val="19"/>
                <w:szCs w:val="19"/>
                <w:b w:val="1"/>
                <w:bCs w:val="1"/>
                <w:color w:val="auto"/>
              </w:rPr>
              <w:t>[**]</w:t>
            </w:r>
          </w:p>
        </w:tc>
        <w:tc>
          <w:tcPr>
            <w:tcW w:w="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560" w:type="dxa"/>
            <w:vAlign w:val="bottom"/>
            <w:tcBorders>
              <w:bottom w:val="single" w:sz="8" w:color="auto"/>
              <w:right w:val="single" w:sz="8" w:color="auto"/>
            </w:tcBorders>
          </w:tcPr>
          <w:p>
            <w:pPr>
              <w:jc w:val="center"/>
              <w:ind w:right="904"/>
              <w:spacing w:after="0" w:line="217" w:lineRule="exact"/>
              <w:rPr>
                <w:sz w:val="20"/>
                <w:szCs w:val="20"/>
                <w:color w:val="auto"/>
              </w:rPr>
            </w:pPr>
            <w:r>
              <w:rPr>
                <w:rFonts w:ascii="Times New Roman" w:cs="Times New Roman" w:eastAsia="Times New Roman" w:hAnsi="Times New Roman"/>
                <w:sz w:val="19"/>
                <w:szCs w:val="19"/>
                <w:b w:val="1"/>
                <w:bCs w:val="1"/>
                <w:color w:val="auto"/>
              </w:rPr>
              <w:t>[**]</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8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9"/>
                <w:szCs w:val="19"/>
                <w:color w:val="auto"/>
              </w:rPr>
              <w:t>B.</w:t>
            </w:r>
          </w:p>
        </w:tc>
        <w:tc>
          <w:tcPr>
            <w:tcW w:w="7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9"/>
                <w:szCs w:val="19"/>
                <w:color w:val="auto"/>
              </w:rPr>
              <w:t>Potential payouts determined by Compensation Committee:</w:t>
            </w:r>
          </w:p>
        </w:tc>
        <w:tc>
          <w:tcPr>
            <w:tcW w:w="2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auto"/>
            </w:tcBorders>
            <w:shd w:val="clear" w:color="auto" w:fill="000000"/>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lef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9"/>
                <w:szCs w:val="19"/>
                <w:b w:val="1"/>
                <w:bCs w:val="1"/>
                <w:color w:val="auto"/>
              </w:rPr>
              <w:t>Performance Achievement Level</w:t>
            </w:r>
          </w:p>
        </w:tc>
        <w:tc>
          <w:tcPr>
            <w:tcW w:w="580" w:type="dxa"/>
            <w:vAlign w:val="bottom"/>
            <w:tcBorders>
              <w:right w:val="single" w:sz="8" w:color="auto"/>
            </w:tcBorders>
          </w:tcPr>
          <w:p>
            <w:pPr>
              <w:spacing w:after="0"/>
              <w:rPr>
                <w:sz w:val="24"/>
                <w:szCs w:val="24"/>
                <w:color w:val="auto"/>
              </w:rPr>
            </w:pPr>
          </w:p>
        </w:tc>
        <w:tc>
          <w:tcPr>
            <w:tcW w:w="6860" w:type="dxa"/>
            <w:vAlign w:val="bottom"/>
            <w:tcBorders>
              <w:bottom w:val="single" w:sz="8" w:color="auto"/>
              <w:right w:val="single" w:sz="8" w:color="auto"/>
            </w:tcBorders>
            <w:gridSpan w:val="5"/>
          </w:tcPr>
          <w:p>
            <w:pPr>
              <w:ind w:left="1940"/>
              <w:spacing w:after="0"/>
              <w:rPr>
                <w:sz w:val="20"/>
                <w:szCs w:val="20"/>
                <w:color w:val="auto"/>
              </w:rPr>
            </w:pPr>
            <w:r>
              <w:rPr>
                <w:rFonts w:ascii="Times New Roman" w:cs="Times New Roman" w:eastAsia="Times New Roman" w:hAnsi="Times New Roman"/>
                <w:sz w:val="19"/>
                <w:szCs w:val="19"/>
                <w:b w:val="1"/>
                <w:bCs w:val="1"/>
                <w:color w:val="auto"/>
              </w:rPr>
              <w:t>Potential as Percent of Base Salary*</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shd w:val="clear" w:color="auto" w:fill="000000"/>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left w:val="single" w:sz="8" w:color="auto"/>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2"/>
            <w:vMerge w:val="continue"/>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440" w:type="dxa"/>
            <w:vAlign w:val="bottom"/>
            <w:tcBorders>
              <w:bottom w:val="single" w:sz="8" w:color="auto"/>
              <w:right w:val="single" w:sz="8" w:color="auto"/>
            </w:tcBorders>
            <w:gridSpan w:val="2"/>
          </w:tcPr>
          <w:p>
            <w:pPr>
              <w:ind w:left="1500"/>
              <w:spacing w:after="0" w:line="217" w:lineRule="exact"/>
              <w:rPr>
                <w:sz w:val="20"/>
                <w:szCs w:val="20"/>
                <w:color w:val="auto"/>
              </w:rPr>
            </w:pPr>
            <w:r>
              <w:rPr>
                <w:rFonts w:ascii="Times New Roman" w:cs="Times New Roman" w:eastAsia="Times New Roman" w:hAnsi="Times New Roman"/>
                <w:sz w:val="19"/>
                <w:szCs w:val="19"/>
                <w:b w:val="1"/>
                <w:bCs w:val="1"/>
                <w:color w:val="auto"/>
              </w:rPr>
              <w:t>CEO</w:t>
            </w:r>
          </w:p>
        </w:tc>
        <w:tc>
          <w:tcPr>
            <w:tcW w:w="440" w:type="dxa"/>
            <w:vAlign w:val="bottom"/>
            <w:tcBorders>
              <w:bottom w:val="single" w:sz="8" w:color="auto"/>
            </w:tcBorders>
          </w:tcPr>
          <w:p>
            <w:pPr>
              <w:spacing w:after="0"/>
              <w:rPr>
                <w:sz w:val="18"/>
                <w:szCs w:val="18"/>
                <w:color w:val="auto"/>
              </w:rPr>
            </w:pPr>
          </w:p>
        </w:tc>
        <w:tc>
          <w:tcPr>
            <w:tcW w:w="2980" w:type="dxa"/>
            <w:vAlign w:val="bottom"/>
            <w:tcBorders>
              <w:bottom w:val="single" w:sz="8" w:color="auto"/>
              <w:right w:val="single" w:sz="8" w:color="auto"/>
            </w:tcBorders>
            <w:gridSpan w:val="2"/>
          </w:tcPr>
          <w:p>
            <w:pPr>
              <w:ind w:left="860"/>
              <w:spacing w:after="0" w:line="217" w:lineRule="exact"/>
              <w:rPr>
                <w:sz w:val="20"/>
                <w:szCs w:val="20"/>
                <w:color w:val="auto"/>
              </w:rPr>
            </w:pPr>
            <w:r>
              <w:rPr>
                <w:rFonts w:ascii="Times New Roman" w:cs="Times New Roman" w:eastAsia="Times New Roman" w:hAnsi="Times New Roman"/>
                <w:sz w:val="19"/>
                <w:szCs w:val="19"/>
                <w:b w:val="1"/>
                <w:bCs w:val="1"/>
                <w:color w:val="auto"/>
              </w:rPr>
              <w:t>CFO/GC</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left w:val="single" w:sz="8" w:color="auto"/>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800" w:type="dxa"/>
            <w:vAlign w:val="bottom"/>
            <w:tcBorders>
              <w:bottom w:val="single" w:sz="8" w:color="auto"/>
            </w:tcBorders>
            <w:gridSpan w:val="2"/>
          </w:tcPr>
          <w:p>
            <w:pPr>
              <w:spacing w:after="0" w:line="204" w:lineRule="exact"/>
              <w:rPr>
                <w:sz w:val="20"/>
                <w:szCs w:val="20"/>
                <w:color w:val="auto"/>
              </w:rPr>
            </w:pPr>
            <w:r>
              <w:rPr>
                <w:rFonts w:ascii="Times New Roman" w:cs="Times New Roman" w:eastAsia="Times New Roman" w:hAnsi="Times New Roman"/>
                <w:sz w:val="19"/>
                <w:szCs w:val="19"/>
                <w:color w:val="auto"/>
              </w:rPr>
              <w:t>Threshold</w:t>
            </w:r>
          </w:p>
        </w:tc>
        <w:tc>
          <w:tcPr>
            <w:tcW w:w="5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2920" w:type="dxa"/>
            <w:vAlign w:val="bottom"/>
            <w:tcBorders>
              <w:bottom w:val="single" w:sz="8" w:color="auto"/>
            </w:tcBorders>
          </w:tcPr>
          <w:p>
            <w:pPr>
              <w:jc w:val="center"/>
              <w:ind w:left="384"/>
              <w:spacing w:after="0" w:line="204" w:lineRule="exact"/>
              <w:rPr>
                <w:sz w:val="20"/>
                <w:szCs w:val="20"/>
                <w:color w:val="auto"/>
              </w:rPr>
            </w:pPr>
            <w:r>
              <w:rPr>
                <w:rFonts w:ascii="Times New Roman" w:cs="Times New Roman" w:eastAsia="Times New Roman" w:hAnsi="Times New Roman"/>
                <w:sz w:val="19"/>
                <w:szCs w:val="19"/>
                <w:color w:val="auto"/>
              </w:rPr>
              <w:t>75%</w:t>
            </w:r>
          </w:p>
        </w:tc>
        <w:tc>
          <w:tcPr>
            <w:tcW w:w="52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center"/>
              <w:spacing w:after="0" w:line="204" w:lineRule="exact"/>
              <w:rPr>
                <w:sz w:val="20"/>
                <w:szCs w:val="20"/>
                <w:color w:val="auto"/>
              </w:rPr>
            </w:pPr>
            <w:r>
              <w:rPr>
                <w:rFonts w:ascii="Times New Roman" w:cs="Times New Roman" w:eastAsia="Times New Roman" w:hAnsi="Times New Roman"/>
                <w:sz w:val="19"/>
                <w:szCs w:val="19"/>
                <w:color w:val="auto"/>
              </w:rPr>
              <w:t>50%</w:t>
            </w:r>
          </w:p>
        </w:tc>
        <w:tc>
          <w:tcPr>
            <w:tcW w:w="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800" w:type="dxa"/>
            <w:vAlign w:val="bottom"/>
            <w:tcBorders>
              <w:bottom w:val="single" w:sz="8" w:color="auto"/>
            </w:tcBorders>
            <w:gridSpan w:val="2"/>
          </w:tcPr>
          <w:p>
            <w:pPr>
              <w:spacing w:after="0" w:line="217" w:lineRule="exact"/>
              <w:rPr>
                <w:sz w:val="20"/>
                <w:szCs w:val="20"/>
                <w:color w:val="auto"/>
              </w:rPr>
            </w:pPr>
            <w:r>
              <w:rPr>
                <w:rFonts w:ascii="Times New Roman" w:cs="Times New Roman" w:eastAsia="Times New Roman" w:hAnsi="Times New Roman"/>
                <w:sz w:val="19"/>
                <w:szCs w:val="19"/>
                <w:color w:val="auto"/>
              </w:rPr>
              <w:t>Target</w:t>
            </w:r>
          </w:p>
        </w:tc>
        <w:tc>
          <w:tcPr>
            <w:tcW w:w="5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2920" w:type="dxa"/>
            <w:vAlign w:val="bottom"/>
            <w:tcBorders>
              <w:bottom w:val="single" w:sz="8" w:color="auto"/>
            </w:tcBorders>
          </w:tcPr>
          <w:p>
            <w:pPr>
              <w:jc w:val="center"/>
              <w:ind w:left="384"/>
              <w:spacing w:after="0" w:line="217" w:lineRule="exact"/>
              <w:rPr>
                <w:sz w:val="20"/>
                <w:szCs w:val="20"/>
                <w:color w:val="auto"/>
              </w:rPr>
            </w:pPr>
            <w:r>
              <w:rPr>
                <w:rFonts w:ascii="Times New Roman" w:cs="Times New Roman" w:eastAsia="Times New Roman" w:hAnsi="Times New Roman"/>
                <w:sz w:val="19"/>
                <w:szCs w:val="19"/>
                <w:color w:val="auto"/>
                <w:w w:val="99"/>
              </w:rPr>
              <w:t>150%</w:t>
            </w:r>
          </w:p>
        </w:tc>
        <w:tc>
          <w:tcPr>
            <w:tcW w:w="5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center"/>
              <w:spacing w:after="0" w:line="217" w:lineRule="exact"/>
              <w:rPr>
                <w:sz w:val="20"/>
                <w:szCs w:val="20"/>
                <w:color w:val="auto"/>
              </w:rPr>
            </w:pPr>
            <w:r>
              <w:rPr>
                <w:rFonts w:ascii="Times New Roman" w:cs="Times New Roman" w:eastAsia="Times New Roman" w:hAnsi="Times New Roman"/>
                <w:sz w:val="19"/>
                <w:szCs w:val="19"/>
                <w:color w:val="auto"/>
              </w:rPr>
              <w:t>100%</w:t>
            </w:r>
          </w:p>
        </w:tc>
        <w:tc>
          <w:tcPr>
            <w:tcW w:w="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800" w:type="dxa"/>
            <w:vAlign w:val="bottom"/>
            <w:tcBorders>
              <w:bottom w:val="single" w:sz="8" w:color="auto"/>
            </w:tcBorders>
            <w:gridSpan w:val="2"/>
          </w:tcPr>
          <w:p>
            <w:pPr>
              <w:spacing w:after="0" w:line="217" w:lineRule="exact"/>
              <w:rPr>
                <w:sz w:val="20"/>
                <w:szCs w:val="20"/>
                <w:color w:val="auto"/>
              </w:rPr>
            </w:pPr>
            <w:r>
              <w:rPr>
                <w:rFonts w:ascii="Times New Roman" w:cs="Times New Roman" w:eastAsia="Times New Roman" w:hAnsi="Times New Roman"/>
                <w:sz w:val="19"/>
                <w:szCs w:val="19"/>
                <w:color w:val="auto"/>
              </w:rPr>
              <w:t>Superior</w:t>
            </w:r>
          </w:p>
        </w:tc>
        <w:tc>
          <w:tcPr>
            <w:tcW w:w="5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2920" w:type="dxa"/>
            <w:vAlign w:val="bottom"/>
            <w:tcBorders>
              <w:bottom w:val="single" w:sz="8" w:color="auto"/>
            </w:tcBorders>
          </w:tcPr>
          <w:p>
            <w:pPr>
              <w:jc w:val="center"/>
              <w:ind w:left="384"/>
              <w:spacing w:after="0" w:line="217" w:lineRule="exact"/>
              <w:rPr>
                <w:sz w:val="20"/>
                <w:szCs w:val="20"/>
                <w:color w:val="auto"/>
              </w:rPr>
            </w:pPr>
            <w:r>
              <w:rPr>
                <w:rFonts w:ascii="Times New Roman" w:cs="Times New Roman" w:eastAsia="Times New Roman" w:hAnsi="Times New Roman"/>
                <w:sz w:val="19"/>
                <w:szCs w:val="19"/>
                <w:color w:val="auto"/>
                <w:w w:val="99"/>
              </w:rPr>
              <w:t>225%</w:t>
            </w:r>
          </w:p>
        </w:tc>
        <w:tc>
          <w:tcPr>
            <w:tcW w:w="5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center"/>
              <w:spacing w:after="0" w:line="217" w:lineRule="exact"/>
              <w:rPr>
                <w:sz w:val="20"/>
                <w:szCs w:val="20"/>
                <w:color w:val="auto"/>
              </w:rPr>
            </w:pPr>
            <w:r>
              <w:rPr>
                <w:rFonts w:ascii="Times New Roman" w:cs="Times New Roman" w:eastAsia="Times New Roman" w:hAnsi="Times New Roman"/>
                <w:sz w:val="19"/>
                <w:szCs w:val="19"/>
                <w:color w:val="auto"/>
              </w:rPr>
              <w:t>150%</w:t>
            </w:r>
          </w:p>
        </w:tc>
        <w:tc>
          <w:tcPr>
            <w:tcW w:w="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Subject to adjustment as determined by Compensation Committee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w:t>
      </w:r>
    </w:p>
    <w:p>
      <w:pPr>
        <w:spacing w:after="0" w:line="27" w:lineRule="exact"/>
        <w:rPr>
          <w:sz w:val="20"/>
          <w:szCs w:val="20"/>
          <w:color w:val="auto"/>
        </w:rPr>
      </w:pPr>
    </w:p>
    <w:p>
      <w:pPr>
        <w:ind w:left="880" w:hanging="875"/>
        <w:spacing w:after="0" w:line="258" w:lineRule="auto"/>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9"/>
          <w:szCs w:val="19"/>
          <w:color w:val="auto"/>
        </w:rPr>
        <w:t>Definition consistent with publicly reported definition, and excluding effect of future capital markets &amp; M&amp;A transactions, and similar costs.</w:t>
      </w:r>
    </w:p>
    <w:p>
      <w:pPr>
        <w:spacing w:after="0" w:line="179" w:lineRule="exact"/>
        <w:rPr>
          <w:rFonts w:ascii="Times New Roman" w:cs="Times New Roman" w:eastAsia="Times New Roman" w:hAnsi="Times New Roman"/>
          <w:sz w:val="16"/>
          <w:szCs w:val="16"/>
          <w:color w:val="auto"/>
        </w:rPr>
      </w:pPr>
    </w:p>
    <w:p>
      <w:pPr>
        <w:ind w:left="880" w:hanging="875"/>
        <w:spacing w:after="0" w:line="282" w:lineRule="auto"/>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9"/>
          <w:szCs w:val="19"/>
          <w:color w:val="auto"/>
        </w:rPr>
        <w:t>Financial Leverage defined as monthly average Net Debt to Annualized Adjusted EBITDA on a basis consistent with our debt agreements.</w:t>
      </w:r>
    </w:p>
    <w:p>
      <w:pPr>
        <w:spacing w:after="0" w:line="153" w:lineRule="exact"/>
        <w:rPr>
          <w:rFonts w:ascii="Times New Roman" w:cs="Times New Roman" w:eastAsia="Times New Roman" w:hAnsi="Times New Roman"/>
          <w:sz w:val="16"/>
          <w:szCs w:val="16"/>
          <w:color w:val="auto"/>
        </w:rPr>
      </w:pPr>
    </w:p>
    <w:p>
      <w:pPr>
        <w:ind w:left="880" w:hanging="875"/>
        <w:spacing w:after="0"/>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9"/>
          <w:szCs w:val="19"/>
          <w:color w:val="auto"/>
        </w:rPr>
        <w:t xml:space="preserve">Definition consistent with publicly reported definition.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39" w:lineRule="exact"/>
        <w:rPr>
          <w:sz w:val="20"/>
          <w:szCs w:val="20"/>
          <w:color w:val="auto"/>
        </w:rPr>
      </w:pPr>
    </w:p>
    <w:p>
      <w:pPr>
        <w:ind w:right="840" w:firstLine="5"/>
        <w:spacing w:after="0" w:line="286" w:lineRule="auto"/>
        <w:tabs>
          <w:tab w:leader="none" w:pos="369" w:val="left"/>
        </w:tabs>
        <w:numPr>
          <w:ilvl w:val="0"/>
          <w:numId w:val="2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Confidential Information has been omitted and filed separately with the Securities and Exchange Commission. Confidential treatment has been requested with respect to this omitted information.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420"/>
          </w:cols>
          <w:pgMar w:left="240" w:top="114"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Gunderman, certify that:</w:t>
      </w:r>
    </w:p>
    <w:p>
      <w:pPr>
        <w:spacing w:after="0" w:line="109" w:lineRule="exact"/>
        <w:rPr>
          <w:sz w:val="20"/>
          <w:szCs w:val="20"/>
          <w:color w:val="auto"/>
        </w:rPr>
      </w:pPr>
    </w:p>
    <w:p>
      <w:pPr>
        <w:ind w:left="520" w:hanging="515"/>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Communications Sales &amp; Leasing, Inc.;</w:t>
      </w:r>
    </w:p>
    <w:p>
      <w:pPr>
        <w:spacing w:after="0" w:line="108" w:lineRule="exact"/>
        <w:rPr>
          <w:rFonts w:ascii="Times New Roman" w:cs="Times New Roman" w:eastAsia="Times New Roman" w:hAnsi="Times New Roman"/>
          <w:sz w:val="18"/>
          <w:szCs w:val="18"/>
          <w:color w:val="auto"/>
        </w:rPr>
      </w:pPr>
    </w:p>
    <w:p>
      <w:pPr>
        <w:ind w:left="520" w:right="220" w:hanging="515"/>
        <w:spacing w:after="0" w:line="332" w:lineRule="auto"/>
        <w:tabs>
          <w:tab w:leader="none" w:pos="5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 w:lineRule="exact"/>
        <w:rPr>
          <w:rFonts w:ascii="Times New Roman" w:cs="Times New Roman" w:eastAsia="Times New Roman" w:hAnsi="Times New Roman"/>
          <w:sz w:val="16"/>
          <w:szCs w:val="16"/>
          <w:color w:val="auto"/>
        </w:rPr>
      </w:pPr>
    </w:p>
    <w:p>
      <w:pPr>
        <w:ind w:left="520" w:right="20" w:hanging="515"/>
        <w:spacing w:after="0" w:line="268"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and CLEC business as of, and for, the periods presented in this report;</w:t>
      </w:r>
    </w:p>
    <w:p>
      <w:pPr>
        <w:spacing w:after="0" w:line="63" w:lineRule="exact"/>
        <w:rPr>
          <w:rFonts w:ascii="Times New Roman" w:cs="Times New Roman" w:eastAsia="Times New Roman" w:hAnsi="Times New Roman"/>
          <w:sz w:val="18"/>
          <w:szCs w:val="18"/>
          <w:color w:val="auto"/>
        </w:rPr>
      </w:pPr>
    </w:p>
    <w:p>
      <w:pPr>
        <w:ind w:left="520" w:right="700" w:hanging="515"/>
        <w:spacing w:after="0" w:line="268"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3" w:lineRule="exact"/>
        <w:rPr>
          <w:rFonts w:ascii="Times New Roman" w:cs="Times New Roman" w:eastAsia="Times New Roman" w:hAnsi="Times New Roman"/>
          <w:sz w:val="18"/>
          <w:szCs w:val="18"/>
          <w:color w:val="auto"/>
        </w:rPr>
      </w:pPr>
    </w:p>
    <w:p>
      <w:pPr>
        <w:ind w:left="1040" w:right="80" w:hanging="522"/>
        <w:spacing w:after="0" w:line="256" w:lineRule="auto"/>
        <w:tabs>
          <w:tab w:leader="none" w:pos="10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and its Consumer CLEC Business, including its consolidated subsidiaries, is made known to us by others within those entities, particularly during the period in which this report is being prepared;</w:t>
      </w:r>
    </w:p>
    <w:p>
      <w:pPr>
        <w:spacing w:after="0" w:line="74" w:lineRule="exact"/>
        <w:rPr>
          <w:rFonts w:ascii="Times New Roman" w:cs="Times New Roman" w:eastAsia="Times New Roman" w:hAnsi="Times New Roman"/>
          <w:sz w:val="18"/>
          <w:szCs w:val="18"/>
          <w:color w:val="auto"/>
        </w:rPr>
      </w:pPr>
    </w:p>
    <w:p>
      <w:pPr>
        <w:jc w:val="both"/>
        <w:ind w:left="1040" w:right="920" w:hanging="522"/>
        <w:spacing w:after="0" w:line="332" w:lineRule="auto"/>
        <w:tabs>
          <w:tab w:leader="none" w:pos="104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6"/>
          <w:szCs w:val="16"/>
          <w:color w:val="auto"/>
        </w:rPr>
      </w:pPr>
    </w:p>
    <w:p>
      <w:pPr>
        <w:ind w:left="1040" w:right="20" w:hanging="522"/>
        <w:spacing w:after="0" w:line="256" w:lineRule="auto"/>
        <w:tabs>
          <w:tab w:leader="none" w:pos="10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Times New Roman" w:cs="Times New Roman" w:eastAsia="Times New Roman" w:hAnsi="Times New Roman"/>
          <w:sz w:val="18"/>
          <w:szCs w:val="18"/>
          <w:color w:val="auto"/>
        </w:rPr>
      </w:pPr>
    </w:p>
    <w:p>
      <w:pPr>
        <w:ind w:left="520" w:right="400" w:hanging="515"/>
        <w:spacing w:after="0" w:line="268"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Times New Roman" w:cs="Times New Roman" w:eastAsia="Times New Roman" w:hAnsi="Times New Roman"/>
          <w:sz w:val="18"/>
          <w:szCs w:val="18"/>
          <w:color w:val="auto"/>
        </w:rPr>
      </w:pPr>
    </w:p>
    <w:p>
      <w:pPr>
        <w:ind w:left="1040" w:right="340" w:hanging="522"/>
        <w:spacing w:after="0" w:line="268" w:lineRule="auto"/>
        <w:tabs>
          <w:tab w:leader="none" w:pos="10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left="1040" w:right="300" w:hanging="522"/>
        <w:spacing w:after="0" w:line="268" w:lineRule="auto"/>
        <w:tabs>
          <w:tab w:leader="none" w:pos="10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tabs>
          <w:tab w:leader="none" w:pos="4860" w:val="left"/>
          <w:tab w:leader="none" w:pos="7320" w:val="left"/>
        </w:tabs>
        <w:rPr>
          <w:sz w:val="20"/>
          <w:szCs w:val="20"/>
          <w:color w:val="auto"/>
        </w:rPr>
      </w:pPr>
      <w:r>
        <w:rPr>
          <w:rFonts w:ascii="Times New Roman" w:cs="Times New Roman" w:eastAsia="Times New Roman" w:hAnsi="Times New Roman"/>
          <w:sz w:val="18"/>
          <w:szCs w:val="18"/>
          <w:color w:val="auto"/>
        </w:rPr>
        <w:t>Date: May 12,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Kenneth A. Gunderman</w:t>
      </w:r>
    </w:p>
    <w:p>
      <w:pPr>
        <w:spacing w:after="0" w:line="21"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-130175</wp:posOffset>
            </wp:positionV>
            <wp:extent cx="39839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983990" cy="8255"/>
                    </a:xfrm>
                    <a:prstGeom prst="rect">
                      <a:avLst/>
                    </a:prstGeom>
                    <a:noFill/>
                  </pic:spPr>
                </pic:pic>
              </a:graphicData>
            </a:graphic>
          </wp:anchor>
        </w:drawing>
      </w:r>
    </w:p>
    <w:p>
      <w:pPr>
        <w:jc w:val="center"/>
        <w:ind w:left="51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420"/>
          </w:cols>
          <w:pgMar w:left="240" w:top="119"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Wallace, certify that:</w:t>
      </w:r>
    </w:p>
    <w:p>
      <w:pPr>
        <w:spacing w:after="0" w:line="109" w:lineRule="exact"/>
        <w:rPr>
          <w:sz w:val="20"/>
          <w:szCs w:val="20"/>
          <w:color w:val="auto"/>
        </w:rPr>
      </w:pPr>
    </w:p>
    <w:p>
      <w:pPr>
        <w:ind w:left="520" w:hanging="515"/>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Communications Sales &amp; Leasing, Inc.;</w:t>
      </w:r>
    </w:p>
    <w:p>
      <w:pPr>
        <w:spacing w:after="0" w:line="108" w:lineRule="exact"/>
        <w:rPr>
          <w:rFonts w:ascii="Times New Roman" w:cs="Times New Roman" w:eastAsia="Times New Roman" w:hAnsi="Times New Roman"/>
          <w:sz w:val="18"/>
          <w:szCs w:val="18"/>
          <w:color w:val="auto"/>
        </w:rPr>
      </w:pPr>
    </w:p>
    <w:p>
      <w:pPr>
        <w:ind w:left="520" w:right="220" w:hanging="515"/>
        <w:spacing w:after="0" w:line="332" w:lineRule="auto"/>
        <w:tabs>
          <w:tab w:leader="none" w:pos="5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 w:lineRule="exact"/>
        <w:rPr>
          <w:rFonts w:ascii="Times New Roman" w:cs="Times New Roman" w:eastAsia="Times New Roman" w:hAnsi="Times New Roman"/>
          <w:sz w:val="16"/>
          <w:szCs w:val="16"/>
          <w:color w:val="auto"/>
        </w:rPr>
      </w:pPr>
    </w:p>
    <w:p>
      <w:pPr>
        <w:ind w:left="520" w:right="20" w:hanging="515"/>
        <w:spacing w:after="0" w:line="268"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and CLEC business as of, and for, the periods presented in this report;</w:t>
      </w:r>
    </w:p>
    <w:p>
      <w:pPr>
        <w:spacing w:after="0" w:line="63" w:lineRule="exact"/>
        <w:rPr>
          <w:rFonts w:ascii="Times New Roman" w:cs="Times New Roman" w:eastAsia="Times New Roman" w:hAnsi="Times New Roman"/>
          <w:sz w:val="18"/>
          <w:szCs w:val="18"/>
          <w:color w:val="auto"/>
        </w:rPr>
      </w:pPr>
    </w:p>
    <w:p>
      <w:pPr>
        <w:ind w:left="520" w:right="700" w:hanging="515"/>
        <w:spacing w:after="0" w:line="268"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3" w:lineRule="exact"/>
        <w:rPr>
          <w:rFonts w:ascii="Times New Roman" w:cs="Times New Roman" w:eastAsia="Times New Roman" w:hAnsi="Times New Roman"/>
          <w:sz w:val="18"/>
          <w:szCs w:val="18"/>
          <w:color w:val="auto"/>
        </w:rPr>
      </w:pPr>
    </w:p>
    <w:p>
      <w:pPr>
        <w:ind w:left="1040" w:right="80" w:hanging="522"/>
        <w:spacing w:after="0" w:line="256" w:lineRule="auto"/>
        <w:tabs>
          <w:tab w:leader="none" w:pos="10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and its Consumer CLEC Business, including its consolidated subsidiaries, is made known to us by others within those entities, particularly during the period in which this report is being prepared;</w:t>
      </w:r>
    </w:p>
    <w:p>
      <w:pPr>
        <w:spacing w:after="0" w:line="74" w:lineRule="exact"/>
        <w:rPr>
          <w:rFonts w:ascii="Times New Roman" w:cs="Times New Roman" w:eastAsia="Times New Roman" w:hAnsi="Times New Roman"/>
          <w:sz w:val="18"/>
          <w:szCs w:val="18"/>
          <w:color w:val="auto"/>
        </w:rPr>
      </w:pPr>
    </w:p>
    <w:p>
      <w:pPr>
        <w:jc w:val="both"/>
        <w:ind w:left="1040" w:right="920" w:hanging="522"/>
        <w:spacing w:after="0" w:line="332" w:lineRule="auto"/>
        <w:tabs>
          <w:tab w:leader="none" w:pos="104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6"/>
          <w:szCs w:val="16"/>
          <w:color w:val="auto"/>
        </w:rPr>
      </w:pPr>
    </w:p>
    <w:p>
      <w:pPr>
        <w:ind w:left="1040" w:right="20" w:hanging="522"/>
        <w:spacing w:after="0" w:line="256" w:lineRule="auto"/>
        <w:tabs>
          <w:tab w:leader="none" w:pos="10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Times New Roman" w:cs="Times New Roman" w:eastAsia="Times New Roman" w:hAnsi="Times New Roman"/>
          <w:sz w:val="18"/>
          <w:szCs w:val="18"/>
          <w:color w:val="auto"/>
        </w:rPr>
      </w:pPr>
    </w:p>
    <w:p>
      <w:pPr>
        <w:ind w:left="520" w:right="400" w:hanging="515"/>
        <w:spacing w:after="0" w:line="268"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Times New Roman" w:cs="Times New Roman" w:eastAsia="Times New Roman" w:hAnsi="Times New Roman"/>
          <w:sz w:val="18"/>
          <w:szCs w:val="18"/>
          <w:color w:val="auto"/>
        </w:rPr>
      </w:pPr>
    </w:p>
    <w:p>
      <w:pPr>
        <w:ind w:left="1040" w:right="340" w:hanging="522"/>
        <w:spacing w:after="0" w:line="268" w:lineRule="auto"/>
        <w:tabs>
          <w:tab w:leader="none" w:pos="10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left="1040" w:right="300" w:hanging="522"/>
        <w:spacing w:after="0" w:line="268" w:lineRule="auto"/>
        <w:tabs>
          <w:tab w:leader="none" w:pos="10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tabs>
          <w:tab w:leader="none" w:pos="4860" w:val="left"/>
          <w:tab w:leader="none" w:pos="7560" w:val="left"/>
        </w:tabs>
        <w:rPr>
          <w:sz w:val="20"/>
          <w:szCs w:val="20"/>
          <w:color w:val="auto"/>
        </w:rPr>
      </w:pPr>
      <w:r>
        <w:rPr>
          <w:rFonts w:ascii="Times New Roman" w:cs="Times New Roman" w:eastAsia="Times New Roman" w:hAnsi="Times New Roman"/>
          <w:sz w:val="18"/>
          <w:szCs w:val="18"/>
          <w:color w:val="auto"/>
        </w:rPr>
        <w:t>Date: May 12,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Mark A. Wallace</w:t>
      </w:r>
    </w:p>
    <w:p>
      <w:pPr>
        <w:spacing w:after="0" w:line="21"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-130175</wp:posOffset>
            </wp:positionV>
            <wp:extent cx="39839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983990" cy="8255"/>
                    </a:xfrm>
                    <a:prstGeom prst="rect">
                      <a:avLst/>
                    </a:prstGeom>
                    <a:noFill/>
                  </pic:spPr>
                </pic:pic>
              </a:graphicData>
            </a:graphic>
          </wp:anchor>
        </w:drawing>
      </w:r>
    </w:p>
    <w:p>
      <w:pPr>
        <w:jc w:val="center"/>
        <w:ind w:left="5140"/>
        <w:spacing w:after="0"/>
        <w:rPr>
          <w:sz w:val="20"/>
          <w:szCs w:val="20"/>
          <w:color w:val="auto"/>
        </w:rPr>
      </w:pPr>
      <w:r>
        <w:rPr>
          <w:rFonts w:ascii="Times New Roman" w:cs="Times New Roman" w:eastAsia="Times New Roman" w:hAnsi="Times New Roman"/>
          <w:sz w:val="18"/>
          <w:szCs w:val="18"/>
          <w:b w:val="1"/>
          <w:bCs w:val="1"/>
          <w:color w:val="auto"/>
        </w:rPr>
        <w:t>Executive Vice President – Chief Financial Officer</w:t>
      </w:r>
    </w:p>
    <w:p>
      <w:pPr>
        <w:spacing w:after="0" w:line="3"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8"/>
          <w:szCs w:val="18"/>
          <w:b w:val="1"/>
          <w:bCs w:val="1"/>
          <w:color w:val="auto"/>
        </w:rPr>
        <w:t>and Treasurer</w:t>
      </w:r>
    </w:p>
    <w:p>
      <w:pPr>
        <w:sectPr>
          <w:pgSz w:w="11900" w:h="16838" w:orient="portrait"/>
          <w:cols w:equalWidth="0" w:num="1">
            <w:col w:w="11420"/>
          </w:cols>
          <w:pgMar w:left="240" w:top="119"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6" w:lineRule="exact"/>
        <w:rPr>
          <w:sz w:val="20"/>
          <w:szCs w:val="20"/>
          <w:color w:val="auto"/>
        </w:rPr>
      </w:pPr>
    </w:p>
    <w:p>
      <w:pPr>
        <w:jc w:val="both"/>
        <w:ind w:right="120" w:firstLine="518"/>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on Form 10-Q of Communications Sales &amp; Leasing, Inc. (the “Company”) for the period ending March 31, 2016 as filed with the Securities and Exchange Commission on the date hereof (the “Report”), I certify, pursuant to 18 U.S.C. § 1350, as adopted pursuant to § 906 of the Sarbanes-Oxley Act of 2002, to my knowledge, that:</w:t>
      </w:r>
    </w:p>
    <w:p>
      <w:pPr>
        <w:spacing w:after="0" w:line="74" w:lineRule="exact"/>
        <w:rPr>
          <w:sz w:val="20"/>
          <w:szCs w:val="20"/>
          <w:color w:val="auto"/>
        </w:rPr>
      </w:pPr>
    </w:p>
    <w:p>
      <w:pPr>
        <w:ind w:left="1040" w:hanging="522"/>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8" w:lineRule="exact"/>
        <w:rPr>
          <w:rFonts w:ascii="Times New Roman" w:cs="Times New Roman" w:eastAsia="Times New Roman" w:hAnsi="Times New Roman"/>
          <w:sz w:val="18"/>
          <w:szCs w:val="18"/>
          <w:color w:val="auto"/>
        </w:rPr>
      </w:pPr>
    </w:p>
    <w:p>
      <w:pPr>
        <w:ind w:left="1040" w:hanging="522"/>
        <w:spacing w:after="0"/>
        <w:tabs>
          <w:tab w:leader="none" w:pos="10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4860" w:val="left"/>
          <w:tab w:leader="none" w:pos="7320" w:val="left"/>
        </w:tabs>
        <w:rPr>
          <w:sz w:val="20"/>
          <w:szCs w:val="20"/>
          <w:color w:val="auto"/>
        </w:rPr>
      </w:pPr>
      <w:r>
        <w:rPr>
          <w:rFonts w:ascii="Times New Roman" w:cs="Times New Roman" w:eastAsia="Times New Roman" w:hAnsi="Times New Roman"/>
          <w:sz w:val="18"/>
          <w:szCs w:val="18"/>
          <w:color w:val="auto"/>
        </w:rPr>
        <w:t>Date: May 12,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Kenneth A. Gunderman</w:t>
      </w:r>
    </w:p>
    <w:p>
      <w:pPr>
        <w:spacing w:after="0" w:line="21"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-130175</wp:posOffset>
            </wp:positionV>
            <wp:extent cx="39839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983990" cy="8255"/>
                    </a:xfrm>
                    <a:prstGeom prst="rect">
                      <a:avLst/>
                    </a:prstGeom>
                    <a:noFill/>
                  </pic:spPr>
                </pic:pic>
              </a:graphicData>
            </a:graphic>
          </wp:anchor>
        </w:drawing>
      </w:r>
    </w:p>
    <w:p>
      <w:pPr>
        <w:jc w:val="center"/>
        <w:ind w:left="51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420"/>
          </w:cols>
          <w:pgMar w:left="240" w:top="119"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6" w:lineRule="exact"/>
        <w:rPr>
          <w:sz w:val="20"/>
          <w:szCs w:val="20"/>
          <w:color w:val="auto"/>
        </w:rPr>
      </w:pPr>
    </w:p>
    <w:p>
      <w:pPr>
        <w:jc w:val="both"/>
        <w:ind w:right="120" w:firstLine="518"/>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on Form 10-Q of Communications Sales &amp; Leasing, Inc. (the “Company”) for the period ending March 31, 2016 as filed with the Securities and Exchange Commission on the date hereof (the “Report”), I certify, pursuant to 18 U.S.C. § 1350, as adopted pursuant to § 906 of the Sarbanes-Oxley Act of 2002, to my knowledge, that:</w:t>
      </w:r>
    </w:p>
    <w:p>
      <w:pPr>
        <w:spacing w:after="0" w:line="74" w:lineRule="exact"/>
        <w:rPr>
          <w:sz w:val="20"/>
          <w:szCs w:val="20"/>
          <w:color w:val="auto"/>
        </w:rPr>
      </w:pPr>
    </w:p>
    <w:p>
      <w:pPr>
        <w:ind w:left="1040" w:hanging="522"/>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8" w:lineRule="exact"/>
        <w:rPr>
          <w:rFonts w:ascii="Times New Roman" w:cs="Times New Roman" w:eastAsia="Times New Roman" w:hAnsi="Times New Roman"/>
          <w:sz w:val="18"/>
          <w:szCs w:val="18"/>
          <w:color w:val="auto"/>
        </w:rPr>
      </w:pPr>
    </w:p>
    <w:p>
      <w:pPr>
        <w:ind w:left="1040" w:hanging="522"/>
        <w:spacing w:after="0"/>
        <w:tabs>
          <w:tab w:leader="none" w:pos="10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32" w:lineRule="exact"/>
        <w:rPr>
          <w:sz w:val="20"/>
          <w:szCs w:val="20"/>
          <w:color w:val="auto"/>
        </w:rPr>
      </w:pPr>
    </w:p>
    <w:p>
      <w:pPr>
        <w:spacing w:after="0"/>
        <w:tabs>
          <w:tab w:leader="none" w:pos="4860" w:val="left"/>
          <w:tab w:leader="none" w:pos="7560" w:val="left"/>
        </w:tabs>
        <w:rPr>
          <w:sz w:val="20"/>
          <w:szCs w:val="20"/>
          <w:color w:val="auto"/>
        </w:rPr>
      </w:pPr>
      <w:r>
        <w:rPr>
          <w:rFonts w:ascii="Times New Roman" w:cs="Times New Roman" w:eastAsia="Times New Roman" w:hAnsi="Times New Roman"/>
          <w:sz w:val="18"/>
          <w:szCs w:val="18"/>
          <w:color w:val="auto"/>
        </w:rPr>
        <w:t>Date: May 12, 2016</w:t>
      </w:r>
      <w:r>
        <w:rPr>
          <w:sz w:val="20"/>
          <w:szCs w:val="20"/>
          <w:color w:val="auto"/>
        </w:rPr>
        <w:tab/>
      </w:r>
      <w:r>
        <w:rPr>
          <w:rFonts w:ascii="Times New Roman" w:cs="Times New Roman" w:eastAsia="Times New Roman" w:hAnsi="Times New Roman"/>
          <w:sz w:val="18"/>
          <w:szCs w:val="18"/>
          <w:color w:val="auto"/>
        </w:rPr>
        <w:t>By</w:t>
      </w:r>
      <w:r>
        <w:rPr>
          <w:rFonts w:ascii="Arial" w:cs="Arial" w:eastAsia="Arial" w:hAnsi="Arial"/>
          <w:sz w:val="18"/>
          <w:szCs w:val="18"/>
          <w:color w:val="222222"/>
        </w:rPr>
        <w:t>:</w:t>
      </w:r>
      <w:r>
        <w:rPr>
          <w:sz w:val="20"/>
          <w:szCs w:val="20"/>
          <w:color w:val="auto"/>
        </w:rPr>
        <w:tab/>
      </w:r>
      <w:r>
        <w:rPr>
          <w:rFonts w:ascii="Times New Roman" w:cs="Times New Roman" w:eastAsia="Times New Roman" w:hAnsi="Times New Roman"/>
          <w:sz w:val="16"/>
          <w:szCs w:val="16"/>
          <w:color w:val="auto"/>
        </w:rPr>
        <w:t>/s/ Mark A. Wallace</w:t>
      </w:r>
    </w:p>
    <w:p>
      <w:pPr>
        <w:spacing w:after="0" w:line="3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-126365</wp:posOffset>
            </wp:positionV>
            <wp:extent cx="39839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983990" cy="8255"/>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Executive Vice President – Chief Financial Officer</w:t>
      </w:r>
    </w:p>
    <w:p>
      <w:pPr>
        <w:spacing w:after="0" w:line="17"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and Treasurer</w:t>
      </w:r>
    </w:p>
    <w:sectPr>
      <w:pgSz w:w="11900" w:h="16838" w:orient="portrait"/>
      <w:cols w:equalWidth="0" w:num="1">
        <w:col w:w="11420"/>
      </w:cols>
      <w:pgMar w:left="240" w:top="1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lowerRoman"/>
      <w:start w:val="3"/>
    </w:lvl>
  </w:abstractNum>
  <w:abstractNum w:abstractNumId="5">
    <w:nsid w:val="431BD7B7"/>
    <w:multiLevelType w:val="hybridMultilevel"/>
    <w:lvl w:ilvl="0">
      <w:lvlJc w:val="left"/>
      <w:lvlText w:val="(%1)"/>
      <w:numFmt w:val="lowerRoman"/>
      <w:start w:val="5"/>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upperLetter"/>
      <w:start w:val="1"/>
    </w:lvl>
  </w:abstractNum>
  <w:abstractNum w:abstractNumId="13">
    <w:nsid w:val="721DA317"/>
    <w:multiLevelType w:val="hybridMultilevel"/>
    <w:lvl w:ilvl="0">
      <w:lvlJc w:val="left"/>
      <w:lvlText w:val="%1."/>
      <w:numFmt w:val="decimal"/>
      <w:start w:val="1"/>
    </w:lvl>
    <w:lvl w:ilvl="1">
      <w:lvlJc w:val="left"/>
      <w:lvlText w:val="(%2)"/>
      <w:numFmt w:val="lowerLetter"/>
      <w:start w:val="1"/>
    </w:lvl>
  </w:abstractNum>
  <w:abstractNum w:abstractNumId="14">
    <w:nsid w:val="2443A858"/>
    <w:multiLevelType w:val="hybridMultilevel"/>
    <w:lvl w:ilvl="0">
      <w:lvlJc w:val="left"/>
      <w:lvlText w:val="(%1)"/>
      <w:numFmt w:val="lowerLetter"/>
      <w:start w:val="3"/>
    </w:lvl>
    <w:lvl w:ilvl="1">
      <w:lvlJc w:val="left"/>
      <w:lvlText w:val="(%2)"/>
      <w:numFmt w:val="lowerRoman"/>
      <w:start w:val="1"/>
    </w:lvl>
  </w:abstractNum>
  <w:abstractNum w:abstractNumId="15">
    <w:nsid w:val="2D1D5AE9"/>
    <w:multiLevelType w:val="hybridMultilevel"/>
    <w:lvl w:ilvl="0">
      <w:lvlJc w:val="left"/>
      <w:lvlText w:val="%1"/>
      <w:numFmt w:val="decimal"/>
      <w:start w:val="1"/>
    </w:lvl>
    <w:lvl w:ilvl="1">
      <w:lvlJc w:val="left"/>
      <w:lvlText w:val="(%2)"/>
      <w:numFmt w:val="lowerLetter"/>
      <w:start w:val="6"/>
    </w:lvl>
  </w:abstractNum>
  <w:abstractNum w:abstractNumId="16">
    <w:nsid w:val="6763845E"/>
    <w:multiLevelType w:val="hybridMultilevel"/>
    <w:lvl w:ilvl="0">
      <w:lvlJc w:val="left"/>
      <w:lvlText w:val="%1."/>
      <w:numFmt w:val="decimal"/>
      <w:start w:val="2"/>
    </w:lvl>
    <w:lvl w:ilvl="1">
      <w:lvlJc w:val="left"/>
      <w:lvlText w:val="%2"/>
      <w:numFmt w:val="lowerLetter"/>
      <w:start w:val="1"/>
    </w:lvl>
  </w:abstractNum>
  <w:abstractNum w:abstractNumId="17">
    <w:nsid w:val="75A2A8D4"/>
    <w:multiLevelType w:val="hybridMultilevel"/>
    <w:lvl w:ilvl="0">
      <w:lvlJc w:val="left"/>
      <w:lvlText w:val="%1"/>
      <w:numFmt w:val="decimal"/>
      <w:start w:val="1"/>
    </w:lvl>
    <w:lvl w:ilvl="1">
      <w:lvlJc w:val="left"/>
      <w:lvlText w:val="(%2)"/>
      <w:numFmt w:val="lowerRoman"/>
      <w:start w:val="2"/>
    </w:lvl>
  </w:abstractNum>
  <w:abstractNum w:abstractNumId="18">
    <w:nsid w:val="8EDBDAB"/>
    <w:multiLevelType w:val="hybridMultilevel"/>
    <w:lvl w:ilvl="0">
      <w:lvlJc w:val="left"/>
      <w:lvlText w:val="%1."/>
      <w:numFmt w:val="decimal"/>
      <w:start w:val="4"/>
    </w:lvl>
    <w:lvl w:ilvl="1">
      <w:lvlJc w:val="left"/>
      <w:lvlText w:val="%2"/>
      <w:numFmt w:val="lowerRoman"/>
      <w:start w:val="1"/>
    </w:lvl>
  </w:abstractNum>
  <w:abstractNum w:abstractNumId="19">
    <w:nsid w:val="79838CB2"/>
    <w:multiLevelType w:val="hybridMultilevel"/>
    <w:lvl w:ilvl="0">
      <w:lvlJc w:val="left"/>
      <w:lvlText w:val="%1."/>
      <w:numFmt w:val="decimal"/>
      <w:start w:val="6"/>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lowerLetter"/>
      <w:start w:val="3"/>
    </w:lvl>
  </w:abstractNum>
  <w:abstractNum w:abstractNumId="22">
    <w:nsid w:val="189A769B"/>
    <w:multiLevelType w:val="hybridMultilevel"/>
    <w:lvl w:ilvl="0">
      <w:lvlJc w:val="left"/>
      <w:lvlText w:val="(%1)"/>
      <w:numFmt w:val="lowerLetter"/>
      <w:start w:val="4"/>
    </w:lvl>
  </w:abstractNum>
  <w:abstractNum w:abstractNumId="23">
    <w:nsid w:val="54E49EB4"/>
    <w:multiLevelType w:val="hybridMultilevel"/>
    <w:lvl w:ilvl="0">
      <w:lvlJc w:val="left"/>
      <w:lvlText w:val="(%1)"/>
      <w:numFmt w:val="lowerRoman"/>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2019-12-29T11:05:30Z</dcterms:created>
  <dcterms:modified xsi:type="dcterms:W3CDTF">2019-12-29T11:05:30Z</dcterms:modified>
</cp:coreProperties>
</file>