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64770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74295</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-113030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For the fiscal year ended December 31, 2020</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OR</w:t>
      </w:r>
    </w:p>
    <w:p>
      <w:pPr>
        <w:spacing w:after="0" w:line="20" w:lineRule="exact"/>
        <w:rPr>
          <w:sz w:val="24"/>
          <w:szCs w:val="24"/>
          <w:color w:val="auto"/>
        </w:rPr>
      </w:pPr>
    </w:p>
    <w:p>
      <w:pPr>
        <w:ind w:left="580" w:right="140" w:hanging="572"/>
        <w:spacing w:after="0" w:line="259" w:lineRule="auto"/>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6"/>
          <w:szCs w:val="16"/>
          <w:b w:val="1"/>
          <w:bCs w:val="1"/>
          <w:color w:val="auto"/>
        </w:rPr>
        <w:t>For the transition</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period from _____ to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-256540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8"/>
        </w:trPr>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060" w:type="dxa"/>
            <w:vAlign w:val="bottom"/>
            <w:gridSpan w:val="4"/>
          </w:tcPr>
          <w:p>
            <w:pPr>
              <w:jc w:val="center"/>
              <w:ind w:right="460"/>
              <w:spacing w:after="0"/>
              <w:rPr>
                <w:sz w:val="20"/>
                <w:szCs w:val="20"/>
                <w:color w:val="auto"/>
              </w:rPr>
            </w:pPr>
            <w:r>
              <w:rPr>
                <w:rFonts w:ascii="Arial" w:cs="Arial" w:eastAsia="Arial" w:hAnsi="Arial"/>
                <w:sz w:val="15"/>
                <w:szCs w:val="15"/>
                <w:b w:val="1"/>
                <w:bCs w:val="1"/>
                <w:color w:val="auto"/>
                <w:w w:val="91"/>
              </w:rPr>
              <w:t>Commission File Number 001-36708</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60" w:type="dxa"/>
            <w:vAlign w:val="bottom"/>
            <w:vMerge w:val="restart"/>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0" w:type="dxa"/>
            <w:vAlign w:val="bottom"/>
            <w:gridSpan w:val="3"/>
          </w:tcPr>
          <w:p>
            <w:pPr>
              <w:jc w:val="center"/>
              <w:spacing w:after="0"/>
              <w:rPr>
                <w:sz w:val="20"/>
                <w:szCs w:val="20"/>
                <w:color w:val="auto"/>
              </w:rPr>
            </w:pPr>
            <w:r>
              <w:rPr>
                <w:rFonts w:ascii="Arial" w:cs="Arial" w:eastAsia="Arial" w:hAnsi="Arial"/>
                <w:sz w:val="32"/>
                <w:szCs w:val="32"/>
                <w:b w:val="1"/>
                <w:bCs w:val="1"/>
                <w:color w:val="auto"/>
                <w:w w:val="95"/>
              </w:rPr>
              <w:t>Uniti Group Inc.</w:t>
            </w:r>
          </w:p>
        </w:tc>
        <w:tc>
          <w:tcPr>
            <w:tcW w:w="4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0" w:type="dxa"/>
            <w:vAlign w:val="bottom"/>
            <w:gridSpan w:val="5"/>
          </w:tcPr>
          <w:p>
            <w:pPr>
              <w:jc w:val="center"/>
              <w:ind w:left="1424"/>
              <w:spacing w:after="0"/>
              <w:rPr>
                <w:sz w:val="20"/>
                <w:szCs w:val="20"/>
                <w:color w:val="auto"/>
              </w:rPr>
            </w:pPr>
            <w:r>
              <w:rPr>
                <w:rFonts w:ascii="Arial" w:cs="Arial" w:eastAsia="Arial" w:hAnsi="Arial"/>
                <w:sz w:val="15"/>
                <w:szCs w:val="15"/>
                <w:b w:val="1"/>
                <w:bCs w:val="1"/>
                <w:color w:val="auto"/>
                <w:w w:val="91"/>
              </w:rPr>
              <w:t>(Exact name of Registrant as specified in its Charter)</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1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940" w:type="dxa"/>
            <w:vAlign w:val="bottom"/>
            <w:vMerge w:val="restart"/>
          </w:tcPr>
          <w:p>
            <w:pPr>
              <w:jc w:val="center"/>
              <w:ind w:right="1004"/>
              <w:spacing w:after="0"/>
              <w:rPr>
                <w:sz w:val="20"/>
                <w:szCs w:val="20"/>
                <w:color w:val="auto"/>
              </w:rPr>
            </w:pPr>
            <w:r>
              <w:rPr>
                <w:rFonts w:ascii="Arial" w:cs="Arial" w:eastAsia="Arial" w:hAnsi="Arial"/>
                <w:sz w:val="15"/>
                <w:szCs w:val="15"/>
                <w:b w:val="1"/>
                <w:bCs w:val="1"/>
                <w:color w:val="auto"/>
              </w:rPr>
              <w:t>Maryland</w:t>
            </w:r>
          </w:p>
        </w:tc>
        <w:tc>
          <w:tcPr>
            <w:tcW w:w="7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940" w:type="dxa"/>
            <w:vAlign w:val="bottom"/>
            <w:gridSpan w:val="2"/>
            <w:vMerge w:val="restart"/>
          </w:tcPr>
          <w:p>
            <w:pPr>
              <w:jc w:val="right"/>
              <w:ind w:right="968"/>
              <w:spacing w:after="0"/>
              <w:rPr>
                <w:sz w:val="20"/>
                <w:szCs w:val="20"/>
                <w:color w:val="auto"/>
              </w:rPr>
            </w:pPr>
            <w:r>
              <w:rPr>
                <w:rFonts w:ascii="Arial" w:cs="Arial" w:eastAsia="Arial" w:hAnsi="Arial"/>
                <w:sz w:val="15"/>
                <w:szCs w:val="15"/>
                <w:b w:val="1"/>
                <w:bCs w:val="1"/>
                <w:color w:val="auto"/>
              </w:rPr>
              <w:t>46-5230630</w:t>
            </w: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2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00" w:type="dxa"/>
            <w:vAlign w:val="bottom"/>
            <w:gridSpan w:val="3"/>
          </w:tcPr>
          <w:p>
            <w:pPr>
              <w:jc w:val="center"/>
              <w:ind w:right="134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54"/>
        </w:trPr>
        <w:tc>
          <w:tcPr>
            <w:tcW w:w="1340" w:type="dxa"/>
            <w:vAlign w:val="bottom"/>
          </w:tcPr>
          <w:p>
            <w:pPr>
              <w:spacing w:after="0"/>
              <w:rPr>
                <w:sz w:val="13"/>
                <w:szCs w:val="13"/>
                <w:color w:val="auto"/>
              </w:rPr>
            </w:pPr>
          </w:p>
        </w:tc>
        <w:tc>
          <w:tcPr>
            <w:tcW w:w="298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w w:val="94"/>
              </w:rPr>
              <w:t>incorporation or organization)</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20" w:type="dxa"/>
            <w:vAlign w:val="bottom"/>
            <w:gridSpan w:val="4"/>
          </w:tcPr>
          <w:p>
            <w:pPr>
              <w:jc w:val="center"/>
              <w:ind w:right="844"/>
              <w:spacing w:after="0" w:line="154" w:lineRule="exact"/>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298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3"/>
              </w:rPr>
              <w:t>10802 Executive Center Drive</w:t>
            </w: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298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1"/>
              </w:rPr>
              <w:t>Benton Building Suite 300</w:t>
            </w: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40" w:type="dxa"/>
            <w:vAlign w:val="bottom"/>
          </w:tcPr>
          <w:p>
            <w:pPr>
              <w:spacing w:after="0"/>
              <w:rPr>
                <w:sz w:val="13"/>
                <w:szCs w:val="13"/>
                <w:color w:val="auto"/>
              </w:rPr>
            </w:pPr>
          </w:p>
        </w:tc>
        <w:tc>
          <w:tcPr>
            <w:tcW w:w="2980" w:type="dxa"/>
            <w:vAlign w:val="bottom"/>
            <w:gridSpan w:val="2"/>
          </w:tcPr>
          <w:p>
            <w:pPr>
              <w:jc w:val="center"/>
              <w:spacing w:after="0" w:line="156" w:lineRule="exact"/>
              <w:rPr>
                <w:sz w:val="20"/>
                <w:szCs w:val="20"/>
                <w:color w:val="auto"/>
              </w:rPr>
            </w:pPr>
            <w:r>
              <w:rPr>
                <w:rFonts w:ascii="Arial" w:cs="Arial" w:eastAsia="Arial" w:hAnsi="Arial"/>
                <w:sz w:val="15"/>
                <w:szCs w:val="15"/>
                <w:b w:val="1"/>
                <w:bCs w:val="1"/>
                <w:color w:val="auto"/>
                <w:w w:val="94"/>
              </w:rPr>
              <w:t>Little Rock, Arkansas</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ind w:right="5"/>
              <w:spacing w:after="0" w:line="156" w:lineRule="exact"/>
              <w:rPr>
                <w:sz w:val="20"/>
                <w:szCs w:val="20"/>
                <w:color w:val="auto"/>
              </w:rPr>
            </w:pPr>
            <w:r>
              <w:rPr>
                <w:rFonts w:ascii="Arial" w:cs="Arial" w:eastAsia="Arial" w:hAnsi="Arial"/>
                <w:sz w:val="15"/>
                <w:szCs w:val="15"/>
                <w:b w:val="1"/>
                <w:bCs w:val="1"/>
                <w:color w:val="auto"/>
              </w:rPr>
              <w:t>72211</w:t>
            </w: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340" w:type="dxa"/>
            <w:vAlign w:val="bottom"/>
          </w:tcPr>
          <w:p>
            <w:pPr>
              <w:spacing w:after="0"/>
              <w:rPr>
                <w:sz w:val="16"/>
                <w:szCs w:val="16"/>
                <w:color w:val="auto"/>
              </w:rPr>
            </w:pPr>
          </w:p>
        </w:tc>
        <w:tc>
          <w:tcPr>
            <w:tcW w:w="2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500" w:type="dxa"/>
            <w:vAlign w:val="bottom"/>
            <w:gridSpan w:val="3"/>
          </w:tcPr>
          <w:p>
            <w:pPr>
              <w:jc w:val="center"/>
              <w:ind w:right="136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07"/>
        </w:trPr>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520" w:type="dxa"/>
            <w:vAlign w:val="bottom"/>
            <w:gridSpan w:val="6"/>
          </w:tcPr>
          <w:p>
            <w:pPr>
              <w:jc w:val="center"/>
              <w:ind w:left="884"/>
              <w:spacing w:after="0"/>
              <w:rPr>
                <w:sz w:val="20"/>
                <w:szCs w:val="20"/>
                <w:color w:val="auto"/>
              </w:rPr>
            </w:pPr>
            <w:r>
              <w:rPr>
                <w:rFonts w:ascii="Arial" w:cs="Arial" w:eastAsia="Arial" w:hAnsi="Arial"/>
                <w:sz w:val="15"/>
                <w:szCs w:val="15"/>
                <w:b w:val="1"/>
                <w:bCs w:val="1"/>
                <w:color w:val="auto"/>
                <w:w w:val="91"/>
              </w:rPr>
              <w:t>Registrant’s telephone number, including area code: (501) 850-0820</w:t>
            </w: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4320" w:type="dxa"/>
            <w:vAlign w:val="bottom"/>
            <w:gridSpan w:val="3"/>
            <w:vMerge w:val="restart"/>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7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320" w:type="dxa"/>
            <w:vAlign w:val="bottom"/>
            <w:gridSpan w:val="3"/>
            <w:vMerge w:val="continue"/>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500" w:type="dxa"/>
            <w:vAlign w:val="bottom"/>
            <w:gridSpan w:val="3"/>
          </w:tcPr>
          <w:p>
            <w:pPr>
              <w:ind w:left="680"/>
              <w:spacing w:after="0" w:line="151" w:lineRule="exact"/>
              <w:rPr>
                <w:sz w:val="20"/>
                <w:szCs w:val="20"/>
                <w:color w:val="auto"/>
              </w:rPr>
            </w:pPr>
            <w:r>
              <w:rPr>
                <w:rFonts w:ascii="Arial" w:cs="Arial" w:eastAsia="Arial" w:hAnsi="Arial"/>
                <w:sz w:val="14"/>
                <w:szCs w:val="14"/>
                <w:color w:val="auto"/>
              </w:rPr>
              <w:t>Name of each exchange</w:t>
            </w:r>
          </w:p>
        </w:tc>
        <w:tc>
          <w:tcPr>
            <w:tcW w:w="0" w:type="dxa"/>
            <w:vAlign w:val="bottom"/>
          </w:tcPr>
          <w:p>
            <w:pPr>
              <w:spacing w:after="0"/>
              <w:rPr>
                <w:sz w:val="1"/>
                <w:szCs w:val="1"/>
                <w:color w:val="auto"/>
              </w:rPr>
            </w:pPr>
          </w:p>
        </w:tc>
      </w:tr>
      <w:tr>
        <w:trPr>
          <w:trHeight w:val="154"/>
        </w:trPr>
        <w:tc>
          <w:tcPr>
            <w:tcW w:w="1340" w:type="dxa"/>
            <w:vAlign w:val="bottom"/>
          </w:tcPr>
          <w:p>
            <w:pPr>
              <w:spacing w:after="0"/>
              <w:rPr>
                <w:sz w:val="13"/>
                <w:szCs w:val="13"/>
                <w:color w:val="auto"/>
              </w:rPr>
            </w:pPr>
          </w:p>
        </w:tc>
        <w:tc>
          <w:tcPr>
            <w:tcW w:w="1040" w:type="dxa"/>
            <w:vAlign w:val="bottom"/>
          </w:tcPr>
          <w:p>
            <w:pPr>
              <w:jc w:val="center"/>
              <w:spacing w:after="0" w:line="154" w:lineRule="exact"/>
              <w:rPr>
                <w:sz w:val="20"/>
                <w:szCs w:val="20"/>
                <w:color w:val="auto"/>
              </w:rPr>
            </w:pPr>
            <w:r>
              <w:rPr>
                <w:rFonts w:ascii="Arial" w:cs="Arial" w:eastAsia="Arial" w:hAnsi="Arial"/>
                <w:sz w:val="14"/>
                <w:szCs w:val="14"/>
                <w:color w:val="auto"/>
                <w:w w:val="92"/>
              </w:rPr>
              <w:t>Title of each class</w:t>
            </w:r>
          </w:p>
        </w:tc>
        <w:tc>
          <w:tcPr>
            <w:tcW w:w="1940" w:type="dxa"/>
            <w:vAlign w:val="bottom"/>
          </w:tcPr>
          <w:p>
            <w:pPr>
              <w:spacing w:after="0"/>
              <w:rPr>
                <w:sz w:val="13"/>
                <w:szCs w:val="13"/>
                <w:color w:val="auto"/>
              </w:rPr>
            </w:pPr>
          </w:p>
        </w:tc>
        <w:tc>
          <w:tcPr>
            <w:tcW w:w="3060" w:type="dxa"/>
            <w:vAlign w:val="bottom"/>
            <w:gridSpan w:val="4"/>
          </w:tcPr>
          <w:p>
            <w:pPr>
              <w:jc w:val="center"/>
              <w:ind w:right="700"/>
              <w:spacing w:after="0" w:line="154" w:lineRule="exact"/>
              <w:rPr>
                <w:sz w:val="20"/>
                <w:szCs w:val="20"/>
                <w:color w:val="auto"/>
              </w:rPr>
            </w:pPr>
            <w:r>
              <w:rPr>
                <w:rFonts w:ascii="Arial" w:cs="Arial" w:eastAsia="Arial" w:hAnsi="Arial"/>
                <w:sz w:val="14"/>
                <w:szCs w:val="14"/>
                <w:color w:val="auto"/>
                <w:w w:val="93"/>
              </w:rPr>
              <w:t>Trading Symbol</w:t>
            </w: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00" w:type="dxa"/>
            <w:vAlign w:val="bottom"/>
            <w:gridSpan w:val="2"/>
          </w:tcPr>
          <w:p>
            <w:pPr>
              <w:jc w:val="right"/>
              <w:ind w:right="484"/>
              <w:spacing w:after="0" w:line="154" w:lineRule="exact"/>
              <w:rPr>
                <w:sz w:val="20"/>
                <w:szCs w:val="20"/>
                <w:color w:val="auto"/>
              </w:rPr>
            </w:pPr>
            <w:r>
              <w:rPr>
                <w:rFonts w:ascii="Arial" w:cs="Arial" w:eastAsia="Arial" w:hAnsi="Arial"/>
                <w:sz w:val="14"/>
                <w:szCs w:val="14"/>
                <w:color w:val="auto"/>
                <w:w w:val="92"/>
              </w:rPr>
              <w:t>on which registered</w:t>
            </w:r>
          </w:p>
        </w:tc>
        <w:tc>
          <w:tcPr>
            <w:tcW w:w="0" w:type="dxa"/>
            <w:vAlign w:val="bottom"/>
          </w:tcPr>
          <w:p>
            <w:pPr>
              <w:spacing w:after="0"/>
              <w:rPr>
                <w:sz w:val="1"/>
                <w:szCs w:val="1"/>
                <w:color w:val="auto"/>
              </w:rPr>
            </w:pPr>
          </w:p>
        </w:tc>
      </w:tr>
      <w:tr>
        <w:trPr>
          <w:trHeight w:val="20"/>
        </w:trPr>
        <w:tc>
          <w:tcPr>
            <w:tcW w:w="1340" w:type="dxa"/>
            <w:vAlign w:val="bottom"/>
            <w:vMerge w:val="restart"/>
          </w:tcPr>
          <w:p>
            <w:pPr>
              <w:ind w:left="780"/>
              <w:spacing w:after="0"/>
              <w:rPr>
                <w:sz w:val="20"/>
                <w:szCs w:val="20"/>
                <w:color w:val="auto"/>
              </w:rPr>
            </w:pPr>
            <w:r>
              <w:rPr>
                <w:rFonts w:ascii="Arial" w:cs="Arial" w:eastAsia="Arial" w:hAnsi="Arial"/>
                <w:sz w:val="15"/>
                <w:szCs w:val="15"/>
                <w:color w:val="auto"/>
                <w:w w:val="88"/>
              </w:rPr>
              <w:t>Common</w:t>
            </w:r>
          </w:p>
        </w:tc>
        <w:tc>
          <w:tcPr>
            <w:tcW w:w="1040" w:type="dxa"/>
            <w:vAlign w:val="bottom"/>
            <w:shd w:val="clear" w:color="auto" w:fill="000000"/>
          </w:tcPr>
          <w:p>
            <w:pPr>
              <w:spacing w:after="0" w:line="20" w:lineRule="exact"/>
              <w:rPr>
                <w:sz w:val="1"/>
                <w:szCs w:val="1"/>
                <w:color w:val="auto"/>
              </w:rPr>
            </w:pPr>
          </w:p>
        </w:tc>
        <w:tc>
          <w:tcPr>
            <w:tcW w:w="1940" w:type="dxa"/>
            <w:vAlign w:val="bottom"/>
            <w:vMerge w:val="restart"/>
          </w:tcPr>
          <w:p>
            <w:pPr>
              <w:spacing w:after="0"/>
              <w:rPr>
                <w:sz w:val="20"/>
                <w:szCs w:val="20"/>
                <w:color w:val="auto"/>
              </w:rPr>
            </w:pPr>
            <w:r>
              <w:rPr>
                <w:rFonts w:ascii="Arial" w:cs="Arial" w:eastAsia="Arial" w:hAnsi="Arial"/>
                <w:sz w:val="15"/>
                <w:szCs w:val="15"/>
                <w:color w:val="auto"/>
              </w:rPr>
              <w:t>Par Value</w:t>
            </w:r>
          </w:p>
        </w:tc>
        <w:tc>
          <w:tcPr>
            <w:tcW w:w="7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20" w:type="dxa"/>
            <w:vAlign w:val="bottom"/>
            <w:gridSpan w:val="2"/>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60" w:type="dxa"/>
            <w:vAlign w:val="bottom"/>
            <w:vMerge w:val="restart"/>
          </w:tcPr>
          <w:p>
            <w:pPr>
              <w:ind w:left="120"/>
              <w:spacing w:after="0"/>
              <w:rPr>
                <w:sz w:val="20"/>
                <w:szCs w:val="20"/>
                <w:color w:val="auto"/>
              </w:rPr>
            </w:pPr>
            <w:r>
              <w:rPr>
                <w:rFonts w:ascii="Arial" w:cs="Arial" w:eastAsia="Arial" w:hAnsi="Arial"/>
                <w:sz w:val="15"/>
                <w:szCs w:val="15"/>
                <w:color w:val="auto"/>
                <w:w w:val="91"/>
              </w:rPr>
              <w:t>Market</w:t>
            </w:r>
          </w:p>
        </w:tc>
        <w:tc>
          <w:tcPr>
            <w:tcW w:w="0" w:type="dxa"/>
            <w:vAlign w:val="bottom"/>
          </w:tcPr>
          <w:p>
            <w:pPr>
              <w:spacing w:after="0" w:line="20" w:lineRule="exact"/>
              <w:rPr>
                <w:sz w:val="1"/>
                <w:szCs w:val="1"/>
                <w:color w:val="auto"/>
              </w:rPr>
            </w:pPr>
          </w:p>
        </w:tc>
      </w:tr>
      <w:tr>
        <w:trPr>
          <w:trHeight w:val="179"/>
        </w:trPr>
        <w:tc>
          <w:tcPr>
            <w:tcW w:w="1340" w:type="dxa"/>
            <w:vAlign w:val="bottom"/>
            <w:vMerge w:val="continue"/>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5"/>
                <w:szCs w:val="15"/>
                <w:color w:val="auto"/>
                <w:w w:val="91"/>
              </w:rPr>
              <w:t>Stock, $0.0001</w:t>
            </w:r>
          </w:p>
        </w:tc>
        <w:tc>
          <w:tcPr>
            <w:tcW w:w="19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color w:val="auto"/>
              </w:rPr>
              <w:t>UNIT</w:t>
            </w:r>
          </w:p>
        </w:tc>
        <w:tc>
          <w:tcPr>
            <w:tcW w:w="14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940" w:type="dxa"/>
            <w:vAlign w:val="bottom"/>
            <w:gridSpan w:val="2"/>
          </w:tcPr>
          <w:p>
            <w:pPr>
              <w:jc w:val="right"/>
              <w:spacing w:after="0"/>
              <w:rPr>
                <w:sz w:val="20"/>
                <w:szCs w:val="20"/>
                <w:color w:val="auto"/>
              </w:rPr>
            </w:pPr>
            <w:r>
              <w:rPr>
                <w:rFonts w:ascii="Arial" w:cs="Arial" w:eastAsia="Arial" w:hAnsi="Arial"/>
                <w:sz w:val="15"/>
                <w:szCs w:val="15"/>
                <w:color w:val="auto"/>
              </w:rPr>
              <w:t>The NASDAQ Global Select</w:t>
            </w: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320" w:type="dxa"/>
            <w:vAlign w:val="bottom"/>
            <w:gridSpan w:val="3"/>
          </w:tcPr>
          <w:p>
            <w:pPr>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vMerge w:val="restart"/>
          </w:tcPr>
          <w:p>
            <w:pPr>
              <w:ind w:left="20"/>
              <w:spacing w:after="0" w:line="173" w:lineRule="exact"/>
              <w:rPr>
                <w:sz w:val="20"/>
                <w:szCs w:val="20"/>
                <w:color w:val="auto"/>
              </w:rPr>
            </w:pPr>
            <w:r>
              <w:rPr>
                <w:rFonts w:ascii="Arial" w:cs="Arial" w:eastAsia="Arial" w:hAnsi="Arial"/>
                <w:sz w:val="15"/>
                <w:szCs w:val="15"/>
                <w:color w:val="auto"/>
                <w:w w:val="97"/>
              </w:rPr>
              <w:t xml:space="preserve">YES </w:t>
            </w:r>
            <w:r>
              <w:rPr>
                <w:rFonts w:ascii="MS PGothic" w:cs="MS PGothic" w:eastAsia="MS PGothic" w:hAnsi="MS PGothic"/>
                <w:sz w:val="15"/>
                <w:szCs w:val="15"/>
                <w:color w:val="auto"/>
                <w:w w:val="97"/>
              </w:rPr>
              <w:t>☒</w:t>
            </w:r>
          </w:p>
        </w:tc>
        <w:tc>
          <w:tcPr>
            <w:tcW w:w="2500" w:type="dxa"/>
            <w:vAlign w:val="bottom"/>
            <w:gridSpan w:val="3"/>
            <w:vMerge w:val="restart"/>
          </w:tcPr>
          <w:p>
            <w:pPr>
              <w:ind w:left="10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08"/>
        </w:trPr>
        <w:tc>
          <w:tcPr>
            <w:tcW w:w="7380" w:type="dxa"/>
            <w:vAlign w:val="bottom"/>
            <w:gridSpan w:val="7"/>
          </w:tcPr>
          <w:p>
            <w:pPr>
              <w:spacing w:after="0"/>
              <w:rPr>
                <w:sz w:val="20"/>
                <w:szCs w:val="20"/>
                <w:color w:val="auto"/>
              </w:rPr>
            </w:pPr>
            <w:r>
              <w:rPr>
                <w:rFonts w:ascii="Arial" w:cs="Arial" w:eastAsia="Arial" w:hAnsi="Arial"/>
                <w:sz w:val="15"/>
                <w:szCs w:val="15"/>
                <w:color w:val="auto"/>
                <w:w w:val="94"/>
              </w:rPr>
              <w:t>Indicate by check mark if the Registrant is a well-known seasoned issuer, as defined in Rule 405 of the Securities Act.</w:t>
            </w:r>
          </w:p>
        </w:tc>
        <w:tc>
          <w:tcPr>
            <w:tcW w:w="520" w:type="dxa"/>
            <w:vAlign w:val="bottom"/>
            <w:vMerge w:val="continue"/>
          </w:tcPr>
          <w:p>
            <w:pPr>
              <w:spacing w:after="0"/>
              <w:rPr>
                <w:sz w:val="18"/>
                <w:szCs w:val="18"/>
                <w:color w:val="auto"/>
              </w:rPr>
            </w:pPr>
          </w:p>
        </w:tc>
        <w:tc>
          <w:tcPr>
            <w:tcW w:w="25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380" w:type="dxa"/>
            <w:vAlign w:val="bottom"/>
            <w:gridSpan w:val="7"/>
          </w:tcPr>
          <w:p>
            <w:pPr>
              <w:spacing w:after="0"/>
              <w:rPr>
                <w:sz w:val="20"/>
                <w:szCs w:val="20"/>
                <w:color w:val="auto"/>
              </w:rPr>
            </w:pPr>
            <w:r>
              <w:rPr>
                <w:rFonts w:ascii="Arial" w:cs="Arial" w:eastAsia="Arial" w:hAnsi="Arial"/>
                <w:sz w:val="15"/>
                <w:szCs w:val="15"/>
                <w:color w:val="auto"/>
                <w:w w:val="95"/>
              </w:rPr>
              <w:t>Indicate by check mark if the Registrant is not required to file reports pursuant to Section 13 or 15(d) of the Act.  YES</w:t>
            </w:r>
          </w:p>
        </w:tc>
        <w:tc>
          <w:tcPr>
            <w:tcW w:w="520" w:type="dxa"/>
            <w:vAlign w:val="bottom"/>
          </w:tcPr>
          <w:p>
            <w:pPr>
              <w:ind w:left="2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tc>
        <w:tc>
          <w:tcPr>
            <w:tcW w:w="2500" w:type="dxa"/>
            <w:vAlign w:val="bottom"/>
            <w:gridSpan w:val="3"/>
          </w:tcPr>
          <w:p>
            <w:pPr>
              <w:ind w:left="8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ind w:right="480"/>
        <w:spacing w:after="0" w:line="25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73" w:lineRule="exact"/>
        <w:tabs>
          <w:tab w:leader="none" w:pos="660" w:val="left"/>
          <w:tab w:leader="none" w:pos="1300" w:val="left"/>
        </w:tabs>
        <w:rPr>
          <w:sz w:val="20"/>
          <w:szCs w:val="20"/>
          <w:color w:val="auto"/>
        </w:rPr>
      </w:pPr>
      <w:r>
        <w:rPr>
          <w:rFonts w:ascii="Arial" w:cs="Arial" w:eastAsia="Arial" w:hAnsi="Arial"/>
          <w:sz w:val="15"/>
          <w:szCs w:val="15"/>
          <w:color w:val="auto"/>
        </w:rPr>
        <w:t>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37" w:lineRule="exact"/>
        <w:rPr>
          <w:sz w:val="24"/>
          <w:szCs w:val="24"/>
          <w:color w:val="auto"/>
        </w:rPr>
      </w:pPr>
    </w:p>
    <w:p>
      <w:pPr>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25"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3" w:right="439" w:bottom="1440" w:gutter="0" w:footer="0" w:header="0"/>
        </w:sectPr>
      </w:pPr>
    </w:p>
    <w:p>
      <w:pPr>
        <w:spacing w:after="0" w:line="10" w:lineRule="exact"/>
        <w:rPr>
          <w:sz w:val="24"/>
          <w:szCs w:val="24"/>
          <w:color w:val="auto"/>
        </w:rPr>
      </w:pPr>
    </w:p>
    <w:p>
      <w:pPr>
        <w:spacing w:after="0" w:line="173" w:lineRule="exact"/>
        <w:tabs>
          <w:tab w:leader="none" w:pos="1920" w:val="left"/>
          <w:tab w:leader="none" w:pos="8620"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Accelerated filer</w:t>
      </w:r>
    </w:p>
    <w:p>
      <w:pPr>
        <w:spacing w:after="0" w:line="60" w:lineRule="exact"/>
        <w:rPr>
          <w:sz w:val="24"/>
          <w:szCs w:val="24"/>
          <w:color w:val="auto"/>
        </w:rPr>
      </w:pPr>
    </w:p>
    <w:p>
      <w:pPr>
        <w:spacing w:after="0" w:line="173" w:lineRule="exact"/>
        <w:tabs>
          <w:tab w:leader="none" w:pos="1920" w:val="left"/>
          <w:tab w:leader="none" w:pos="8620" w:val="left"/>
        </w:tabs>
        <w:rPr>
          <w:sz w:val="20"/>
          <w:szCs w:val="20"/>
          <w:color w:val="auto"/>
        </w:rPr>
      </w:pPr>
      <w:r>
        <w:rPr>
          <w:rFonts w:ascii="Arial" w:cs="Arial" w:eastAsia="Arial" w:hAnsi="Arial"/>
          <w:sz w:val="15"/>
          <w:szCs w:val="15"/>
          <w:color w:val="auto"/>
        </w:rPr>
        <w:t>Non-accelerated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Smaller reporting company</w:t>
      </w:r>
    </w:p>
    <w:p>
      <w:pPr>
        <w:spacing w:after="0" w:line="34" w:lineRule="exact"/>
        <w:rPr>
          <w:sz w:val="24"/>
          <w:szCs w:val="24"/>
          <w:color w:val="auto"/>
        </w:rPr>
      </w:pPr>
    </w:p>
    <w:p>
      <w:pPr>
        <w:ind w:left="8640"/>
        <w:spacing w:after="0"/>
        <w:rPr>
          <w:sz w:val="20"/>
          <w:szCs w:val="20"/>
          <w:color w:val="auto"/>
        </w:rPr>
      </w:pPr>
      <w:r>
        <w:rPr>
          <w:rFonts w:ascii="Arial" w:cs="Arial" w:eastAsia="Arial" w:hAnsi="Arial"/>
          <w:sz w:val="15"/>
          <w:szCs w:val="15"/>
          <w:color w:val="auto"/>
        </w:rPr>
        <w:t>Emerging growth company</w:t>
      </w:r>
    </w:p>
    <w:p>
      <w:pPr>
        <w:spacing w:after="0" w:line="45" w:lineRule="exact"/>
        <w:rPr>
          <w:sz w:val="24"/>
          <w:szCs w:val="24"/>
          <w:color w:val="auto"/>
        </w:rPr>
      </w:pPr>
    </w:p>
    <w:p>
      <w:pPr>
        <w:ind w:right="300"/>
        <w:spacing w:after="0" w:line="18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26"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w:t>
      </w:r>
    </w:p>
    <w:p>
      <w:pPr>
        <w:ind w:right="120"/>
        <w:spacing w:after="0" w:line="179" w:lineRule="exact"/>
        <w:rPr>
          <w:sz w:val="20"/>
          <w:szCs w:val="20"/>
          <w:color w:val="auto"/>
        </w:rPr>
      </w:pPr>
      <w:r>
        <w:rPr>
          <w:rFonts w:ascii="Arial" w:cs="Arial" w:eastAsia="Arial" w:hAnsi="Arial"/>
          <w:sz w:val="15"/>
          <w:szCs w:val="15"/>
          <w:color w:val="auto"/>
        </w:rPr>
        <w:t xml:space="preserve">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tabs>
          <w:tab w:leader="none" w:pos="6500" w:val="left"/>
          <w:tab w:leader="none" w:pos="71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31" w:lineRule="exact"/>
        <w:rPr>
          <w:sz w:val="24"/>
          <w:szCs w:val="24"/>
          <w:color w:val="auto"/>
        </w:rPr>
      </w:pPr>
    </w:p>
    <w:p>
      <w:pPr>
        <w:spacing w:after="0" w:line="244"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based on the closing price of the shares of common stock on The NASDAQ Global Select Market on June 30, 2020 was $1,135,058,547</w:t>
      </w: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the Registrant’s common stock outstanding as of February 26, 2021 was 232,897,213.</w:t>
      </w:r>
    </w:p>
    <w:p>
      <w:pPr>
        <w:spacing w:after="0" w:line="30" w:lineRule="exact"/>
        <w:rPr>
          <w:sz w:val="24"/>
          <w:szCs w:val="24"/>
          <w:color w:val="auto"/>
        </w:rPr>
      </w:pPr>
    </w:p>
    <w:p>
      <w:pPr>
        <w:ind w:left="3960"/>
        <w:spacing w:after="0"/>
        <w:rPr>
          <w:sz w:val="20"/>
          <w:szCs w:val="20"/>
          <w:color w:val="auto"/>
        </w:rPr>
      </w:pPr>
      <w:r>
        <w:rPr>
          <w:rFonts w:ascii="Arial" w:cs="Arial" w:eastAsia="Arial" w:hAnsi="Arial"/>
          <w:sz w:val="15"/>
          <w:szCs w:val="15"/>
          <w:color w:val="auto"/>
        </w:rPr>
        <w:t>DOCUMENTS INCORPORATED BY REFERENCE</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MS PGothic" w:cs="MS PGothic" w:eastAsia="MS PGothic" w:hAnsi="MS PGothic"/>
          <w:sz w:val="14"/>
          <w:szCs w:val="14"/>
          <w:color w:val="auto"/>
        </w:rPr>
        <w:t>☐</w:t>
      </w:r>
    </w:p>
    <w:p>
      <w:pPr>
        <w:spacing w:after="0" w:line="9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911" w:lineRule="exact"/>
        <w:rPr>
          <w:sz w:val="24"/>
          <w:szCs w:val="24"/>
          <w:color w:val="auto"/>
        </w:rPr>
      </w:pPr>
    </w:p>
    <w:p>
      <w:pPr>
        <w:sectPr>
          <w:pgSz w:w="11900" w:h="16838" w:orient="portrait"/>
          <w:cols w:equalWidth="0" w:num="2">
            <w:col w:w="10940" w:space="60"/>
            <w:col w:w="140"/>
          </w:cols>
          <w:pgMar w:left="320" w:top="233" w:right="439" w:bottom="1440" w:gutter="0" w:footer="0" w:header="0"/>
          <w:type w:val="continuous"/>
        </w:sectPr>
      </w:pPr>
    </w:p>
    <w:p>
      <w:pPr>
        <w:ind w:right="120"/>
        <w:spacing w:after="0" w:line="248" w:lineRule="auto"/>
        <w:rPr>
          <w:sz w:val="20"/>
          <w:szCs w:val="20"/>
          <w:color w:val="auto"/>
        </w:rPr>
      </w:pPr>
      <w:r>
        <w:rPr>
          <w:rFonts w:ascii="Arial" w:cs="Arial" w:eastAsia="Arial" w:hAnsi="Arial"/>
          <w:sz w:val="15"/>
          <w:szCs w:val="15"/>
          <w:color w:val="auto"/>
        </w:rPr>
        <w:t>Portions of the Registrant’s definitive proxy statement relating to the 2021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60" w:type="dxa"/>
            <w:vAlign w:val="bottom"/>
          </w:tcPr>
          <w:p>
            <w:pPr>
              <w:ind w:left="26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12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10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ind w:left="140"/>
              <w:spacing w:after="0"/>
              <w:rPr>
                <w:sz w:val="20"/>
                <w:szCs w:val="20"/>
                <w:color w:val="auto"/>
              </w:rPr>
            </w:pPr>
            <w:r>
              <w:rPr>
                <w:rFonts w:ascii="Arial" w:cs="Arial" w:eastAsia="Arial" w:hAnsi="Arial"/>
                <w:sz w:val="18"/>
                <w:szCs w:val="18"/>
                <w:color w:val="auto"/>
              </w:rPr>
              <w:t>Item 1.</w:t>
            </w:r>
          </w:p>
        </w:tc>
        <w:tc>
          <w:tcPr>
            <w:tcW w:w="1240" w:type="dxa"/>
            <w:vAlign w:val="bottom"/>
          </w:tcPr>
          <w:p>
            <w:pPr>
              <w:ind w:left="3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8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1100" w:type="dxa"/>
            <w:vAlign w:val="bottom"/>
          </w:tcPr>
          <w:p>
            <w:pPr>
              <w:ind w:left="140"/>
              <w:spacing w:after="0"/>
              <w:rPr>
                <w:sz w:val="20"/>
                <w:szCs w:val="20"/>
                <w:color w:val="auto"/>
              </w:rPr>
            </w:pPr>
            <w:r>
              <w:rPr>
                <w:rFonts w:ascii="Arial" w:cs="Arial" w:eastAsia="Arial" w:hAnsi="Arial"/>
                <w:sz w:val="18"/>
                <w:szCs w:val="18"/>
                <w:color w:val="auto"/>
              </w:rPr>
              <w:t>Item 1A.</w:t>
            </w:r>
          </w:p>
        </w:tc>
        <w:tc>
          <w:tcPr>
            <w:tcW w:w="1240" w:type="dxa"/>
            <w:vAlign w:val="bottom"/>
          </w:tcPr>
          <w:p>
            <w:pPr>
              <w:ind w:left="320"/>
              <w:spacing w:after="0"/>
              <w:rPr>
                <w:rFonts w:ascii="Arial" w:cs="Arial" w:eastAsia="Arial" w:hAnsi="Arial"/>
                <w:sz w:val="18"/>
                <w:szCs w:val="18"/>
                <w:u w:val="single" w:color="auto"/>
                <w:color w:val="0000EE"/>
                <w:w w:val="89"/>
              </w:rPr>
            </w:pPr>
            <w:hyperlink w:anchor="page14">
              <w:r>
                <w:rPr>
                  <w:rFonts w:ascii="Arial" w:cs="Arial" w:eastAsia="Arial" w:hAnsi="Arial"/>
                  <w:sz w:val="18"/>
                  <w:szCs w:val="18"/>
                  <w:u w:val="single" w:color="auto"/>
                  <w:color w:val="0000EE"/>
                  <w:w w:val="89"/>
                </w:rPr>
                <w:t>Risk Factors</w:t>
              </w:r>
            </w:hyperlink>
          </w:p>
        </w:tc>
        <w:tc>
          <w:tcPr>
            <w:tcW w:w="8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1100" w:type="dxa"/>
            <w:vAlign w:val="bottom"/>
          </w:tcPr>
          <w:p>
            <w:pPr>
              <w:ind w:left="140"/>
              <w:spacing w:after="0"/>
              <w:rPr>
                <w:sz w:val="20"/>
                <w:szCs w:val="20"/>
                <w:color w:val="auto"/>
              </w:rPr>
            </w:pPr>
            <w:r>
              <w:rPr>
                <w:rFonts w:ascii="Arial" w:cs="Arial" w:eastAsia="Arial" w:hAnsi="Arial"/>
                <w:sz w:val="18"/>
                <w:szCs w:val="18"/>
                <w:color w:val="auto"/>
              </w:rPr>
              <w:t>Item 1B.</w:t>
            </w:r>
          </w:p>
        </w:tc>
        <w:tc>
          <w:tcPr>
            <w:tcW w:w="9500" w:type="dxa"/>
            <w:vAlign w:val="bottom"/>
            <w:gridSpan w:val="2"/>
          </w:tcPr>
          <w:p>
            <w:pPr>
              <w:ind w:left="3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Unresolved Staff Comments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1100" w:type="dxa"/>
            <w:vAlign w:val="bottom"/>
          </w:tcPr>
          <w:p>
            <w:pPr>
              <w:ind w:left="140"/>
              <w:spacing w:after="0"/>
              <w:rPr>
                <w:sz w:val="20"/>
                <w:szCs w:val="20"/>
                <w:color w:val="auto"/>
              </w:rPr>
            </w:pPr>
            <w:r>
              <w:rPr>
                <w:rFonts w:ascii="Arial" w:cs="Arial" w:eastAsia="Arial" w:hAnsi="Arial"/>
                <w:sz w:val="18"/>
                <w:szCs w:val="18"/>
                <w:color w:val="auto"/>
              </w:rPr>
              <w:t>Item 2.</w:t>
            </w:r>
          </w:p>
        </w:tc>
        <w:tc>
          <w:tcPr>
            <w:tcW w:w="1240" w:type="dxa"/>
            <w:vAlign w:val="bottom"/>
          </w:tcPr>
          <w:p>
            <w:pPr>
              <w:ind w:left="3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Properties</w:t>
              </w:r>
            </w:hyperlink>
          </w:p>
        </w:tc>
        <w:tc>
          <w:tcPr>
            <w:tcW w:w="8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1100" w:type="dxa"/>
            <w:vAlign w:val="bottom"/>
          </w:tcPr>
          <w:p>
            <w:pPr>
              <w:ind w:left="140"/>
              <w:spacing w:after="0"/>
              <w:rPr>
                <w:sz w:val="20"/>
                <w:szCs w:val="20"/>
                <w:color w:val="auto"/>
              </w:rPr>
            </w:pPr>
            <w:r>
              <w:rPr>
                <w:rFonts w:ascii="Arial" w:cs="Arial" w:eastAsia="Arial" w:hAnsi="Arial"/>
                <w:sz w:val="18"/>
                <w:szCs w:val="18"/>
                <w:color w:val="auto"/>
              </w:rPr>
              <w:t>Item 3.</w:t>
            </w:r>
          </w:p>
        </w:tc>
        <w:tc>
          <w:tcPr>
            <w:tcW w:w="9500" w:type="dxa"/>
            <w:vAlign w:val="bottom"/>
            <w:gridSpan w:val="2"/>
          </w:tcPr>
          <w:p>
            <w:pPr>
              <w:ind w:left="3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Legal Proceedings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1100" w:type="dxa"/>
            <w:vAlign w:val="bottom"/>
          </w:tcPr>
          <w:p>
            <w:pPr>
              <w:ind w:left="140"/>
              <w:spacing w:after="0"/>
              <w:rPr>
                <w:sz w:val="20"/>
                <w:szCs w:val="20"/>
                <w:color w:val="auto"/>
              </w:rPr>
            </w:pPr>
            <w:r>
              <w:rPr>
                <w:rFonts w:ascii="Arial" w:cs="Arial" w:eastAsia="Arial" w:hAnsi="Arial"/>
                <w:sz w:val="18"/>
                <w:szCs w:val="18"/>
                <w:color w:val="auto"/>
              </w:rPr>
              <w:t>Item 4.</w:t>
            </w:r>
          </w:p>
        </w:tc>
        <w:tc>
          <w:tcPr>
            <w:tcW w:w="9500" w:type="dxa"/>
            <w:vAlign w:val="bottom"/>
            <w:gridSpan w:val="2"/>
          </w:tcPr>
          <w:p>
            <w:pPr>
              <w:ind w:left="3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Mine Safety Disclosures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2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100" w:type="dxa"/>
            <w:vAlign w:val="bottom"/>
          </w:tcPr>
          <w:p>
            <w:pPr>
              <w:ind w:left="140"/>
              <w:spacing w:after="0"/>
              <w:rPr>
                <w:sz w:val="20"/>
                <w:szCs w:val="20"/>
                <w:color w:val="auto"/>
              </w:rPr>
            </w:pPr>
            <w:r>
              <w:rPr>
                <w:rFonts w:ascii="Arial" w:cs="Arial" w:eastAsia="Arial" w:hAnsi="Arial"/>
                <w:sz w:val="18"/>
                <w:szCs w:val="18"/>
                <w:color w:val="auto"/>
              </w:rPr>
              <w:t>Item 5.</w:t>
            </w:r>
          </w:p>
        </w:tc>
        <w:tc>
          <w:tcPr>
            <w:tcW w:w="9500" w:type="dxa"/>
            <w:vAlign w:val="bottom"/>
            <w:gridSpan w:val="2"/>
          </w:tcPr>
          <w:p>
            <w:pPr>
              <w:ind w:left="3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1100" w:type="dxa"/>
            <w:vAlign w:val="bottom"/>
          </w:tcPr>
          <w:p>
            <w:pPr>
              <w:ind w:left="140"/>
              <w:spacing w:after="0"/>
              <w:rPr>
                <w:sz w:val="20"/>
                <w:szCs w:val="20"/>
                <w:color w:val="auto"/>
              </w:rPr>
            </w:pPr>
            <w:r>
              <w:rPr>
                <w:rFonts w:ascii="Arial" w:cs="Arial" w:eastAsia="Arial" w:hAnsi="Arial"/>
                <w:sz w:val="18"/>
                <w:szCs w:val="18"/>
                <w:color w:val="auto"/>
              </w:rPr>
              <w:t>Item 6.</w:t>
            </w:r>
          </w:p>
        </w:tc>
        <w:tc>
          <w:tcPr>
            <w:tcW w:w="9500" w:type="dxa"/>
            <w:vAlign w:val="bottom"/>
            <w:gridSpan w:val="2"/>
          </w:tcPr>
          <w:p>
            <w:pPr>
              <w:ind w:left="3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Selected Financial Data</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1100" w:type="dxa"/>
            <w:vAlign w:val="bottom"/>
          </w:tcPr>
          <w:p>
            <w:pPr>
              <w:ind w:left="140"/>
              <w:spacing w:after="0"/>
              <w:rPr>
                <w:sz w:val="20"/>
                <w:szCs w:val="20"/>
                <w:color w:val="auto"/>
              </w:rPr>
            </w:pPr>
            <w:r>
              <w:rPr>
                <w:rFonts w:ascii="Arial" w:cs="Arial" w:eastAsia="Arial" w:hAnsi="Arial"/>
                <w:sz w:val="18"/>
                <w:szCs w:val="18"/>
                <w:color w:val="auto"/>
              </w:rPr>
              <w:t>Item 7.</w:t>
            </w:r>
          </w:p>
        </w:tc>
        <w:tc>
          <w:tcPr>
            <w:tcW w:w="9500" w:type="dxa"/>
            <w:vAlign w:val="bottom"/>
            <w:gridSpan w:val="2"/>
          </w:tcPr>
          <w:p>
            <w:pPr>
              <w:ind w:left="3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Management’s Discussion and Analysis of Financial Condition and Results of Operations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240" w:type="dxa"/>
            <w:vAlign w:val="bottom"/>
          </w:tcPr>
          <w:p>
            <w:pPr>
              <w:ind w:left="9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1.</w:t>
              </w:r>
            </w:hyperlink>
          </w:p>
        </w:tc>
        <w:tc>
          <w:tcPr>
            <w:tcW w:w="826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Overview</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240" w:type="dxa"/>
            <w:vAlign w:val="bottom"/>
          </w:tcPr>
          <w:p>
            <w:pPr>
              <w:ind w:left="9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2.</w:t>
              </w:r>
            </w:hyperlink>
          </w:p>
        </w:tc>
        <w:tc>
          <w:tcPr>
            <w:tcW w:w="82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Results of Operations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240" w:type="dxa"/>
            <w:vAlign w:val="bottom"/>
          </w:tcPr>
          <w:p>
            <w:pPr>
              <w:ind w:left="9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3.</w:t>
              </w:r>
            </w:hyperlink>
          </w:p>
        </w:tc>
        <w:tc>
          <w:tcPr>
            <w:tcW w:w="826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Non-GAAP Financial Measures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9500" w:type="dxa"/>
            <w:vAlign w:val="bottom"/>
            <w:gridSpan w:val="2"/>
          </w:tcPr>
          <w:p>
            <w:pPr>
              <w:ind w:left="9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  Liquidity and Capital Resources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1100" w:type="dxa"/>
            <w:vAlign w:val="bottom"/>
          </w:tcPr>
          <w:p>
            <w:pPr>
              <w:ind w:left="140"/>
              <w:spacing w:after="0"/>
              <w:rPr>
                <w:sz w:val="20"/>
                <w:szCs w:val="20"/>
                <w:color w:val="auto"/>
              </w:rPr>
            </w:pPr>
            <w:r>
              <w:rPr>
                <w:rFonts w:ascii="Arial" w:cs="Arial" w:eastAsia="Arial" w:hAnsi="Arial"/>
                <w:sz w:val="18"/>
                <w:szCs w:val="18"/>
                <w:color w:val="auto"/>
              </w:rPr>
              <w:t>Item 7A.</w:t>
            </w:r>
          </w:p>
        </w:tc>
        <w:tc>
          <w:tcPr>
            <w:tcW w:w="9500" w:type="dxa"/>
            <w:vAlign w:val="bottom"/>
            <w:gridSpan w:val="2"/>
          </w:tcPr>
          <w:p>
            <w:pPr>
              <w:ind w:left="32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Quantitative and Qualitative Disclosures About Market Risk</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1100" w:type="dxa"/>
            <w:vAlign w:val="bottom"/>
          </w:tcPr>
          <w:p>
            <w:pPr>
              <w:ind w:left="140"/>
              <w:spacing w:after="0"/>
              <w:rPr>
                <w:sz w:val="20"/>
                <w:szCs w:val="20"/>
                <w:color w:val="auto"/>
              </w:rPr>
            </w:pPr>
            <w:r>
              <w:rPr>
                <w:rFonts w:ascii="Arial" w:cs="Arial" w:eastAsia="Arial" w:hAnsi="Arial"/>
                <w:sz w:val="18"/>
                <w:szCs w:val="18"/>
                <w:color w:val="auto"/>
              </w:rPr>
              <w:t>Item 8.</w:t>
            </w:r>
          </w:p>
        </w:tc>
        <w:tc>
          <w:tcPr>
            <w:tcW w:w="9500" w:type="dxa"/>
            <w:vAlign w:val="bottom"/>
            <w:gridSpan w:val="2"/>
          </w:tcPr>
          <w:p>
            <w:pPr>
              <w:ind w:left="32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Financial Statements and Supplementary Data</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1100" w:type="dxa"/>
            <w:vAlign w:val="bottom"/>
          </w:tcPr>
          <w:p>
            <w:pPr>
              <w:ind w:left="140"/>
              <w:spacing w:after="0"/>
              <w:rPr>
                <w:sz w:val="20"/>
                <w:szCs w:val="20"/>
                <w:color w:val="auto"/>
              </w:rPr>
            </w:pPr>
            <w:r>
              <w:rPr>
                <w:rFonts w:ascii="Arial" w:cs="Arial" w:eastAsia="Arial" w:hAnsi="Arial"/>
                <w:sz w:val="18"/>
                <w:szCs w:val="18"/>
                <w:color w:val="auto"/>
              </w:rPr>
              <w:t>Item 9.</w:t>
            </w:r>
          </w:p>
        </w:tc>
        <w:tc>
          <w:tcPr>
            <w:tcW w:w="9500" w:type="dxa"/>
            <w:vAlign w:val="bottom"/>
            <w:gridSpan w:val="2"/>
          </w:tcPr>
          <w:p>
            <w:pPr>
              <w:ind w:left="320"/>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Changes in and Disagreements With Accountants on Accounting and Financial Disclosure</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1100" w:type="dxa"/>
            <w:vAlign w:val="bottom"/>
          </w:tcPr>
          <w:p>
            <w:pPr>
              <w:ind w:left="140"/>
              <w:spacing w:after="0"/>
              <w:rPr>
                <w:sz w:val="20"/>
                <w:szCs w:val="20"/>
                <w:color w:val="auto"/>
              </w:rPr>
            </w:pPr>
            <w:r>
              <w:rPr>
                <w:rFonts w:ascii="Arial" w:cs="Arial" w:eastAsia="Arial" w:hAnsi="Arial"/>
                <w:sz w:val="18"/>
                <w:szCs w:val="18"/>
                <w:color w:val="auto"/>
              </w:rPr>
              <w:t>Item 9A.</w:t>
            </w:r>
          </w:p>
        </w:tc>
        <w:tc>
          <w:tcPr>
            <w:tcW w:w="9500" w:type="dxa"/>
            <w:vAlign w:val="bottom"/>
            <w:gridSpan w:val="2"/>
          </w:tcPr>
          <w:p>
            <w:pPr>
              <w:ind w:left="320"/>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Controls and Procedures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1100" w:type="dxa"/>
            <w:vAlign w:val="bottom"/>
          </w:tcPr>
          <w:p>
            <w:pPr>
              <w:ind w:left="140"/>
              <w:spacing w:after="0"/>
              <w:rPr>
                <w:sz w:val="20"/>
                <w:szCs w:val="20"/>
                <w:color w:val="auto"/>
              </w:rPr>
            </w:pPr>
            <w:r>
              <w:rPr>
                <w:rFonts w:ascii="Arial" w:cs="Arial" w:eastAsia="Arial" w:hAnsi="Arial"/>
                <w:sz w:val="18"/>
                <w:szCs w:val="18"/>
                <w:color w:val="auto"/>
              </w:rPr>
              <w:t>Item 9B.</w:t>
            </w:r>
          </w:p>
        </w:tc>
        <w:tc>
          <w:tcPr>
            <w:tcW w:w="9500" w:type="dxa"/>
            <w:vAlign w:val="bottom"/>
            <w:gridSpan w:val="2"/>
          </w:tcPr>
          <w:p>
            <w:pPr>
              <w:ind w:left="32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Other Information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12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ind w:left="140"/>
              <w:spacing w:after="0"/>
              <w:rPr>
                <w:sz w:val="20"/>
                <w:szCs w:val="20"/>
                <w:color w:val="auto"/>
              </w:rPr>
            </w:pPr>
            <w:r>
              <w:rPr>
                <w:rFonts w:ascii="Arial" w:cs="Arial" w:eastAsia="Arial" w:hAnsi="Arial"/>
                <w:sz w:val="18"/>
                <w:szCs w:val="18"/>
                <w:color w:val="auto"/>
              </w:rPr>
              <w:t>Item 10.</w:t>
            </w:r>
          </w:p>
        </w:tc>
        <w:tc>
          <w:tcPr>
            <w:tcW w:w="9500" w:type="dxa"/>
            <w:vAlign w:val="bottom"/>
            <w:gridSpan w:val="2"/>
          </w:tcPr>
          <w:p>
            <w:pPr>
              <w:ind w:left="32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Directors, Executive Officers and Corporate Governance</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1100" w:type="dxa"/>
            <w:vAlign w:val="bottom"/>
          </w:tcPr>
          <w:p>
            <w:pPr>
              <w:ind w:left="140"/>
              <w:spacing w:after="0"/>
              <w:rPr>
                <w:sz w:val="20"/>
                <w:szCs w:val="20"/>
                <w:color w:val="auto"/>
              </w:rPr>
            </w:pPr>
            <w:r>
              <w:rPr>
                <w:rFonts w:ascii="Arial" w:cs="Arial" w:eastAsia="Arial" w:hAnsi="Arial"/>
                <w:sz w:val="18"/>
                <w:szCs w:val="18"/>
                <w:color w:val="auto"/>
              </w:rPr>
              <w:t>Item 11.</w:t>
            </w:r>
          </w:p>
        </w:tc>
        <w:tc>
          <w:tcPr>
            <w:tcW w:w="9500" w:type="dxa"/>
            <w:vAlign w:val="bottom"/>
            <w:gridSpan w:val="2"/>
          </w:tcPr>
          <w:p>
            <w:pPr>
              <w:ind w:left="32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Executive Compensation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1100" w:type="dxa"/>
            <w:vAlign w:val="bottom"/>
          </w:tcPr>
          <w:p>
            <w:pPr>
              <w:ind w:left="140"/>
              <w:spacing w:after="0"/>
              <w:rPr>
                <w:sz w:val="20"/>
                <w:szCs w:val="20"/>
                <w:color w:val="auto"/>
              </w:rPr>
            </w:pPr>
            <w:r>
              <w:rPr>
                <w:rFonts w:ascii="Arial" w:cs="Arial" w:eastAsia="Arial" w:hAnsi="Arial"/>
                <w:sz w:val="18"/>
                <w:szCs w:val="18"/>
                <w:color w:val="auto"/>
              </w:rPr>
              <w:t>Item 12.</w:t>
            </w:r>
          </w:p>
        </w:tc>
        <w:tc>
          <w:tcPr>
            <w:tcW w:w="9500" w:type="dxa"/>
            <w:vAlign w:val="bottom"/>
            <w:gridSpan w:val="2"/>
          </w:tcPr>
          <w:p>
            <w:pPr>
              <w:ind w:left="32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Security Ownership of Certain Beneficial Owners and Management and Related Stockholder Matters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1100" w:type="dxa"/>
            <w:vAlign w:val="bottom"/>
          </w:tcPr>
          <w:p>
            <w:pPr>
              <w:ind w:left="140"/>
              <w:spacing w:after="0"/>
              <w:rPr>
                <w:sz w:val="20"/>
                <w:szCs w:val="20"/>
                <w:color w:val="auto"/>
              </w:rPr>
            </w:pPr>
            <w:r>
              <w:rPr>
                <w:rFonts w:ascii="Arial" w:cs="Arial" w:eastAsia="Arial" w:hAnsi="Arial"/>
                <w:sz w:val="18"/>
                <w:szCs w:val="18"/>
                <w:color w:val="auto"/>
              </w:rPr>
              <w:t>Item 13.</w:t>
            </w:r>
          </w:p>
        </w:tc>
        <w:tc>
          <w:tcPr>
            <w:tcW w:w="9500" w:type="dxa"/>
            <w:vAlign w:val="bottom"/>
            <w:gridSpan w:val="2"/>
          </w:tcPr>
          <w:p>
            <w:pPr>
              <w:ind w:left="32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Certain Relationships and Related Transactions, and Director Independence</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1100" w:type="dxa"/>
            <w:vAlign w:val="bottom"/>
          </w:tcPr>
          <w:p>
            <w:pPr>
              <w:ind w:left="140"/>
              <w:spacing w:after="0"/>
              <w:rPr>
                <w:sz w:val="20"/>
                <w:szCs w:val="20"/>
                <w:color w:val="auto"/>
              </w:rPr>
            </w:pPr>
            <w:r>
              <w:rPr>
                <w:rFonts w:ascii="Arial" w:cs="Arial" w:eastAsia="Arial" w:hAnsi="Arial"/>
                <w:sz w:val="18"/>
                <w:szCs w:val="18"/>
                <w:color w:val="auto"/>
              </w:rPr>
              <w:t>Item 14.</w:t>
            </w:r>
          </w:p>
        </w:tc>
        <w:tc>
          <w:tcPr>
            <w:tcW w:w="9500" w:type="dxa"/>
            <w:vAlign w:val="bottom"/>
            <w:gridSpan w:val="2"/>
          </w:tcPr>
          <w:p>
            <w:pPr>
              <w:ind w:left="32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Principal Accounting Fees and Services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124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ind w:left="140"/>
              <w:spacing w:after="0"/>
              <w:rPr>
                <w:sz w:val="20"/>
                <w:szCs w:val="20"/>
                <w:color w:val="auto"/>
              </w:rPr>
            </w:pPr>
            <w:r>
              <w:rPr>
                <w:rFonts w:ascii="Arial" w:cs="Arial" w:eastAsia="Arial" w:hAnsi="Arial"/>
                <w:sz w:val="18"/>
                <w:szCs w:val="18"/>
                <w:color w:val="auto"/>
              </w:rPr>
              <w:t>Item 15.</w:t>
            </w:r>
          </w:p>
        </w:tc>
        <w:tc>
          <w:tcPr>
            <w:tcW w:w="9500" w:type="dxa"/>
            <w:vAlign w:val="bottom"/>
            <w:gridSpan w:val="2"/>
          </w:tcPr>
          <w:p>
            <w:pPr>
              <w:ind w:left="32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Exhibits, Financial Statement Schedules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1100" w:type="dxa"/>
            <w:vAlign w:val="bottom"/>
          </w:tcPr>
          <w:p>
            <w:pPr>
              <w:ind w:left="140"/>
              <w:spacing w:after="0"/>
              <w:rPr>
                <w:sz w:val="20"/>
                <w:szCs w:val="20"/>
                <w:color w:val="auto"/>
              </w:rPr>
            </w:pPr>
            <w:r>
              <w:rPr>
                <w:rFonts w:ascii="Arial" w:cs="Arial" w:eastAsia="Arial" w:hAnsi="Arial"/>
                <w:sz w:val="18"/>
                <w:szCs w:val="18"/>
                <w:color w:val="auto"/>
              </w:rPr>
              <w:t>Item 16.</w:t>
            </w:r>
          </w:p>
        </w:tc>
        <w:tc>
          <w:tcPr>
            <w:tcW w:w="9500" w:type="dxa"/>
            <w:vAlign w:val="bottom"/>
            <w:gridSpan w:val="2"/>
          </w:tcPr>
          <w:p>
            <w:pPr>
              <w:ind w:left="32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Form 10-K Summary</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This Annual Report on Form 10-K includes forward-looking statements as defined under U.S. federal securities law. Forward looking statements include all statements that are not historical statements of fact and those regarding our intent, belief or expectations, including, but not limited to, statements regarding: our expectations regarding the settlement we have entered into with Windstream Holdings, Inc. (together with Windstream Holdings II, LLC, its successor in interest, and its subsidiaries, “Windstream”); the future prospects and financial health of Windstream; our ability to delever and achieve the ‘covenant reversion date’ under our 7.875% senior secured notes due 2025, which would permit us to pay additional dividends to shareholders; our expectations about our ability to maintain our status as a real estate investment trust (a “REIT”); our expectations regarding filing an amendment to this Form 10-K to include Windstream’s audited financial statements as of and for the year ended December 31, 2020; our expectations regarding the effect of the COVID-19 pandemic on our results of operations and financial condition, including the potential need to perform an interim goodwill analysis and report an impairment charge related thereto; our expectations regarding the effect of the Coronavirus Aid, Relief and Economic Security Act (the “CARES Act”), the Consolidated Appropriations Act of 2021 (the “2021 Appropriations Act”) and other tax-related legislation on our tax position; our expectations regarding the future growth and demand of the telecommunication industry, future financing plans, business strategies, growth prospects, operating and financial performance, and our future liquidity needs and access to capital; expectations regarding future deployment of fiber strand miles and small cell networks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our expectations regarding remediation of the material weakness in our internal control over financial reporting as discussed in Part II, Item 9A of this Annual Report on Form 10-K; our expectations regarding the wind down of the Consumer CLEC business; and expectations regarding the payment of dividends.</w:t>
      </w:r>
    </w:p>
    <w:p>
      <w:pPr>
        <w:spacing w:after="0" w:line="39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286" w:lineRule="exact"/>
        <w:rPr>
          <w:sz w:val="20"/>
          <w:szCs w:val="20"/>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prospects of our largest customer, Windstream following its emergence from bankruptcy;</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the COVID-19 pandemic on our employees, our business, the business of our customers and other business partners and the global financial markets;</w:t>
      </w:r>
    </w:p>
    <w:p>
      <w:pPr>
        <w:spacing w:after="0" w:line="62"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customers to comply with laws, rules and regulations in the operation of the assets we lease to them;</w:t>
      </w:r>
    </w:p>
    <w:p>
      <w:pPr>
        <w:spacing w:after="0" w:line="117" w:lineRule="exact"/>
        <w:rPr>
          <w:rFonts w:ascii="Arial" w:cs="Arial" w:eastAsia="Arial" w:hAnsi="Arial"/>
          <w:sz w:val="18"/>
          <w:szCs w:val="18"/>
          <w:color w:val="auto"/>
        </w:rPr>
      </w:pPr>
    </w:p>
    <w:p>
      <w:pPr>
        <w:ind w:left="1160" w:right="14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62" w:lineRule="exact"/>
        <w:rPr>
          <w:rFonts w:ascii="Arial" w:cs="Arial" w:eastAsia="Arial" w:hAnsi="Arial"/>
          <w:sz w:val="18"/>
          <w:szCs w:val="18"/>
          <w:color w:val="auto"/>
        </w:rPr>
      </w:pPr>
    </w:p>
    <w:p>
      <w:pPr>
        <w:ind w:left="1160" w:right="58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extend or retain our contracts or to obtain new contracts with significant customers (including customers of the businesses that we acquire);</w:t>
      </w:r>
    </w:p>
    <w:p>
      <w:pPr>
        <w:spacing w:after="0" w:line="62"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1160" w:hanging="572"/>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generate sufficient cash flows to service our outstanding indebtedness and fund our capital funding commitments;</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117" w:lineRule="exact"/>
        <w:rPr>
          <w:rFonts w:ascii="Arial" w:cs="Arial" w:eastAsia="Arial" w:hAnsi="Arial"/>
          <w:sz w:val="18"/>
          <w:szCs w:val="18"/>
          <w:color w:val="auto"/>
        </w:rPr>
      </w:pPr>
    </w:p>
    <w:p>
      <w:pPr>
        <w:ind w:left="1160" w:right="20" w:hanging="572"/>
        <w:spacing w:after="0" w:line="263"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impacts of changes to our business, economic trends or key assumptions regarding our estimates of fair value, including potential impacts of recent developments surrounding Windstream that could result in an impairment charge in the future, which could have a significant impact to our reported earnings;</w:t>
      </w:r>
    </w:p>
    <w:p>
      <w:pPr>
        <w:spacing w:after="0" w:line="75"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on our business or the business of our customers as a result of credit rating downgrades, and fluctuating interest rates;</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impacts of litigation or disputes involving us or our customers;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status as a REIT;</w:t>
      </w:r>
    </w:p>
    <w:p>
      <w:pPr>
        <w:spacing w:after="0" w:line="117" w:lineRule="exact"/>
        <w:rPr>
          <w:rFonts w:ascii="Arial" w:cs="Arial" w:eastAsia="Arial" w:hAnsi="Arial"/>
          <w:sz w:val="18"/>
          <w:szCs w:val="18"/>
          <w:color w:val="auto"/>
        </w:rPr>
      </w:pPr>
    </w:p>
    <w:p>
      <w:pPr>
        <w:ind w:left="1160" w:right="100" w:hanging="572"/>
        <w:spacing w:after="0" w:line="308" w:lineRule="auto"/>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the U.S. tax law and other federal, state or local laws, whether or not specific to REITs, including the impact of the 2017 U.S. tax reform legislation, the CARES Act, the Families First Coronavirus Response Act and the 2021 Appropriations Act;</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117"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 attacks or terrorist attacks for which our insurance may not provide adequate coverage;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we fail to fully realize the potential benefits of or have difficulty in integrating the companies we acquire;</w:t>
      </w:r>
    </w:p>
    <w:p>
      <w:pPr>
        <w:spacing w:after="0" w:line="117" w:lineRule="exact"/>
        <w:rPr>
          <w:rFonts w:ascii="Arial" w:cs="Arial" w:eastAsia="Arial" w:hAnsi="Arial"/>
          <w:sz w:val="18"/>
          <w:szCs w:val="18"/>
          <w:color w:val="auto"/>
        </w:rPr>
      </w:pPr>
    </w:p>
    <w:p>
      <w:pPr>
        <w:ind w:left="1160" w:right="32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62" w:lineRule="exact"/>
        <w:rPr>
          <w:rFonts w:ascii="Arial" w:cs="Arial" w:eastAsia="Arial" w:hAnsi="Arial"/>
          <w:sz w:val="18"/>
          <w:szCs w:val="18"/>
          <w:color w:val="auto"/>
        </w:rPr>
      </w:pPr>
    </w:p>
    <w:p>
      <w:pPr>
        <w:ind w:left="1160" w:right="260" w:hanging="572"/>
        <w:spacing w:after="0" w:line="263"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factors discussed in Part I, Item 1A “Risk Factors” and Part II, Item 7 “Management’s Discussion and Analysis of Financial Condition and Results of Operations” of this Annual Report on Form 10-K, as well as those described from time to time in our future reports filed with the U.S. Securities and Exchange Commission (the “SEC”).</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Forward-looking statements speak only as of the date of this Annual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copper and coaxial broadband networks and data centers.</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 xml:space="preserve">As of December 31, 2020, Uniti and its subsidiaries own over 123,000 fiber network route miles, representing approximately 6.9 million fiber strand miles, approximately 230,000 route miles of copper cable lines, central office land and buildings across 44 states and beneficial rights to permits, pole agreements and easements. Refer to Part I, Item 2 </w:t>
      </w:r>
      <w:r>
        <w:rPr>
          <w:rFonts w:ascii="Arial" w:cs="Arial" w:eastAsia="Arial" w:hAnsi="Arial"/>
          <w:sz w:val="16"/>
          <w:szCs w:val="16"/>
          <w:i w:val="1"/>
          <w:iCs w:val="1"/>
          <w:color w:val="auto"/>
        </w:rPr>
        <w:t>Properties</w:t>
      </w:r>
      <w:r>
        <w:rPr>
          <w:rFonts w:ascii="Arial" w:cs="Arial" w:eastAsia="Arial" w:hAnsi="Arial"/>
          <w:sz w:val="16"/>
          <w:szCs w:val="16"/>
          <w:color w:val="auto"/>
        </w:rPr>
        <w:t xml:space="preserve"> of this Annual Report for a more detailed breakdown of our telecommunications properties.</w:t>
      </w:r>
    </w:p>
    <w:p>
      <w:pPr>
        <w:spacing w:after="0" w:line="149" w:lineRule="exact"/>
        <w:rPr>
          <w:sz w:val="20"/>
          <w:szCs w:val="20"/>
          <w:color w:val="auto"/>
        </w:rPr>
      </w:pPr>
    </w:p>
    <w:p>
      <w:pPr>
        <w:ind w:right="20"/>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For the year ended December 31, 2020, we had revenues of $1.1 billion, net loss attributable to common shareholders of $707.4 million, Funds From Operations (“FFO”) loss of $548.2 million and Adjusted Funds From Operations (“AFFO”) of $389.5 million. Both FFO and AFFO are non-GAAP financial measures, which we use to analyze our results. Refer to Part II, Item 7 </w:t>
      </w:r>
      <w:r>
        <w:rPr>
          <w:rFonts w:ascii="Arial" w:cs="Arial" w:eastAsia="Arial" w:hAnsi="Arial"/>
          <w:sz w:val="16"/>
          <w:szCs w:val="16"/>
          <w:i w:val="1"/>
          <w:iCs w:val="1"/>
          <w:color w:val="auto"/>
        </w:rPr>
        <w:t>Management’s Discussion and Analysis of Financial Condition and Results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Operations, </w:t>
      </w:r>
      <w:r>
        <w:rPr>
          <w:rFonts w:ascii="Arial" w:cs="Arial" w:eastAsia="Arial" w:hAnsi="Arial"/>
          <w:sz w:val="16"/>
          <w:szCs w:val="16"/>
          <w:color w:val="auto"/>
        </w:rPr>
        <w:t>of this Annual Report for additional information regarding these non-GAAP measures. We have historically managed our operations as four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reportable business segments (in addition to our corporate operations), but due to the sale of our towers business and wind down of the Consumer CLEC Business, starting in 2021, we will manage our operations focused on our two primary businesses, Leasing and Fiber Infrastructure, which are described in more detail in </w:t>
      </w:r>
      <w:hyperlink w:anchor="page112">
        <w:r>
          <w:rPr>
            <w:rFonts w:ascii="Arial" w:cs="Arial" w:eastAsia="Arial" w:hAnsi="Arial"/>
            <w:sz w:val="16"/>
            <w:szCs w:val="16"/>
            <w:u w:val="single" w:color="auto"/>
            <w:color w:val="0000EE"/>
          </w:rPr>
          <w:t>Note 16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our consolidated financial statements contained in Part II,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w:t>
      </w:r>
    </w:p>
    <w:p>
      <w:pPr>
        <w:spacing w:after="0" w:line="16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Refer to Part II, Item 7 </w:t>
      </w:r>
      <w:r>
        <w:rPr>
          <w:rFonts w:ascii="Arial" w:cs="Arial" w:eastAsia="Arial" w:hAnsi="Arial"/>
          <w:sz w:val="18"/>
          <w:szCs w:val="18"/>
          <w:i w:val="1"/>
          <w:iCs w:val="1"/>
          <w:color w:val="auto"/>
        </w:rPr>
        <w:t>Management’s Discussion and Analysis of Financial Condition and Results of Operations—Overview—Significant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Developments, </w:t>
      </w:r>
      <w:r>
        <w:rPr>
          <w:rFonts w:ascii="Arial" w:cs="Arial" w:eastAsia="Arial" w:hAnsi="Arial"/>
          <w:sz w:val="18"/>
          <w:szCs w:val="18"/>
          <w:color w:val="auto"/>
        </w:rPr>
        <w:t>of this Annual Report for information regarding significant developments in our business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Industry</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current communications infrastructure industry is marked by the growing demand for and use of bandwidth-intensive devices and applications, such as smart devices, real-time and online streaming video, cloud-based applications, social media and mobile broadband. This growth in consumption requires the support of robust communications infrastructure, of which fiber networks and communications towers are critical components. Substantial investments have been made in recent years in fiber networks, lit services and colocation facilities to keep pace with the increased bandwidth use of both enterprise- and consumer-end users. As companies attempt to keep pace with this rapidly evolving business sector, communications infrastructure continues to increase in priority and economic importance. We believe this considerable demand creates significant opportunities for us as an operator and as a funding source for operators seeking to capitalize on these trends through build outs and acquisitions of infrastructure assets.</w:t>
      </w:r>
    </w:p>
    <w:p>
      <w:pPr>
        <w:spacing w:after="0" w:line="16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wireless communications industry is a prime example of the growing importance of the bandwidth infrastructure industry. As wireless traffic and mobile data consumption continue to grow worldwide, participants in the wireless communications industry are increasing their network capacity through the development of new wireless cell sites and the addition of bandwidth capacity. Consumers are demanding network quality and coverage, and as a result, wireless carriers are making significant capital investments to improve quality, expand their coverage and remain relevant in a highly competitive industry. We expect this continued growth in capital expenditures to generate high demands for bandwidth infrastructure services.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Strategy</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primary goal is to create long-term stockholder value by (i) generating reliable and growing cash flows, (ii) diversifying our tenant and asset base, (iii) paying a dividend, and (iv) maintaining our financial strength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liquidity. To achieve this goal, we employ a business strategy that leverages our first mover advantages in the sector and our strong access to the capital markets. The key components of our business strategy 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 Additional Infrastructure Assets Through Sale Leaseback Transactions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actively seek to acquire communications infrastructure assets from communication service providers and lease these assets back to the communication service providers on a long-term basis. We believe this type of transaction benefits the communication service providers with incremental liquidity which can be used to reduce indebtedness or for other investments, while they continue to focus on their existing business. We will employ a disciplined, opportunistic acquisition strategy and seek to price transactions appropriately based on, among other things, growth opportunities, the mix of assets acquired, length and terms of the lease, and credit worthiness of the tenant.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strategy also is designed to expand our mix of tenants and other real property and will reduce our revenue concentration with Windstream Holdings, Inc. (“Windstream Holdings” together with Windstream Holdings II, LLC, its successor in interest, and subsidiaries, “Windstream”), our anchor tenant. We expect that this objective will be achieved over time as part of our overall strategy to acquire new distribution systems and other real property within the communications infrastructure industry to further diversify our overall portfolio.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 on the Market Demand for Increased Bandwidth Infrastructure and Performance</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Bandwidth intensive devices and applications are rapidly fueling worldwide consumption of bandwidth, which in turn fuels a continuously growing demand for stable and secure bandwidth options. Communications service providers and other enterprises whose services and businesses require substantial amounts of bandwidth are increasingly looking to infrastructure providers to support their bandwidth needs and to expand the reach, performance and security of their networks. We believe Uniti Fiber is well positioned to capitalize on this ongoing demand for bandwidth infrastructure solutions.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 Capital Extensions to Existing and New Tenants for Improvements of Infrastructure Assets</w:t>
      </w:r>
    </w:p>
    <w:p>
      <w:pPr>
        <w:spacing w:after="0" w:line="225"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color w:val="auto"/>
        </w:rPr>
        <w:t>We believe the communications infrastructure industry in the United States is currently going through an upgrade cycle driven by consumers’ general desire for greater bandwidth and wireless services. These upgrades require significant capital expenditures, and we believe Uniti provides a non-competitive funding source for communication service providers to help accelerate the improvement and expansion of their networks.</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intend to support our tenant operators and other communication service providers by providing capital to them for a variety of purposes, including capacity augmentation projects, tower construction and network expansions. We expect to structure these investments as lease arrangements that produce attractive returns for Uniti. For example, under the leases with our anchor tenant, Windstream, we have agreed to fund up to $1.75 billion in value accretive upgrades to the network we lease to Windstream in exchange for an 8% return and future rental rate increases. For more information on this program with Windstream, refer to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of this Annual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Facilitate M&amp;A Transactions in the Communication Service Sector as a Capital Partner</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believe Uniti can provide cost efficient funds to potential acquirers in the communication service sector, and thereby facilitate M&amp;A transactions as a capital partner, including by partnering with operators through use of “OpCo-PropCo” structures, pursuant to which we acquire the underlying network and other assets and the operator acquires the operations.</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highly fragmented nature of the communication service sector is expected to result in more consolidation, which we believe will provide us ample opportunity to pursue these types of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Maintain Balance Sheet Strength and Liquidity</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seek to maintain a capital structure that provides the resources and financial flexibility to position us to capitalize on strategic growth opportunities. Our access to, and cost of, external capital is dependent on various factors, including general market conditions, credit ratings on our securities, interest rates and expectations of our future business performance. We intend to maintain a strong balance sheet through disciplined use of leverage, aiming to lower our relative cost of capital over time, and continuing to have access to multiple sources of capital and liquidity. As of December 31, 2020, we had $77.5 million of unrestricted cash and cash equivalents. As of December 31, 2020, with the exception of our revolving credit facility, all of our debt is fixed-rate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compete for investments in the communications industry with telecommunications companies, investment companies, private equity funds, hedge fund investors, sovereign funds and other REITs who focus primarily on specific segments of the communications infrastructure industry. The communications infrastructure industry is characterized by a high degree of competition among a large number of participants, including many local, regional and global corporations. Some of our competitors are significantly larger and have greater financial resources and lower costs of capital than we have. In addition, revenues from our network properties are dependent, to an extent, on the ability of our operating partners, like Windstream, to compete with other communication service providers.</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However, we believe we are positioned to identify and successfully capitalize on acquisition opportunities that meet our investment objectives and that we have significant competitive advantages that support our leadership position in owning, funding the construction of and leasing communications infrastructure, including: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First-Mover Advantage; Uniquely Positioned to Capitalize on Expansion Opportunities</w:t>
      </w:r>
    </w:p>
    <w:p>
      <w:pPr>
        <w:spacing w:after="0" w:line="225"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We are the first REIT primarily focused on the acquisition and construction of mission critical infrastructure in the communications industry. We believe this provides us with a significant first-mover competitive advantage to capitalize on the large and fragmented communications infrastructure industry. Additionally, we believe our position, scale and national reach will help us achieve operational efficiencies and support future growth opportunities.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Large Scale Anchor Tenant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Windstream, as our anchor tenant, provides us with a base of rent revenues as an initial platform for us to grow and diversify our portfolio and tenant base.</w:t>
      </w:r>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Windstream provides advanced network communications and technology solutions for businesses across the United States. Windstream also offers broadband, entertainment and security solutions to consumers and small businesses primarily in rural areas. Windstream continues to operate the telecommunications network assets, including fiber and copper networks and other real estate (the “Distribution Systems”) which were contributed to us in our spin-off from Windstream in 2015 (the “Spin-off”), hold the associated regulatory licenses and own and operate other assets, including distribution systems in select states not included in the Spin-Off.</w:t>
      </w:r>
    </w:p>
    <w:p>
      <w:pPr>
        <w:spacing w:after="0" w:line="188"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Windstream has a diverse customer base, encompassing enterprise and small business customers, carriers and consumers. The Distribution Systems we lease to Windstream are located in 37 different states across the continental United States. The fiber assets in any one state do not account for more than 20% of the total route miles in our network. We believe this geographic diversification will limit the effect of changes in any one market on our overall performance.</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 xml:space="preserve">For a more detailed discussion of Windstream’s emergence from bankruptcy and our settlement with Windstream refer to Part II,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Operations—Overview—Significant Business Developments</w:t>
      </w:r>
      <w:r>
        <w:rPr>
          <w:rFonts w:ascii="Arial" w:cs="Arial" w:eastAsia="Arial" w:hAnsi="Arial"/>
          <w:sz w:val="16"/>
          <w:szCs w:val="16"/>
          <w:color w:val="auto"/>
        </w:rPr>
        <w:t>, of this Annual Report.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Relationships with Communication Service Providers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Members of our management team have developed an extensive network of relationships with qualified local, regional and national communication service providers across the United States. This extensive network has been built by our management team through decades of operating experience, involvement in industry trade organizations and the development of banking relationships and investor relations within the communications infrastructure industry. We believe these strong relationships will allow us to effectively source investment opportunities from communication service providers other than Windstream. We intend to work collaboratively with our operating partners in providing expansion capital at attractive rates to help them achieve their growth and business objectives. We will seek to partner with communication service providers who possess local market knowledge, demonstrate hands-on management and have proven track records.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and Committed Management Team</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senior management team is comprised of veteran leaders with strong backgrounds in their respective disciplines. Our senior management team has extensive experience managing telecommunications operations, consummating mergers and acquisitions and accessing both debt and equity capital markets to fund growth and maintain a flexible capital structure.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Business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Our primary lines of business are Uniti Leasing and Uniti Fiber, which are described in further detail below. For a more detailed discussion of our other reportable segments, including our former business lines Uniti Towers and the Consumer Competitive Local Exchange Carrier (“CLEC”) Business (the “Consumer CLEC Business”), and other recent business developments related thereto see refer to Part II, Item 7 </w:t>
      </w:r>
      <w:r>
        <w:rPr>
          <w:rFonts w:ascii="Arial" w:cs="Arial" w:eastAsia="Arial" w:hAnsi="Arial"/>
          <w:sz w:val="17"/>
          <w:szCs w:val="17"/>
          <w:i w:val="1"/>
          <w:iCs w:val="1"/>
          <w:color w:val="auto"/>
        </w:rPr>
        <w:t>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Condition and Results of Operations—Overview—Significant Business Developments, </w:t>
      </w:r>
      <w:r>
        <w:rPr>
          <w:rFonts w:ascii="Arial" w:cs="Arial" w:eastAsia="Arial" w:hAnsi="Arial"/>
          <w:sz w:val="17"/>
          <w:szCs w:val="17"/>
          <w:color w:val="auto"/>
        </w:rPr>
        <w:t>of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Uniti Leasing</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Uniti Leasing is engaged in acquiring mission-critical communications assets, such as fiber, data centers, next-generation consumer broadband, coaxial and upgradeable copper, and leasing them back to anchor customers on either an exclusive or shared-tenant basis. Presently, a substantial portion of Uniti Leasing’s revenue is rental revenues from leasing the Distribution Systems to Windstream as described below in the section titled “Significant Customers”. We believe our attractive cost of capital and advantageous REIT structure will enable Uniti Leasing to provide creative and tax-efficient solutions to additional customers, including (i) sale leaseback transactions, whereby Uniti Leasing acquires existing infrastructure assets from communications service providers and leases them back on a long-term basis; (ii) capital investment financing, whereby Uniti Leasing offers communications service providers a cost-efficient method of raising funds for discrete capital investments to upgrade or expand their network; and (iii) mergers and acquisitions financing, whereby Uniti Leasing facilitates mergers and acquisition transactions as a capital partner. Results for Uniti Leasing are reported in our consolidated financial statements in our Leasing business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Uniti Fiber</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Uniti Fiber is a leading provider of infrastructure solutions, including cell site backhaul and small cell for wireless operators and ethernet, wavelengths and dark fiber for telecommunications carriers and enterprises. With Uniti Fiber, our goal is to capitalize on the rising demand by carriers and enterprises for dark fiber, establish ourselves as a proven small-cell systems provider and leverage wholesale enterprise opportunities as well as opportunities through the School and Libraries Program (commonly referred to as E-Rate) administered by the Universal Service Administrative Company. We believe fiber is the mission-critical focal point in the modern communications infrastructure industry and that Uniti Fiber will accelerate our growth and diversification strategy and expand our relationships with high quality national and international wireless carriers.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At December 31, 2020, Uniti Fiber’s revenues under contract were over $1.1 billion, with a network consisting of approximately 2.4 million strand miles of fiber and approximately 26,300 customer connections. Results for Uniti Fiber are reported in our consolidated financial statements in our Fiber Infrastructure business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Uniti Group Inc. was incorporated in the state of Maryland on September 4, 2014 and was separated and spun-off from Windstream on April 24, 2015.</w:t>
      </w:r>
    </w:p>
    <w:p>
      <w:pPr>
        <w:spacing w:after="0" w:line="2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Uniti operates as a REIT for U.S. federal income tax purposes. As a REIT, the Company is generally not subject to U.S. federal income taxes on income generated by its REIT operations. We have elected to treat the subsidiaries through which we operate our fiber business, Uniti Fiber, certain aspects of our former towers business, Uniti Towers, and Talk America Services, LLC, which operated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December 31, 2020, we are the sole general partner of the Operating Partnership and own approximately 98.5% of the partnership interests in the Operating Partnership. In addition, beginning on December 31, 2019, we undertook a series of transactions, including the issuance by one of our subsidiaries of convertible preferred stock to third parties with an aggregate liquidation value of $125,000, to permit us to hold certain of our assets indirectly through one of our subsidiaries taxed as a REIT, which is also expected to facilitate future acquisition opportunities.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 Capital Management</w:t>
      </w:r>
    </w:p>
    <w:p>
      <w:pPr>
        <w:spacing w:after="0" w:line="22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On December 31, 2020, we employed 787 people, of whom 492 work directly developing and maintaining network operations, 83 in sales and sales support, 74 in shared services, 71 accounting and finance related positions and 67 in operations support roles. None of our employees are subject to a collective bargaining agreement.</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employees are our most important resources and their success ultimately creates our own. We fuel their success by offering career growth, recognition and appreciation programs, fulfilling work relationships, empowerment, mentoring, and training and development opportunities. We demonstrate the value we place in our employees financial, physical and emotional health by providing our employees with competitive salaries, health benefits, investment opportunities, vacation options and a generous paid volunteer program, among other benefits.</w:t>
      </w:r>
    </w:p>
    <w:p>
      <w:pPr>
        <w:spacing w:after="0" w:line="17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For the last three years Uniti has been certified as a Great Place to Work®. Our management team strives to embody and promote our company values of united, necessary, innovative, tenacious, and integrity. As a certified Great Place to Work®, 94% of our employees say they are proud to work at Uniti and 88% of them agree that Uniti is a great place to work. We believe our energetic and collaborative work environment are contributing factors to our limited employee turnover and high levels of engagement.</w:t>
      </w:r>
    </w:p>
    <w:p>
      <w:pPr>
        <w:spacing w:after="0" w:line="18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Within our organization, we believe in unity and know that it can only be generated through connection, collaboration and respect. We are committed to fostering these ideals by hiring, developing and supporting a diverse and inclusive workplace that encourages, supports and celebrates the diverse voices of our team members. Two women sit on our board of directors and women represent approximately 22% of leadership positions across our</w:t>
      </w:r>
    </w:p>
    <w:p>
      <w:pPr>
        <w:spacing w:after="0" w:line="2"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company. Current key initiatives include our Diversity and Inclusion Groups (“DIGs”) which support employees with diverse backgrounds, experiences or characteristics who share a common interest in various topics. Each DIG is sponsored and supported by senior leaders across the organization.</w:t>
      </w:r>
    </w:p>
    <w:p>
      <w:pPr>
        <w:spacing w:after="0" w:line="1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value our strong ethical foundation and have instituted policies and procedures designed to preserve and prioritize corporate integrity. To actively promote honest, ethical and respectful conduct, we engage in a top-down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approach by requiring our directors and executives to set high standards of integrity, responsibility and transparency. We insist all employees adhere to a code of conduct that sets standards for appropriate behavior and includes information on preventing, identifying, reporting and stopping any type of discrimination or unethical behavior.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COVID-19 pandemic, we implemented safety protocols to protect our employees, customers and communities during the</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pandemic. These protocols include health and safety training and compliance with social distancing and other health and safety standards as required by federal, state and local government agencies, taking into consideration guidelines of the Centers for Disease Control and Prevention and other public health authorities. Many of our administrative and operational functions during this time have required modification, including some of our workforce working remotely. Our experienced teams adapted to the changes in our work environment and have managed our business successfully during this challenging time. To further support the mental health needs of our employees, we added an employer-paid virtual mental health benefit in addition to our already available Employee Assistance Program (EAP). Our EAP offers free, confidential assessments and short-term counseling to employees. Together, with our additional virtual mental health benefit, employees have the opportunity to seek in person or virtual assistance with personal and/or work-related problems.</w:t>
      </w:r>
    </w:p>
    <w:p>
      <w:pPr>
        <w:spacing w:after="0" w:line="1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Uniti will continue to seek opportunities to support the overall health and well-being of our employees as we continue to realize significant value for our stockholders, customers and communities.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Customers</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the years ended December 31, 2020, 2019 and 2018, 65.8%, 65.0% and 68.2% of our revenues, respectively, were derived from leasing our Distribution Systems to Windstream Holdings.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On April 24, 2015, we were separated and spun-off from Windstream pursuant to which Windstream contributed the Distribution Systems and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recent emergence from bankruptcy and the implementation of our settlement with Windstream, Uniti and Windstream bifurcated the Master Lease and entered into two structurally similar master leases (collectively, the “Windstream Leases”), which amended and restated the Master Lease in its entirety. For a more detailed discussion of Windstream’s emergence from bankruptcy and our settlement with Windstream refer to Part II, Item 7 </w:t>
      </w:r>
      <w:r>
        <w:rPr>
          <w:rFonts w:ascii="Arial" w:cs="Arial" w:eastAsia="Arial" w:hAnsi="Arial"/>
          <w:sz w:val="17"/>
          <w:szCs w:val="17"/>
          <w:i w:val="1"/>
          <w:iCs w:val="1"/>
          <w:color w:val="auto"/>
        </w:rPr>
        <w:t>Management’s Discussion and Analysis of Financial Condition and Results of Operations—Overview—Significant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Developments</w:t>
      </w:r>
      <w:r>
        <w:rPr>
          <w:rFonts w:ascii="Arial" w:cs="Arial" w:eastAsia="Arial" w:hAnsi="Arial"/>
          <w:sz w:val="17"/>
          <w:szCs w:val="17"/>
          <w:color w:val="auto"/>
        </w:rPr>
        <w:t>, of this Annual Report.</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Prior to its emergence from bankruptcy on September 21, 2020, Windstream was a publicly traded company subject to the periodic filing requirements of the Securities Exchange Act of 1934, as amended (the “Exchange Act”). Windstream historic filings through their quarter ended June 30, 2020 can be found at www.sec.gov. On September 22, 2020, Windstream filed a Form 15 to terminate all filing obligations under Sections 12(g) and 15(d) under the Exchange Act. Windstream has posted certain information regarding its fourth quarter and full year 2020 results on the investor relations page of its website, which can be found at https://investor.windstream.com. Neither Windstream filings nor the information available on the investor relations page of its website are incorporated by reference in this Annual Report on Form 10-K.</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As of the date of this Annual Report on Form 10-K,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These ratings were both upgrades from Windstream’s pre-bankruptcy ratings.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 xml:space="preserve">In addition, in order to assist us in our continuing assessment of Windstream’s creditworthiness, we periodically receive certain confidential financial information and metrics from Windstream. Refer to Part II, Item 7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of this Annual Report for additional information regarding this assessment.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Government Regulation, Licensing and Enforcement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Telecommunications Regulatory Overview</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subsidiaries and our tenants operate in a regulated market. As operators of telecommunications facilities and services, both we and the current and future tenants of our telecommunications assets are typically subject to extensive and complex federal, state and local telecommunications laws and regulations. The Federal Communications Commission (“FCC”) regulates the provision of interstate and international telecommunications services, and state public utility commissions (“PUCs”) regulate intrastate telecommunications services. Federal and state telecommunications laws and regulations are wide-ranging, and violations of them can subject us and our tenants to civil, criminal and administrative sanctions. We expect that the telecommunications industry, in general, will continue to face increased regulation. Changes in laws and regulations and violations of federal or state laws or regulations by us or our tenants could have a significant direct or indirect effect on our operations and financial condition, as detailed below and set forth under “Risk Factors —Risks Related to Our Business.”</w:t>
      </w:r>
    </w:p>
    <w:p>
      <w:pPr>
        <w:spacing w:after="0" w:line="17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operations require that certain of our subsidiaries across all segments hold licenses or other forms of authorization from the FCC and state PUCs in those states where we operate, and in some jurisdictions our subsidiaries must file tariffs or other price lists describing their rates, terms and conditions of the services they provide. The FCC and PUCs can modify or terminate a service provider’s license or other authority to provide telecommunications services for failure to comply with applicable laws and regulations. The FCC and PUCs may also investigate our subsidiaries’ operations and may impose fines or other penalties for violations of the same. In addition, our subsidiaries are required to submit periodic reports to the FCC and PUCs documenting their revenues and other data. Some of this information is used as the basis for the imposition of various regulatory fees and other assessments. In order to engage in certain transactions in some jurisdictions, including changes of control, the encumbrance of certain assets, the issuance of securities, the incurrence of indebtedness, the guarantee of indebtedness of other entities, including subsidiaries of ours, and the transfer of assets, we may be required to provide notice and/or obtain prior approval from certain governmental agencies. Failure to obtain required approvals could subject us to fines or other penalties.</w:t>
      </w:r>
    </w:p>
    <w:p>
      <w:pPr>
        <w:spacing w:after="0" w:line="185"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Our subsidiaries are subject to a number of federal and state regulations that govern the way we can conduct our business. Such regulations also impose certain operating costs on our businesses. These regulations can include restrictions on pricing flexibility for certain products, minimum service quality standards, service reporting, intercarrier compensation, contributions to universal service, and other obligations. Further, the relaxation of regulatory requirements on our competitors, such as those granting us access to incumbent local exchange carrier facilities and/or services or the prices that such carriers may charge for such services or access to their facilities, may also have a detrimental effect on the businesses of our subsidiaries and/or tenants.</w:t>
      </w:r>
    </w:p>
    <w:p>
      <w:pPr>
        <w:spacing w:after="0" w:line="16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sought to structure the operations for our core real estate business in a manner to minimize the likelihood that we may be required to become regulated as a public utility or common carrier by the FCC or PUCs, but a number of our business operations are nonetheless subject to federal, state, and local regulation, and we cannot guarantee that our core real estate business will not become further subject to federal, state, and local regulation in the future.</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With respect to the broadband Internet services that we provide, traditionally, the FCC has recognized that broadband Internet access services are “information services” subject to limited regulation. In 2015, the FCC issued a “network neutrality” decision that declared broadband Internet access services to be subject to certain “telecommunications services” regulation under Title II of the Communications Act of 1934. These regulations would have limited the ways that broadband Internet access service providers could structure business arrangements and manage their networks and spurred additional restrictions, including rate regulation, which could adversely affect broadband investment and innovation. In 2017, the FCC voted to return broadband Internet access service to its prior classification as “information services.” As a result of these decisions, state legislators and governors have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introduced, and in some cases passed, state laws and executive orders requiring different levels of adherence to “network neutrality” principles for broadband Internet access service providers active in the applicable states. As a result of these laws and regulations, it is unclear at this time how broadband services will be regulated in the future, and the potential impact those regulations may have on our broadband Internet service business.</w:t>
      </w:r>
    </w:p>
    <w:p>
      <w:pPr>
        <w:spacing w:after="0" w:line="16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Communications towers owned by our subsidiaries are subject to federal, state and local regulatory requirements with respect to the registration, siting, construction, lighting, marking and maintenance. In the United States, the construction of new towers or modifications to existing towers may require pre-approval by the FCC and the Federal Aviation Administration (“FAA”), depending on factors such as tower height and proximity to public airfields. Towers requiring pre-approval must be registered with the FCC and maintained in accordance with FCC and FAA standards. Non-compliance with applicable tower-related requirements may lead to monetary penalties or site deconstruction orders.</w:t>
      </w:r>
    </w:p>
    <w:p>
      <w:pPr>
        <w:spacing w:after="0" w:line="17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Towers are also subject to zoning restrictions and restrictive covenants imposed by local authorities or community organizations. While these regulations vary, they typically require approval from local authorities or community standards organizations prior to tower construction or the addition of a new antenna to an existing tower. Opposition by local zoning authorities and community residents can delay or prevent new tower construction or site upgrade projects, thereby increasing the costs and timing of new tower construction and modifications or site upgrades.</w:t>
      </w:r>
    </w:p>
    <w:p>
      <w:pPr>
        <w:spacing w:after="0" w:line="17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failure to properly maintain towers pursuant to applicable regulatory requirements, such as but not limited to, lighting, painting, and other safety standards, can subject us to significant enforcement actions, including monetary penalties both within the United States and abroad.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Uniti Fiber</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subsidiaries that compose Uniti Fiber own and operate significant fiber and other communications backhaul facilities throughout various regions of the United States. The provision of such services is often subject to FCC and PUC licensure in many jurisdictions, and the companies are typically licensed as CLECs and/or interexchange carriers in those states where they operate. The companies also hold various FCC wireless licenses in order to provide microwave backhaul and other wireless services. Because of the nature of the licenses that these companies hold, and the nature of the services that they provide, they are subject to various federal and state regulatory requirements, including, but not limited to, revenue and other reporting requirements and tariffing requirements. The companies must also maintain their wireless licenses with the FCC, which requires construction and notification reporting and other regulatory requirements. New fiber network construction is also subject to certain state and local governmental permitting and licensing requirements. Delays in the local and state permitting process can delay the construction of new facilities. Failure to abide by permit requirements can subject the company to fines and other penalties.</w:t>
      </w:r>
    </w:p>
    <w:p>
      <w:pPr>
        <w:spacing w:after="0" w:line="18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some cases, our subsidiaries that compose Uniti Fiber utilize services or facilities of incumbent local exchange carriers through arrangements established under the Telecommunications Act of 1996 and FCC regulations. The FCC has recently issued orders allowing incumbent local exchange carriers to stop offering such elements and/or to increase the rates that they may charge competitive providers for access to such elements. The loss of these elements, or significant price increases associated with our use of such elements, may increase our costs to maintain and construct new network facilities to replace those we may no longer access, or have other negative effects on our business such as a loss of ability to continue to provide services to certain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Changes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Future revenues, costs, and capital investment in the communication businesses of our tenants, Uniti Fiber, and other related entities could be adversely affected by material changes to, or decisions regarding applicability of, government requirements, including, but not limited to, changes in rules governing inter-carrier compensation, interconnection access to network facilities, state and federal universal service fund (“USF”) support, rules governing the prices that can be charged for business data services, infrastructure location and siting rules, access to unbundled network elements, and other</w:t>
      </w:r>
    </w:p>
    <w:p>
      <w:pPr>
        <w:spacing w:after="0" w:line="1"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requirements. Federal and state communications laws and regulations may be amended in the future, and other new laws and regulations may affect our business. In addition, certain laws and regulations applicable to us and our competitors may be, and have been, challenged in the courts and could be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vacated or modified at any time. We cannot predict future developments or changes to the regulatory environment or the impact such developments or changes would have on our business.</w:t>
      </w:r>
    </w:p>
    <w:p>
      <w:pPr>
        <w:spacing w:after="0" w:line="17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addition, regulations could create significant compliance costs for us. Delays in obtaining FCC and PUC certifications and regulatory approvals could cause us to incur substantial legal and administrative expenses, and conditions imposed in connection with such approvals could adversely affect the rates that we are able to charge our customers. Both our subsidiaries and our tenants may also be affected by legislation and/or regulation imposing new or additional obligations related to, for example, law enforcement assistance, cyber-security protection, intellectual property rights protections, environmental protections, consumer privacy, tax, or other areas. We cannot predict how any such future changes may impact our business, or the business of our tenants</w:t>
      </w:r>
      <w:r>
        <w:rPr>
          <w:rFonts w:ascii="Arial" w:cs="Arial" w:eastAsia="Arial" w:hAnsi="Arial"/>
          <w:sz w:val="16"/>
          <w:szCs w:val="16"/>
          <w:i w:val="1"/>
          <w:iCs w:val="1"/>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wide variety of federal, state and local environmental and occupational health and safety laws and regulations affect telecommunications operations and facilities. These laws and regulations, and their enforcement, involve complex and varied requirements, and many such laws and regulations impose strict liability for violations. Some of these federal, state and local laws may directly impact us. Under various federal, state and local environmental laws, ordinances and regulations, an owner of real property, such as us, may be liable for the costs of removal or remediation of hazardous or toxic substances at, under or disposed of in connection with such property, as well as other potential costs relating to hazardous or toxic substances (including government fines and damages for injuries to persons and adjacent property). The cost of any required remediation, removal, fines or personal property damages and the owner’s liability therefore could exceed or impair the value of the property and/or the assets of the owner. In addition, the presence of such substances, or the failure to properly dispose of or remediate such substances, may adversely affect the owner’s ability to sell or rent such property or to borrow using such property as collateral, which, in turn, could reduce revenues.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maintain, or will require in our leases (including the Windstream Leases) that our tenants maintain, applicable lines of insurance on our properties and their operations. Under the Windstream Leases, Windstream has the right to self-insure or use a captive provider with respect to its insurance obligations. We believe that the amount and scope of insurance coverage provided by our policies and the policies maintained by our tenants are customary for similarly situated companies in the telecommunications industry. However, our tenants may elect not to, or be able to, maintain the required insurance coverages, and the failure by any of them to do so could have a material adverse effect on us. We may not continue to require the same levels of insurance coverage under our leases, including the Windstream Leases, and such insurance may not be available at a reasonable cost in the future or fully cover all losses on our properties upon the occurrence of a catastrophic event. Moreover, we cannot guarantee the future financial viability of the insurers.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principal executive offices are located at 10802 Executive Center Drive, Benton Building Suite 300, Little Rock, AR 72211 and our telephone number is (501) 850-0820. We maintain a website at www.uniti.com. Our Annual Reports on Form 10-K, Quarterly Reports on Form 10-Q, Current Reports on Form 8-K and any amendments to those reports filed or furnished pursuant to Section 13(a) or 15(d) of the Securities Exchange Act of 1934 (the “Exchange Act”) are available on our website, free of charge, as soon as reasonably practicable after we electronically file such materials with, or furnish them to, the SEC. Our Exchange Act filings can also be found at www.sec.gov.</w:t>
      </w:r>
    </w:p>
    <w:p>
      <w:pPr>
        <w:spacing w:after="0" w:line="18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 xml:space="preserve">Current copies of our Code of Business Conduct and Ethics &amp; Whistleblower Policy, Corporate Governance Guidelines, and the charters for our Audit, Compensation and Governance Committees are posted in the </w:t>
      </w:r>
      <w:r>
        <w:rPr>
          <w:rFonts w:ascii="Arial" w:cs="Arial" w:eastAsia="Arial" w:hAnsi="Arial"/>
          <w:sz w:val="16"/>
          <w:szCs w:val="16"/>
          <w:i w:val="1"/>
          <w:iCs w:val="1"/>
          <w:color w:val="auto"/>
        </w:rPr>
        <w:t>Corporate Governance</w:t>
      </w:r>
      <w:r>
        <w:rPr>
          <w:rFonts w:ascii="Arial" w:cs="Arial" w:eastAsia="Arial" w:hAnsi="Arial"/>
          <w:sz w:val="16"/>
          <w:szCs w:val="16"/>
          <w:color w:val="auto"/>
        </w:rPr>
        <w:t xml:space="preserve"> section of the About Us page of our website at www.uniti.com.</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COVID-19 pandemic, and the future outbreak of other highly infectious or contagious diseases, could disrupt the operation of our business resulting in adverse impacts to our financial condition, results of operations, and cash flow.</w:t>
      </w:r>
    </w:p>
    <w:p>
      <w:pPr>
        <w:spacing w:after="0" w:line="170"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COVID-19 pandemic has, and another pandemic in the future could, negatively impacted the global economy, disrupted global supply chains and created significant volatility and disruption of financial markets. Given the ongoing and dynamic nature of the circumstances, it is difficult to predict the impact of COVID-19 on us, and there is no guarantee that efforts by us, designed to address adverse impacts of COVID-19, will be effective.</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local governments in some of the markets in which we operate mandated residents to stay at home and temporarily closed businesses that are not considered essential. While some of these measures have been loosened, the ongoing pandemic and COVID-19 outbreaks has resulted in, and may continue to result in, reinstating these measures or implementing new or additional measures. Although our businesses are considered essential, the current COVID-19 pandemic, or a future pandemic, could have material and adverse effects on our ability to successfully operate and on our financial condition, results of operations and cash flows due to, among other factors:</w:t>
      </w:r>
    </w:p>
    <w:p>
      <w:pPr>
        <w:spacing w:after="0" w:line="188" w:lineRule="exact"/>
        <w:rPr>
          <w:sz w:val="20"/>
          <w:szCs w:val="20"/>
          <w:color w:val="auto"/>
        </w:rPr>
      </w:pPr>
    </w:p>
    <w:p>
      <w:pPr>
        <w:ind w:left="1000" w:right="640" w:hanging="5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disruptions or delays in our operations or network performance, as well as network maintenance and construction, testing, supervisory and customer support activities, and inventory and supply procurement;</w:t>
      </w:r>
    </w:p>
    <w:p>
      <w:pPr>
        <w:spacing w:after="0" w:line="170" w:lineRule="exact"/>
        <w:rPr>
          <w:rFonts w:ascii="Arial" w:cs="Arial" w:eastAsia="Arial" w:hAnsi="Arial"/>
          <w:sz w:val="18"/>
          <w:szCs w:val="18"/>
          <w:color w:val="auto"/>
        </w:rPr>
      </w:pPr>
    </w:p>
    <w:p>
      <w:pPr>
        <w:ind w:left="1000" w:right="60" w:hanging="520"/>
        <w:spacing w:after="0" w:line="308"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increases in operating costs, inventory shortages and/or a decrease in productivity related to travel bans and social distancing efforts that may delay construction activities or require our vendor and contractors to incur additional costs that may be passed onto us;</w:t>
      </w:r>
    </w:p>
    <w:p>
      <w:pPr>
        <w:spacing w:after="0" w:line="1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delays in permitting activities due to the shutdown of local permitting authorities;</w:t>
      </w:r>
    </w:p>
    <w:p>
      <w:pPr>
        <w:spacing w:after="0" w:line="200" w:lineRule="exact"/>
        <w:rPr>
          <w:sz w:val="20"/>
          <w:szCs w:val="20"/>
          <w:color w:val="auto"/>
        </w:rPr>
      </w:pPr>
    </w:p>
    <w:p>
      <w:pPr>
        <w:spacing w:after="0" w:line="335" w:lineRule="exact"/>
        <w:rPr>
          <w:sz w:val="20"/>
          <w:szCs w:val="20"/>
          <w:color w:val="auto"/>
        </w:rPr>
      </w:pPr>
    </w:p>
    <w:p>
      <w:pPr>
        <w:ind w:left="1000" w:right="100" w:hanging="520"/>
        <w:spacing w:after="0" w:line="182" w:lineRule="auto"/>
        <w:tabs>
          <w:tab w:leader="none" w:pos="1000" w:val="left"/>
        </w:tabs>
        <w:numPr>
          <w:ilvl w:val="0"/>
          <w:numId w:val="6"/>
        </w:numPr>
        <w:rPr>
          <w:rFonts w:ascii="Arial" w:cs="Arial" w:eastAsia="Arial" w:hAnsi="Arial"/>
          <w:sz w:val="34"/>
          <w:szCs w:val="34"/>
          <w:color w:val="auto"/>
          <w:vertAlign w:val="superscript"/>
        </w:rPr>
      </w:pPr>
      <w:r>
        <w:rPr>
          <w:rFonts w:ascii="Arial" w:cs="Arial" w:eastAsia="Arial" w:hAnsi="Arial"/>
          <w:sz w:val="17"/>
          <w:szCs w:val="17"/>
          <w:color w:val="auto"/>
        </w:rPr>
        <w:t>a deterioration in our ability to operate in affected areas or delays in the supply of products or services to us from vendors that are needed for our efficient operations could adversely affect our operations;</w:t>
      </w:r>
    </w:p>
    <w:p>
      <w:pPr>
        <w:spacing w:after="0" w:line="311" w:lineRule="exact"/>
        <w:rPr>
          <w:rFonts w:ascii="Arial" w:cs="Arial" w:eastAsia="Arial" w:hAnsi="Arial"/>
          <w:sz w:val="34"/>
          <w:szCs w:val="34"/>
          <w:color w:val="auto"/>
          <w:vertAlign w:val="superscript"/>
        </w:rPr>
      </w:pPr>
    </w:p>
    <w:p>
      <w:pPr>
        <w:ind w:left="1000" w:right="240" w:hanging="520"/>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on our contracts with customers and suppliers, including potential disputes over whether COVID-19 constitutes a force majeure event;</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adverse impact on the timing of installs in our enterprise and wholesale customer segments at Uniti Fiber;</w:t>
      </w:r>
    </w:p>
    <w:p>
      <w:pPr>
        <w:spacing w:after="0" w:line="200" w:lineRule="exact"/>
        <w:rPr>
          <w:sz w:val="20"/>
          <w:szCs w:val="20"/>
          <w:color w:val="auto"/>
        </w:rPr>
      </w:pPr>
    </w:p>
    <w:p>
      <w:pPr>
        <w:spacing w:after="0" w:line="227" w:lineRule="exact"/>
        <w:rPr>
          <w:sz w:val="20"/>
          <w:szCs w:val="20"/>
          <w:color w:val="auto"/>
        </w:rPr>
      </w:pPr>
    </w:p>
    <w:p>
      <w:pPr>
        <w:ind w:left="1000" w:right="120" w:hanging="520"/>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general reduction in business and economic activity may severely impact our clients’ financial condition and liquidity and may cause them to be unable to meet their obligations to us in full, or at all, or to otherwise seek modifications of such obligations;</w:t>
      </w:r>
    </w:p>
    <w:p>
      <w:pPr>
        <w:spacing w:after="0" w:line="170" w:lineRule="exact"/>
        <w:rPr>
          <w:rFonts w:ascii="Arial" w:cs="Arial" w:eastAsia="Arial" w:hAnsi="Arial"/>
          <w:sz w:val="18"/>
          <w:szCs w:val="18"/>
          <w:color w:val="auto"/>
        </w:rPr>
      </w:pPr>
    </w:p>
    <w:p>
      <w:pPr>
        <w:jc w:val="both"/>
        <w:ind w:left="1000" w:right="80" w:hanging="520"/>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accessing debt and equity capital on attractive terms, or at all, and a severe disruption and instability in the global financial markets or deteriorations in credit and financing conditions may affect our access to capital necessary to fund business operations or address existing and anticipated liabilities on a timely basis; and</w:t>
      </w:r>
    </w:p>
    <w:p>
      <w:pPr>
        <w:spacing w:after="0" w:line="183" w:lineRule="exact"/>
        <w:rPr>
          <w:rFonts w:ascii="Arial" w:cs="Arial" w:eastAsia="Arial" w:hAnsi="Arial"/>
          <w:sz w:val="18"/>
          <w:szCs w:val="18"/>
          <w:color w:val="auto"/>
        </w:rPr>
      </w:pPr>
    </w:p>
    <w:p>
      <w:pPr>
        <w:ind w:left="1000" w:right="540" w:hanging="520"/>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negative impact on the health of our personnel, particularly if a significant number of them are impacted, could result in a deterioration in our ability to ensure business continuity during a disruption.</w:t>
      </w:r>
    </w:p>
    <w:p>
      <w:pPr>
        <w:spacing w:after="0" w:line="170"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have implemented policies and procedures designed to mitigate the risk of adverse impacts of the COVID-19 pandemic, or a future pandemic, on our operations, but we may incur additional costs to ensure continuity of business operations caused by COVID-19, or other future pandemics, which could adversely affect our financial condition and results of operations. However, the extent of such impacts will depend on future developments, which</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are highly uncertain and cannot be predicted, including new information which may emerge concerning the severity of COVID-19 and actions taken to contain COVID-19 or its impact, among others.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the settlement with Windstream will require us to raise significant additional capital.</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expect to raise capital to fund obligations to Windstream, including (i) $490 million of settlement payments payable over time and (ii) an aggregate of up to $1.75 billion for certain growth capital improvements in long-term fiber and related assets made by Windstream (or the applicable tenant under the Windstream Lease) to certain ILEC and CLEC properties (the “Growth Capital Improvements”) subject to the master lease (although such investments will lead to higher rent payments). We will closely monitor capital markets and will seek to access them promptly when we determine market conditions are appropriate. The amount, nature and timing of any capital markets transactions will depend on: our operating performance and other circumstances; any limitations imposed by our current credit arrangements; and overall market conditions. If we are unable to access the capital markets as we anticipate (including because our cost of capital is higher than the returns we will get on our investment in Windstream),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6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We are dependent on Windstream to make payments to us under the Windstream Leases, and an event that materially and adversely affects Windstream’s business, financial position or results of operations could materially and adversely affect our business, financial position or results of operations.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Windstream is the lessee of the Distribution Systems pursuant to the Windstream Leases and, therefore, is presently the source of a substantial portion of our revenues. There can be no assurance that Windstream will have sufficient assets, income and access to financing to enable it to satisfy its payment and other obligations under the Windstream Leases. In recent years, Windstream has experienced annual declines in its total revenue, sales and cash flow and has undergone a restructuring under Chapter 11 of the U.S. Bankruptcy Code.</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inability or unwillingness of Windstream to meet its rent obligations under the Windstream Leases could materially adversely affect our business, financial position or results of operations, including our ability to pay dividends to our stockholders as required to maintain our status as a REIT. The inability of Windstream to satisfy its other obligations under the Windstream Leases, such as the payment of insurance, taxes and utilities, could materially and adversely affect the condition of the Distribution Systems as well as the business, financial position and results of operations of Windstream. In addition, Windstream will be dependent on distributions from its subsidiaries in order to satisfy the payment obligations under the Windstream Leases, as such, if its subsidiaries were to experience a material and adverse effect on their business, financial position or results of operations, our business, financial position or results of operations could also be materially and adversely affected.</w:t>
      </w:r>
    </w:p>
    <w:p>
      <w:pPr>
        <w:spacing w:after="0" w:line="17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Failure by Windstream to comply with the terms of the Windstream Leases or to comply with the regulations to which the Distribution Systems are subject could require us to find another lessee for such Distribution Systems, or a portion thereof, and there could be a decrease or cessation of rental payments by Windstream.</w:t>
      </w:r>
    </w:p>
    <w:p>
      <w:pPr>
        <w:spacing w:after="0" w:line="18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There is no assurance that we would be able to lease the Distribution Systems to another lessee on substantially equivalent or better terms than the Windstream Leases, or at all, successfully reposition the Distribution Systems for other uses or sell the Distribution Systems on terms that are favorable to us. It may be more difficult to find a replacement tenant for a telecommunications property than it would be to find a replacement tenant for a general commercial property due to the specialized nature of the business. Even if we are able to find a suitable replacement tenant for the Distribution Systems, transfers of operations of communication distribution systems are subject to regulatory approvals not required for transfers of other types of commercial operations, which may affect our ability to successfully transition the Distribution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If the Spin-Off, together with certain related transactions, fails to qualify as a tax-free transaction for U.S. federal income tax purposes, both we and Windstream could be subject to significant tax liabilities and, in certain circumstances, we could be required to indemnify Windstream for material taxes pursuant to indemnification obligations under the tax matters agreement entered into in connection with the Spin-Off.</w:t>
      </w:r>
    </w:p>
    <w:p>
      <w:pPr>
        <w:spacing w:after="0" w:line="14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Windstream received a private letter ruling (the “IRS Ruling”) from the Internal Revenue Service (the “IRS”) to the effect that, on the basis of certain facts presented and representations and assumptions set forth in the request submitted to the IRS, the Spin-Off will qualify as tax-free under Sections 355 and 368(a)(1)(D) of the Internal Revenue Code of 1986, as amended (the “Code”). Although a private letter ruling from the IRS generally is binding on the IRS, if the factual representations and assumptions made in the letter ruling request are untrue or incomplete in any material respect, then Windstream will not be able to rely on the IRS Ruling. In addition, the IRS Ruling does not address certain requirements for tax-free treatment of the Spin-Off under Sections 355 and 368(a)(1)(D) of the Code and Windstream’s use of Uniti indebtedness and common stock to retire certain of Windstream’s indebtedness (the “debt exchanges”). Accordingly, the Spin-Off was conditioned upon the receipt by Windstream of a tax opinion from its counsel with respect to the requirements on which the IRS did not rule, which concluded that such requirements also should be satisfied. The tax opinion was based on, among other things, the IRS Ruling, then current law and certain representations and assumptions as to factual matters made by Windstream and us. Any change in currently applicable law, which may or may not be retroactive, or the failure of any factual representation or assumption to be true, correct and complete in all material respects, could adversely affect the conclusions reached in the tax opinion. In addition, the tax opinion is not binding on the IRS or the courts, and the IRS or the courts may not agree with the tax opinion.</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the Spin-Off were determined to be taxable, Windstream would recognize taxable gain. Under the terms of the tax matters agreement entered into with Windstream in connection with the Spin-Off (the “Tax Matters Agreement”),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IRS Ruling or the representations provided in connection with the tax opinion. Our indemnification obligations to Windstream are not limited by any maximum amount and such amounts could be substantial. If we are required to indemnify Windstream under the circumstances set forth in the Tax Matters Agreement, we may also be subject to substantial tax liabilities.</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if the Spin-Off or the debt exchanges failed to qualify as tax free for U.S. federal income tax purposes, Windstream may incur significant tax liabilities that could materially affect Windstream’s ability to make payments under the Windstream Leases.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level of indebtedness could materially and adversely affect our financial position, including reducing funds available for other business purposes and reducing our operational flexibility.</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December 31, 2020, we had outstanding long term indebtedness of approximately $4.97 billion consisting of senior notes and a revolving credit facility provided by a syndicate of banks and other financial institutions, which, as of December 31, 2020, provided for an aggregate committed amount of borrowings up to approximately $560.5 million. Subject to the restrictions set forth in our debt agreements, our board of directors may establish and change our leverage policy at any time without stockholder approval.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Increased future debt service obligations may limit our operational flexibility, including our ability to acquire assets, finance or refinance our assets or sell assets as needed, and our ability to pay dividends. Please see “Management’s Discussion and Analysis of Financial Condition and Results of Operations—Liquidity and Capital Resources—Credit Agreement” for information about the terms of the limited waiver we received from the lenders to our Credit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February 2021, the Operating Partnership and certain of its subsidiaries issued $1.11 billion aggregate principal amount of 6.50% senior notes due 2029 and used the proceeds from the offering to fund the tender offer of substantially all outstanding 8.25% senior notes due 2023, of which $58.8 million remain outstanding. On February 16, 2021, we issued a notice of redemption to redeem all remaining principal amount of our outstanding 8.25% senior notes due 2023 on April 15, 2021.</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anticipate that we will have sufficient access to liquidity to fund our cash needs; if we are unable to do so, we would need to reduce our spending and it could have an adverse effect on us.</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anticipate continuing to invest in our network infrastructure across our Uniti Leasing and Uniti Fiber portfolios. We anticipate declaring dividends for the 2021 tax year to comply with our REIT distribution requirements. We also expect the need to raise capital to finance the Settlement, which includes growth capital investments, with Windstream. We anticipate that we will partially finance these needs, together with operating expenses (including our debt service obligations) from our cash on hand, cash flows provided by operating activities, together with funds anticipated from announced divestures. However, we may need to access the capital markets to generate additional funds in an amount sufficient to fund our business operations, announced investment activities, capital expenditures, debt service and distributions to our shareholders. We are closely monitoring the equity and debt markets and will seek to access them promptly when we determine market conditions are appropriate. 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7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We intend to pursue acquisitions of additional properties and seek other strategic opportunities, which may result in the use of a significant amount of management resources or significant costs, and we may not fully realize the potential benefits of such transactions.</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intend to pursue acquisitions of additional properties and seek acquisitions and other strategic opportunities. Accordingly, we currently are, and expect in the future to be, engaged in evaluating potential transactions and other strategic alternatives. Although there is uncertainty that any of these discussions will result in definitive 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In the event that we consummate an acquisition or strategic alternative in the future, there is no assurance that we would fully realize the potential benefits of such a transaction. Integration may be difficult and unpredictable, and acquisition-related integration costs, including certain non-recurring charges, could materially and adversely affect our results of operations. Moreover, integrating assets and businesses may significantly burden management and internal resources, including the potential loss or unavailability of key personnel. If we fail to successfully integrate the assets and businesses we acquire, we may not fully realize the potential benefits we expect, and our operating results could be adversely affected.</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dependent on the communications industry and may be susceptible to the risks associated with it, which could materially adversely affect our business, financial position or results of operations.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the owner, lessor and provider of communications services and distribution systems serving the communications industry, we are impacted by the risks associated with the communications industry. Therefore, our success is to some degree dependent on the communications industry, which could be adversely affected by economic conditions in general, changes in consumer trends and preferences, changes in communications technology designed to enhance the efficiency of communications distribution systems (including lit fiber networks and wireless equipment), and other factors over which we and our tenants have no control. As we are subject to risks inherent in substantial investments in a single industry, a decrease in the communications business or development and implementation of any such new technologies would likely have an adverse effect on our revenues.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business is subject to government regulations and changes in current or future laws or regulations could restrict our ability to operate our business in the manner currently contemplated.</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business, and that of our tenants, is subject to federal, state and local regulation. In certain jurisdictions these regulations could be applied or enforced retroactively. Local zoning authorities and community organizations are often opposed to construction in their communities and these regulations can delay, prevent or increase the cost of new distribution system construction and modifications, thereby limiting our ability to respond to customer demands and requirements. Existing regulatory policies may materially and adversely affect the associated timing or cost of such projects and additional regulations may be adopted which increase delays or result in additional costs to us, or that prevent such projects in certain locations. These factors could materially and adversely affect our business, results of operations or financial condition. For more information regarding the regulations we are subject to, please see the section entitled “Business – Government Regulation, Licensing and Enforcement.”</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which could, if not remediated, result in material misstatements in our financial statements.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further described in Item 9A of this Annual Report, in the course of completing our assessment of internal control over financial reporting as of December 31, 2020, management identified a material weakness in our internal control over financial reporting related to controls over the annual goodwill impairment assessment, specifically, the control activities over the determination of the carrying value to be used in the assessment of goodwill impairment. A “material weakness” is a deficiency, or a combination of deficiencies, in internal control over financial reporting, such that there is a reasonable possibility that a material misstatement of the annual or interim financial statements would not be prevented or detected on a timely basis. As a result, management has concluded that, because of this material weakness, our internal control over financial reporting and our disclosure controls and procedures were not effective as of December 31, 2020. If we fail to complete the remediation of this material weakness, or after having remediated such material weakness, thereafter fail to maintain the effectiveness of our internal control over financial reporting or our disclosure controls and procedures, we could be subjected to regulatory scrutiny, civil or criminal penalties or shareholder litigation, the defense of any of which could cause the diversion of management’s attention and resources, we could incur significant legal and other expenses, and we could be required to pay damages to settle such actions if any such actions were not resolved in our favor. Continued or future failure to maintain effective internal control over financial reporting could also result in financial statements that do not accurately reflect our financial condition or results of operations. There can be no assurance that we will not conclude in the future that this material weakness continues to exist or that we will not identify any significant deficiencies or other material weaknesses that will impair our ability to report our financial condition and results of operations accurately or on a timely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further impairment of our goodwill would negatively impact our financial condition and operating results.</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Goodwill represents the excess of cost over the fair value of net assets acquired in business combinations. Impairment may result from significant changes in the manner of use of the acquired assets, negative industry or economic trends and/or any changes in key assumptions regarding our fair value. In 2020, the COVID-19 pandemic and the precautionary measures instituted by governments and businesses to mitigate its spread, including travel restrictions and “shelter-in-place orders,” have contributed to a significant financial market volatility and a general slowdown of the global economy. The extent to which the fair value of net assets acquired in business combinations is ultimately impacted will depend on numerous evolving factors that are presently uncertain and which we may not be able to predict. Although we assess potential impairment of our goodwill on an annual basis, the impact of the COVID-19 pandemic may cause us to perform an interim analysis of our goodwill and cause us to report an impairment charge in the future, which could have a significant adverse impact on our reported earnings. At December 31, 2020, we had $601.9 million of goodwill on our consolidated balance sheet after recognizing a $71 million goodwill impairment charge for the Fiber Infrastructure reporting unit during the fourth quarter of 2020. For a discussion of our goodwill impairment testing, see “Note 3. Summary of Significant Accounting Policies-Goodwill” in the notes to the Condensed Consolidated Financial Statements set forth in Part II, Item 8 and “Critical Accounting Policies-Evaluation of Goodwill Impairment” in Part II, Item 7A-Management’s Discussion and Analysis of Financial Condition and Results of Operations of this Annual Report on Form 10-K.</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or our tenants may experience uninsured or underinsured losses, which could result in a significant loss of the capital we have invested in a property, decrease anticipated future revenues or cause us to incur unanticipated expenses.</w:t>
      </w:r>
    </w:p>
    <w:p>
      <w:pPr>
        <w:spacing w:after="0" w:line="17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Windstream Leases require, and we expect that additional lease agreements that we enter into will require, that the tenant maintain comprehensive insurance and hazard insurance or self-insure its insurance obligations. However,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16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even if damage to our properties is covered by insurance, a disruption of business caused by a casualty event may result in loss of revenue for our tenants or us. Any business interruption insurance may not fully compensate them or us for such loss of revenue. If one of our tenants experiences such a loss, it may be unable to satisfy its payment obligations to us under its lease with us.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in our operations, and any material failure, inadequacy, interruption or security failure of that technology could harm our business.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rely on information technology networks and systems, including the Internet, to process, transmit and store electronic information and to manage or support a variety of our business processes, including financial transactions and maintenance of records. We rely on commercially available systems, software, tools and monitoring to provide security for processing, transmitting and storing confidential information. Although we have taken steps to protect the security of the data maintained in our information systems, it is possible that our security measures will not be able to prevent the systems’ improper functioning, or the improper disclosure of information in the event of cyber-attacks. Physical or electronic break-ins, computer viruses, attacks by hackers and similar security breaches, can create system disruptions, shutdowns or unauthorized disclosure of confidential information. Any failure to maintain proper function, security and availability of our information systems could interrupt our operations, damage our reputation, subject us to liability claims or regulatory penalties and could materially and adversely affect us.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Additionally, due to the ongoing COVID-19 pandemic, large numbers of our employees are working remotely from their homes, which could have the effect of exacerbating any of the foregoing risks. While we have taken steps to ensure the security of our data and to prevent security breaches, many of these measures are being deployed for the first time on a widespread and sustained basis, and there is no guarantee the data security and privacy safeguards we have put in place will be completely effective or that we will not encounter some of the common risks associated with employees accessing Company data and systems remotely. As a result, we may be required to expend significant capital and other resources to protect against security breaches or to alleviate problems caused by security breaches.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of Uniti Fiber’s physical infrastructure or services could lead to significant costs and disruptions.</w:t>
      </w:r>
    </w:p>
    <w:p>
      <w:pPr>
        <w:spacing w:after="0" w:line="225"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Uniti Fiber’s business depends on providing customers with highly reliable service. The services provided are subject to failure resulting from numerous factors, including human error, power loss, improper maintenance, physical or electronic security breaches, fire, earthquake, hurricane, flood and other natural disasters, water damage, the effect of war, terrorism and any related conflicts or similar events worldwide, and sabotage and vandalism. Problems within Uniti Fiber’s networks or facilities, whether within our control or the control of third-party providers, could result in service interruptions or equipment damage. We may not be able to efficiently upgrade or change Uniti Fiber’s networks or facilities to meet new demands without incurring significant costs that we may not be able to pass on to customers. Given the service guarantees that may be included in Uniti Fiber’s agreements with customers, such disruptions could result in customer credits; however, we cannot assume that customers will accept these credits as compensation in the future, and we may face additional liability or loss of customers.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Status of Uniti as a REIT</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If we do not qualify as a REIT, or fail to remain qualified as a REIT, we will be subject to U.S. federal income tax as a regular corporation and could face a substantial tax liability, which could reduce the amount of cash available for distribution to our stockholders and to service debt.</w:t>
      </w:r>
    </w:p>
    <w:p>
      <w:pPr>
        <w:spacing w:after="0" w:line="12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operate as a REIT for U.S. federal income tax purposes, as does one of our principal operating subsidiaries. Our qualification as a REIT will depend on our satisfaction of certain highly technical and complex asset, income, organizational, distribution, stockholder ownership and other requirements, including at the level of our subsidiary REIT, on a continuing basis. Our ability to satisfy the asset tests depends upon our analysis of the characterization and fair market values of our assets, some of which are not susceptible to a precise determination and for which we may not obtain independent appraisals.</w:t>
      </w:r>
    </w:p>
    <w:p>
      <w:pPr>
        <w:spacing w:after="0" w:line="1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we or our subsidiary REIT were to fail to qualify as a REIT in any taxable year, unless certain relief provisions apply, we would be subject to U.S. federal income tax on all of our taxable income at regular corporate rates and dividends paid to our stockholders would not be deductible by us in computing our taxable income. As a result, we would no longer be required to pay dividends in order to qualify to be taxed as a REIT, and we could decide to reduce the amount of dividends we pay to our stockholders. Any resulting corporate liability could be substantial and could reduce the amount of cash available for distribution to our stockholders, which in turn could have an adverse impact on the value of our common stock and to service debt. Unless we were entitled to relief under certain Code provisions, we also would be disqualified from re-electing to be taxed as a REIT for the four taxable years following the year in which we failed to qualify as a REIT.</w:t>
      </w:r>
    </w:p>
    <w:p>
      <w:pPr>
        <w:spacing w:after="0" w:line="19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our 7.875% senior secured notes due 2025 presently limit our ability to make cash distributions to our shareholders in amounts exceeding 90% of our good faith estimate, as of the date on which the first quarterly dividend for the relevant year is declared, of our REIT taxable income for such year, determined without regard to the dividends paid deduction and excluding any capital gains, until we reduce our net leverage ratio. 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other actions affecting REITs could have a negative effect on us.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rules dealing with federal income taxation are constantly under review by persons involved in the legislative process and by the IRS and the U.S. Department of the Treasury (“Treasury”). Changes to the tax laws affecting REITs or TRSs, which may have retroactive application, could adversely affect our stockholders or us. We cannot predict how changes in the tax laws might affect our stockholders or us. Accordingly, we cannot provide assurance that new legislation, Treasury regulations, administrative interpretations or court decisions will not significantly affect our ability to remain qualified as a REIT, the federal income tax consequences of such qualification, the determination of the amount of REIT taxable income or the amount of tax paid by our taxable REIT subsidiaries (“TRSs”).</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could fail to qualify as a REIT if income we receive from lease transactions, such as income from Windstream pursuant to the Windstream Leases, is not treated as qualifying income.</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Under applicable provisions of the Code, we will not be treated as a REIT unless we satisfy various requirements, including requirements relating to the sources of our gross income. Rents received or accrued by us from Windstream or other lessees will not be treated as qualifying rent for purposes of these requirements if the relevant lease is not respected as a “true lease” for U.S. federal income tax purposes and is instead treated as a service contract, joint venture or some other type of arrangement. If any of our leases, including the Windstream Leases, is not respected as a true lease for U.S. federal income tax purposes, we may fail to qualify as a REIT.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We generally must qualify as a REIT and distribute annually at least 90% of our REIT taxable income, determined without regard to the dividends paid deduction and excluding any net capital gains, for the U.S. federal corporate income tax not to apply to earnings that we distribute (assuming that certain other requirements are also satisfied).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stockholders in a calendar year is less than a minimum amount specified for REITs under U.S. federal income tax laws. The same rules apply to our REIT subsidiary. We currently intend to make distributions to our stockholders, and to cause our REIT subsidiary to make distributions, to comply with the REIT requirements of the Code.</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FFO is currently generated largely by rents paid under the Windstream Leases. 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in order to make distributions sufficient to enable us to pay out enough of our taxable income to satisfy the REIT distribution requirement and to avoid corporate income tax and the 4% excise tax in a particular year. These alternatives could increase our costs or reduce our equity. Thus, compliance with the REIT requirements may hinder our ability to grow, which could adversely affect the value of our common stock and decrease cash available to service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deterioration in Windstream’s financial condition could adversely affect our ability to continue to qualify as a REIT.</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to satisfying the distribution requirement described above in the immediately preceding risk factor, we and our subsidiary REIT must each satisfy a number of other requirements in order to qualify as a REIT. A deterioration in Windstream’s financial condition could adversely affect our ability to satisfy several of these requirements and thus our ability to continue to qualify as a REIT.</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example, in order to qualify as a REIT for any year, at the end of each calendar quarter, at least 75% of the value of our assets must consist of cash, cash items, government securities and “real estate assets” (as defined in the Code), and no more than 20% of the value of our total assets can be represented by securities (other than qualified real estate assets) of one or more TRSs. If we fail to comply with either of these requirements at the end of any calendar quarter, we must correct the failure within 30 days after the end of the calendar quarter or qualify for certain statutory relief provisions to avoid losing our REIT qualification. These same rules apply to our REIT subsidiary. Our ability to satisfy these requirements depends in substantial part on the value of the assets that are the subject of the Windstream Leases with Windstream, and any diminution in the value of such assets, including as a result of any diminution in the implied value of the Windstream Leases as a result of changes in the financial condition or creditworthiness of Windstream or Windstream’s inability or unwillingness to meet its rent and other obligations under the Windstream Leases, could adversely affect our ability to satisfy these requirements at the end of any calendar quarter, and there can be no assurance that we would be able to timely correct any such failure or otherwise qualify for any statutory relief provision. See “—Risks Related to Our Business—We are dependent on Windstream Holdings to make payments to us under the Windstream Leases, and an event that materially and adversely affects Windstream’s business, financial position or results of operations could materially and adversely affect our business, financial position or results of operations.” In addition, under applicable provisions of the Code, we will not be treated as a REIT for any year unless we satisfy various requirements, including requirements relating to the sources of our gross income in such year. These same rules apply to our REIT subsidiary. Our ability to satisfy these gross income tests depends in substantial part on our receipt of rents paid under the Windstream Leases. Windstream’s inability or unwillingness to meet its rent and other obligations under the Windstream Leases, or any suspension, delay or other reduction in the amount of rent that we receive under the Windstream Leases could adversely affect our ability to qualify as a REIT.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reduce our cash flow.</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Even if we remain qualified for taxation as a REIT, we may be subject to certain U.S. federal, state and local taxes on our income and assets, including taxes on any undistributed income and state or local income, property and transfer taxes. For example, we hold some of our assets and conduct certain of our activities through a TRS that is subject to U.S. federal, state and local corporate-level income taxes as a regular C corporation. In addition, we may incur a 100% excise tax on transactions with a TRS if they are not conducted on an arm’s-length basis. Any of these taxes could decrease cash available for distribution to our stockholders and servicing our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the REIT requirements may cause us to forego otherwise attractive acquisition opportunities.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 qualify as a REIT for U.S. federal income tax purposes, we must ensure that, at the end of each calendar quarter, at least 75% of the value of our assets consists of cash, cash items, government securities and “real estate assets” (as defined in the Code).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no more than 20% of the value of our total assets can be represented by securities (other than qualified real estate assets) of one or more TRSs, and no more than 25% of the value of our total assets can be represented by nonqualified publicly offered REIT debt instruments (as defined in the Code).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of such asset limitations, we may be required to forego otherwise attractive investments. These actions could have the effect of reducing our income and amounts available for distribution to our stockholders and servicing our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cannot guarantee our ability to pay dividends in the future, and we could elect to pay dividends substantially in the form of additional shares of our common stock.</w:t>
      </w:r>
    </w:p>
    <w:p>
      <w:pPr>
        <w:spacing w:after="0" w:line="1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To qualify as a REIT, our annual dividend must not be less than 90% of our REIT taxable income on an annual basis, determined without regard to the dividends paid deduction and excluding any net capital gains. Our ability to pay dividends may be adversely affected by a number of factors, including the risk factors herein. Dividends will be authorized by our board of directors and declared by us based upon a number of factors, including actual results of operations, restrictions under Maryland law or applicable debt covenants, our financial condition, our taxable income, the annual distribution requirements under the REIT provisions of the Code, our operating expenses and other factors our directors deem relevant. We cannot ensure that we will achieve investment results that will allow us to make a specified level of cash dividends or year-to-year increases in cash dividends in the future. Accordingly, because we are required to make distributions in certain amounts to our shareholders in order to maintain our REIT status and avoid incurring entity-level income and excise tax, we may elect to pay one or more dividends to our shareholders substantially in the form of additional shares of common stock. If we do so, the common stock that we distribute would be taxable dividend income to our shareholders, in whole or in part, based on the fair market value of our common stock at the time the dividend is paid.</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Furthermore, while we are required to pay dividends in order to maintain our REIT status (as described above under “Risks Related to the Status of Uniti as a REIT—REIT distribution requirements could adversely affect our ability to execute our business plan”), we may elect not to maintain our REIT status, in which case we would no longer be required to pay such dividends. Moreover, even if we do maintain our REIT status, after completing various procedural steps, we may elect to comply with the applicable distribution requirements by distributing, under certain circumstances, shares of our common stock in lieu of cash, which may result in holders of our common stock incurring tax liability without the receipt of a corresponding amount of cash. If we elect not to maintain our REIT status or to satisfy any required distributions in shares of common stock in lieu of cash, such action could negatively affect our business and financial condition as well as the market price of our common stock. No assurance can be given that we will pay any dividends on shares of our common stock in the future.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fluctuate widely.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cannot predict the prices at which our common stock may trade. The market price of our common stock has fluctuated significantly since February 15, 2019 and may continue to fluctuate significantly, depending upon many factors, some of which may be beyond our control. In addition, under the settlement with Windstream, we issued 38,633,470 shares, equal to 19.99% of our currently outstanding common stock, to certain investors at a purchase price of $6.33 per share. These investors will be able to resell their shares into the market over time, which could lead to volatility and lower declines in the price of our common stock.</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charter restricts the ownership and transfer of our outstanding stock, which may have the effect of delaying, deferring or preventing a transaction or change of control of our company.</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order for us to qualify as a REIT, not more than 50% in value of our outstanding shares of stock may be owned, beneficially or constructively, by five or fewer individuals at any time during the last half of each taxable year after the first year for which we elect to be taxed and qualify as a REIT. Additionally, at least 100 persons must beneficially own our stock during at least 335 days of a taxable year (other than the first taxable year for which we elect to be taxed and qualify as a REIT). Our charter, with certain exceptions, authorizes our board of directors to take such actions as are necessary or advisable to preserve our qualification as a REIT. Our charter also provides that, unless exempted by the board of directors, no person may own more than 9.8% in value or in number, whichever is more restrictive, of the outstanding shares of our common stock or more than 9.8% in value of the aggregate of the outstanding shares of all classes and series of our stock.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us that might involve a premium price for shares of our stock or otherwise be in the best interests of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Uniti and its subsidiaries own or lease over 123,000 fiber network route miles, representing approximately 6.9 million fiber strand miles, approximately 230,000 route miles of copper cable lines, wireless communication towers, central office land and buildings across 44 states and beneficial rights to permits, pole agreements and easements.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 Segment</w:t>
      </w:r>
    </w:p>
    <w:p>
      <w:pPr>
        <w:spacing w:after="0" w:line="225"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Uniti Leasing’s network properties include its fiber route miles and copper route miles. Below is a geographic distribution summary as of 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Arial" w:cs="Arial" w:eastAsia="Arial" w:hAnsi="Arial"/>
                <w:sz w:val="14"/>
                <w:szCs w:val="14"/>
                <w:b w:val="1"/>
                <w:bCs w:val="1"/>
                <w:color w:val="auto"/>
              </w:rPr>
              <w:t>Location</w:t>
            </w:r>
          </w:p>
        </w:tc>
        <w:tc>
          <w:tcPr>
            <w:tcW w:w="1860" w:type="dxa"/>
            <w:vAlign w:val="bottom"/>
            <w:gridSpan w:val="2"/>
          </w:tcPr>
          <w:p>
            <w:pPr>
              <w:ind w:left="240"/>
              <w:spacing w:after="0"/>
              <w:rPr>
                <w:sz w:val="20"/>
                <w:szCs w:val="20"/>
                <w:color w:val="auto"/>
              </w:rPr>
            </w:pPr>
            <w:r>
              <w:rPr>
                <w:rFonts w:ascii="Arial" w:cs="Arial" w:eastAsia="Arial" w:hAnsi="Arial"/>
                <w:sz w:val="14"/>
                <w:szCs w:val="14"/>
                <w:b w:val="1"/>
                <w:bCs w:val="1"/>
                <w:color w:val="auto"/>
              </w:rPr>
              <w:t>Fiber Route Miles</w:t>
            </w:r>
          </w:p>
        </w:tc>
        <w:tc>
          <w:tcPr>
            <w:tcW w:w="1880" w:type="dxa"/>
            <w:vAlign w:val="bottom"/>
            <w:gridSpan w:val="2"/>
          </w:tcPr>
          <w:p>
            <w:pPr>
              <w:ind w:left="180"/>
              <w:spacing w:after="0"/>
              <w:rPr>
                <w:sz w:val="20"/>
                <w:szCs w:val="20"/>
                <w:color w:val="auto"/>
              </w:rPr>
            </w:pPr>
            <w:r>
              <w:rPr>
                <w:rFonts w:ascii="Arial" w:cs="Arial" w:eastAsia="Arial" w:hAnsi="Arial"/>
                <w:sz w:val="14"/>
                <w:szCs w:val="14"/>
                <w:b w:val="1"/>
                <w:bCs w:val="1"/>
                <w:color w:val="auto"/>
              </w:rPr>
              <w:t>Copper Route Miles</w:t>
            </w:r>
          </w:p>
        </w:tc>
        <w:tc>
          <w:tcPr>
            <w:tcW w:w="17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 Route Miles</w:t>
            </w:r>
          </w:p>
        </w:tc>
      </w:tr>
      <w:tr>
        <w:trPr>
          <w:trHeight w:val="237"/>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10,800</w:t>
            </w:r>
          </w:p>
        </w:tc>
        <w:tc>
          <w:tcPr>
            <w:tcW w:w="240" w:type="dxa"/>
            <w:vAlign w:val="bottom"/>
            <w:tcBorders>
              <w:top w:val="single" w:sz="8" w:color="CFF0FC"/>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260" w:type="dxa"/>
            <w:vAlign w:val="bottom"/>
            <w:tcBorders>
              <w:top w:val="single" w:sz="8" w:color="CFF0FC"/>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55,800</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TX</w:t>
            </w:r>
          </w:p>
        </w:tc>
        <w:tc>
          <w:tcPr>
            <w:tcW w:w="1620" w:type="dxa"/>
            <w:vAlign w:val="bottom"/>
          </w:tcPr>
          <w:p>
            <w:pPr>
              <w:jc w:val="right"/>
              <w:spacing w:after="0"/>
              <w:rPr>
                <w:sz w:val="20"/>
                <w:szCs w:val="20"/>
                <w:color w:val="auto"/>
              </w:rPr>
            </w:pPr>
            <w:r>
              <w:rPr>
                <w:rFonts w:ascii="Arial" w:cs="Arial" w:eastAsia="Arial" w:hAnsi="Arial"/>
                <w:sz w:val="18"/>
                <w:szCs w:val="18"/>
                <w:color w:val="auto"/>
              </w:rPr>
              <w:t>10,800</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39,000</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49,800</w:t>
            </w:r>
          </w:p>
        </w:tc>
        <w:tc>
          <w:tcPr>
            <w:tcW w:w="100" w:type="dxa"/>
            <w:vAlign w:val="bottom"/>
          </w:tcPr>
          <w:p>
            <w:pPr>
              <w:spacing w:after="0"/>
              <w:rPr>
                <w:sz w:val="21"/>
                <w:szCs w:val="21"/>
                <w:color w:val="auto"/>
              </w:rPr>
            </w:pPr>
          </w:p>
        </w:tc>
      </w:tr>
      <w:tr>
        <w:trPr>
          <w:trHeight w:val="24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KY</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8,900</w:t>
            </w: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32,100</w:t>
            </w: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shd w:val="clear" w:color="auto" w:fill="CFF0FC"/>
          </w:tcPr>
          <w:p>
            <w:pPr>
              <w:spacing w:after="0"/>
              <w:rPr>
                <w:sz w:val="21"/>
                <w:szCs w:val="21"/>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IA</w:t>
            </w:r>
          </w:p>
        </w:tc>
        <w:tc>
          <w:tcPr>
            <w:tcW w:w="1620" w:type="dxa"/>
            <w:vAlign w:val="bottom"/>
          </w:tcPr>
          <w:p>
            <w:pPr>
              <w:jc w:val="right"/>
              <w:spacing w:after="0"/>
              <w:rPr>
                <w:sz w:val="20"/>
                <w:szCs w:val="20"/>
                <w:color w:val="auto"/>
              </w:rPr>
            </w:pPr>
            <w:r>
              <w:rPr>
                <w:rFonts w:ascii="Arial" w:cs="Arial" w:eastAsia="Arial" w:hAnsi="Arial"/>
                <w:sz w:val="18"/>
                <w:szCs w:val="18"/>
                <w:color w:val="auto"/>
              </w:rPr>
              <w:t>8,600</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31,500</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40,100</w:t>
            </w:r>
          </w:p>
        </w:tc>
        <w:tc>
          <w:tcPr>
            <w:tcW w:w="100" w:type="dxa"/>
            <w:vAlign w:val="bottom"/>
          </w:tcPr>
          <w:p>
            <w:pPr>
              <w:spacing w:after="0"/>
              <w:rPr>
                <w:sz w:val="21"/>
                <w:szCs w:val="21"/>
                <w:color w:val="auto"/>
              </w:rPr>
            </w:pPr>
          </w:p>
        </w:tc>
      </w:tr>
      <w:tr>
        <w:trPr>
          <w:trHeight w:val="24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NC</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w:t>
            </w: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18,100</w:t>
            </w: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23,300</w:t>
            </w:r>
          </w:p>
        </w:tc>
        <w:tc>
          <w:tcPr>
            <w:tcW w:w="100" w:type="dxa"/>
            <w:vAlign w:val="bottom"/>
            <w:shd w:val="clear" w:color="auto" w:fill="CFF0FC"/>
          </w:tcPr>
          <w:p>
            <w:pPr>
              <w:spacing w:after="0"/>
              <w:rPr>
                <w:sz w:val="21"/>
                <w:szCs w:val="21"/>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OH</w:t>
            </w:r>
          </w:p>
        </w:tc>
        <w:tc>
          <w:tcPr>
            <w:tcW w:w="1620" w:type="dxa"/>
            <w:vAlign w:val="bottom"/>
          </w:tcPr>
          <w:p>
            <w:pPr>
              <w:jc w:val="right"/>
              <w:spacing w:after="0"/>
              <w:rPr>
                <w:sz w:val="20"/>
                <w:szCs w:val="20"/>
                <w:color w:val="auto"/>
              </w:rPr>
            </w:pPr>
            <w:r>
              <w:rPr>
                <w:rFonts w:ascii="Arial" w:cs="Arial" w:eastAsia="Arial" w:hAnsi="Arial"/>
                <w:sz w:val="18"/>
                <w:szCs w:val="18"/>
                <w:color w:val="auto"/>
              </w:rPr>
              <w:t>4,100</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10,400</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21"/>
                <w:szCs w:val="21"/>
                <w:color w:val="auto"/>
              </w:rPr>
            </w:pPr>
          </w:p>
        </w:tc>
      </w:tr>
      <w:tr>
        <w:trPr>
          <w:trHeight w:val="24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AR</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13,400</w:t>
            </w: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17,300</w:t>
            </w:r>
          </w:p>
        </w:tc>
        <w:tc>
          <w:tcPr>
            <w:tcW w:w="100" w:type="dxa"/>
            <w:vAlign w:val="bottom"/>
            <w:shd w:val="clear" w:color="auto" w:fill="CFF0FC"/>
          </w:tcPr>
          <w:p>
            <w:pPr>
              <w:spacing w:after="0"/>
              <w:rPr>
                <w:sz w:val="21"/>
                <w:szCs w:val="21"/>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IL</w:t>
            </w:r>
          </w:p>
        </w:tc>
        <w:tc>
          <w:tcPr>
            <w:tcW w:w="1620" w:type="dxa"/>
            <w:vAlign w:val="bottom"/>
          </w:tcPr>
          <w:p>
            <w:pPr>
              <w:jc w:val="right"/>
              <w:spacing w:after="0"/>
              <w:rPr>
                <w:sz w:val="20"/>
                <w:szCs w:val="20"/>
                <w:color w:val="auto"/>
              </w:rPr>
            </w:pPr>
            <w:r>
              <w:rPr>
                <w:rFonts w:ascii="Arial" w:cs="Arial" w:eastAsia="Arial" w:hAnsi="Arial"/>
                <w:sz w:val="18"/>
                <w:szCs w:val="18"/>
                <w:color w:val="auto"/>
              </w:rPr>
              <w:t>3,600</w:t>
            </w:r>
          </w:p>
        </w:tc>
        <w:tc>
          <w:tcPr>
            <w:tcW w:w="240" w:type="dxa"/>
            <w:vAlign w:val="bottom"/>
          </w:tcPr>
          <w:p>
            <w:pPr>
              <w:spacing w:after="0"/>
              <w:rPr>
                <w:sz w:val="21"/>
                <w:szCs w:val="21"/>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r>
      <w:tr>
        <w:trPr>
          <w:trHeight w:val="24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FL</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w:t>
            </w: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11,300</w:t>
            </w:r>
          </w:p>
        </w:tc>
        <w:tc>
          <w:tcPr>
            <w:tcW w:w="100" w:type="dxa"/>
            <w:vAlign w:val="bottom"/>
            <w:shd w:val="clear" w:color="auto" w:fill="CFF0FC"/>
          </w:tcPr>
          <w:p>
            <w:pPr>
              <w:spacing w:after="0"/>
              <w:rPr>
                <w:sz w:val="21"/>
                <w:szCs w:val="21"/>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IN</w:t>
            </w:r>
          </w:p>
        </w:tc>
        <w:tc>
          <w:tcPr>
            <w:tcW w:w="162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21"/>
                <w:szCs w:val="21"/>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r>
      <w:tr>
        <w:trPr>
          <w:trHeight w:val="24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WI</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w:t>
            </w:r>
          </w:p>
        </w:tc>
        <w:tc>
          <w:tcPr>
            <w:tcW w:w="24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FF0FC"/>
          </w:tcPr>
          <w:p>
            <w:pPr>
              <w:spacing w:after="0"/>
              <w:rPr>
                <w:sz w:val="21"/>
                <w:szCs w:val="21"/>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MI</w:t>
            </w:r>
          </w:p>
        </w:tc>
        <w:tc>
          <w:tcPr>
            <w:tcW w:w="162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21"/>
                <w:szCs w:val="21"/>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r>
      <w:tr>
        <w:trPr>
          <w:trHeight w:val="24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OK</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FF0FC"/>
          </w:tcPr>
          <w:p>
            <w:pPr>
              <w:spacing w:after="0"/>
              <w:rPr>
                <w:sz w:val="21"/>
                <w:szCs w:val="21"/>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CA</w:t>
            </w:r>
          </w:p>
        </w:tc>
        <w:tc>
          <w:tcPr>
            <w:tcW w:w="1620" w:type="dxa"/>
            <w:vAlign w:val="bottom"/>
          </w:tcPr>
          <w:p>
            <w:pPr>
              <w:jc w:val="right"/>
              <w:spacing w:after="0"/>
              <w:rPr>
                <w:sz w:val="20"/>
                <w:szCs w:val="20"/>
                <w:color w:val="auto"/>
              </w:rPr>
            </w:pPr>
            <w:r>
              <w:rPr>
                <w:rFonts w:ascii="Arial" w:cs="Arial" w:eastAsia="Arial" w:hAnsi="Arial"/>
                <w:sz w:val="18"/>
                <w:szCs w:val="18"/>
                <w:color w:val="auto"/>
              </w:rPr>
              <w:t>1,800</w:t>
            </w:r>
          </w:p>
        </w:tc>
        <w:tc>
          <w:tcPr>
            <w:tcW w:w="240" w:type="dxa"/>
            <w:vAlign w:val="bottom"/>
          </w:tcPr>
          <w:p>
            <w:pPr>
              <w:spacing w:after="0"/>
              <w:rPr>
                <w:sz w:val="21"/>
                <w:szCs w:val="21"/>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r>
      <w:tr>
        <w:trPr>
          <w:trHeight w:val="24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MO</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10,800</w:t>
            </w: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12,400</w:t>
            </w:r>
          </w:p>
        </w:tc>
        <w:tc>
          <w:tcPr>
            <w:tcW w:w="100" w:type="dxa"/>
            <w:vAlign w:val="bottom"/>
            <w:shd w:val="clear" w:color="auto" w:fill="CFF0FC"/>
          </w:tcPr>
          <w:p>
            <w:pPr>
              <w:spacing w:after="0"/>
              <w:rPr>
                <w:sz w:val="21"/>
                <w:szCs w:val="21"/>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NY</w:t>
            </w:r>
          </w:p>
        </w:tc>
        <w:tc>
          <w:tcPr>
            <w:tcW w:w="1620" w:type="dxa"/>
            <w:vAlign w:val="bottom"/>
          </w:tcPr>
          <w:p>
            <w:pPr>
              <w:jc w:val="right"/>
              <w:spacing w:after="0"/>
              <w:rPr>
                <w:sz w:val="20"/>
                <w:szCs w:val="20"/>
                <w:color w:val="auto"/>
              </w:rPr>
            </w:pPr>
            <w:r>
              <w:rPr>
                <w:rFonts w:ascii="Arial" w:cs="Arial" w:eastAsia="Arial" w:hAnsi="Arial"/>
                <w:sz w:val="18"/>
                <w:szCs w:val="18"/>
                <w:color w:val="auto"/>
              </w:rPr>
              <w:t>1,400</w:t>
            </w:r>
          </w:p>
        </w:tc>
        <w:tc>
          <w:tcPr>
            <w:tcW w:w="240" w:type="dxa"/>
            <w:vAlign w:val="bottom"/>
          </w:tcPr>
          <w:p>
            <w:pPr>
              <w:spacing w:after="0"/>
              <w:rPr>
                <w:sz w:val="21"/>
                <w:szCs w:val="21"/>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1"/>
                <w:szCs w:val="21"/>
                <w:color w:val="auto"/>
              </w:rPr>
            </w:pPr>
          </w:p>
        </w:tc>
      </w:tr>
      <w:tr>
        <w:trPr>
          <w:trHeight w:val="24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PA</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4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FF0FC"/>
          </w:tcPr>
          <w:p>
            <w:pPr>
              <w:spacing w:after="0"/>
              <w:rPr>
                <w:sz w:val="21"/>
                <w:szCs w:val="21"/>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TN</w:t>
            </w:r>
          </w:p>
        </w:tc>
        <w:tc>
          <w:tcPr>
            <w:tcW w:w="1620" w:type="dxa"/>
            <w:vAlign w:val="bottom"/>
          </w:tcPr>
          <w:p>
            <w:pPr>
              <w:jc w:val="right"/>
              <w:spacing w:after="0"/>
              <w:rPr>
                <w:sz w:val="20"/>
                <w:szCs w:val="20"/>
                <w:color w:val="auto"/>
              </w:rPr>
            </w:pPr>
            <w:r>
              <w:rPr>
                <w:rFonts w:ascii="Arial" w:cs="Arial" w:eastAsia="Arial" w:hAnsi="Arial"/>
                <w:sz w:val="18"/>
                <w:szCs w:val="18"/>
                <w:color w:val="auto"/>
              </w:rPr>
              <w:t>1,300</w:t>
            </w:r>
          </w:p>
        </w:tc>
        <w:tc>
          <w:tcPr>
            <w:tcW w:w="240" w:type="dxa"/>
            <w:vAlign w:val="bottom"/>
          </w:tcPr>
          <w:p>
            <w:pPr>
              <w:spacing w:after="0"/>
              <w:rPr>
                <w:sz w:val="21"/>
                <w:szCs w:val="21"/>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r>
      <w:tr>
        <w:trPr>
          <w:trHeight w:val="24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NM</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w:t>
            </w: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6,300</w:t>
            </w:r>
          </w:p>
        </w:tc>
        <w:tc>
          <w:tcPr>
            <w:tcW w:w="100" w:type="dxa"/>
            <w:vAlign w:val="bottom"/>
            <w:shd w:val="clear" w:color="auto" w:fill="CFF0FC"/>
          </w:tcPr>
          <w:p>
            <w:pPr>
              <w:spacing w:after="0"/>
              <w:rPr>
                <w:sz w:val="21"/>
                <w:szCs w:val="21"/>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AL</w:t>
            </w:r>
          </w:p>
        </w:tc>
        <w:tc>
          <w:tcPr>
            <w:tcW w:w="1620" w:type="dxa"/>
            <w:vAlign w:val="bottom"/>
          </w:tcPr>
          <w:p>
            <w:pPr>
              <w:jc w:val="right"/>
              <w:spacing w:after="0"/>
              <w:rPr>
                <w:sz w:val="20"/>
                <w:szCs w:val="20"/>
                <w:color w:val="auto"/>
              </w:rPr>
            </w:pPr>
            <w:r>
              <w:rPr>
                <w:rFonts w:ascii="Arial" w:cs="Arial" w:eastAsia="Arial" w:hAnsi="Arial"/>
                <w:sz w:val="18"/>
                <w:szCs w:val="18"/>
                <w:color w:val="auto"/>
              </w:rPr>
              <w:t>1,100</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2,400</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1"/>
                <w:szCs w:val="21"/>
                <w:color w:val="auto"/>
              </w:rPr>
            </w:pPr>
          </w:p>
        </w:tc>
      </w:tr>
      <w:tr>
        <w:trPr>
          <w:trHeight w:val="24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VA</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24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FF0FC"/>
          </w:tcPr>
          <w:p>
            <w:pPr>
              <w:spacing w:after="0"/>
              <w:rPr>
                <w:sz w:val="21"/>
                <w:szCs w:val="21"/>
                <w:color w:val="auto"/>
              </w:rPr>
            </w:pPr>
          </w:p>
        </w:tc>
      </w:tr>
      <w:tr>
        <w:trPr>
          <w:trHeight w:val="243"/>
        </w:trPr>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w:t>
            </w:r>
          </w:p>
        </w:tc>
        <w:tc>
          <w:tcPr>
            <w:tcW w:w="240" w:type="dxa"/>
            <w:vAlign w:val="bottom"/>
            <w:tcBorders>
              <w:bottom w:val="single" w:sz="8" w:color="CFF0FC"/>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260" w:type="dxa"/>
            <w:vAlign w:val="bottom"/>
            <w:tcBorders>
              <w:bottom w:val="single" w:sz="8" w:color="CFF0FC"/>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9,100</w:t>
            </w:r>
          </w:p>
        </w:tc>
        <w:tc>
          <w:tcPr>
            <w:tcW w:w="100" w:type="dxa"/>
            <w:vAlign w:val="bottom"/>
            <w:tcBorders>
              <w:bottom w:val="single" w:sz="8" w:color="CFF0FC"/>
            </w:tcBorders>
          </w:tcPr>
          <w:p>
            <w:pPr>
              <w:spacing w:after="0"/>
              <w:rPr>
                <w:sz w:val="21"/>
                <w:szCs w:val="21"/>
                <w:color w:val="auto"/>
              </w:rPr>
            </w:pPr>
          </w:p>
        </w:tc>
      </w:tr>
      <w:tr>
        <w:trPr>
          <w:trHeight w:val="23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85,800</w:t>
            </w:r>
          </w:p>
        </w:tc>
        <w:tc>
          <w:tcPr>
            <w:tcW w:w="24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229,800</w:t>
            </w:r>
          </w:p>
        </w:tc>
        <w:tc>
          <w:tcPr>
            <w:tcW w:w="26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315,600</w:t>
            </w:r>
          </w:p>
        </w:tc>
        <w:tc>
          <w:tcPr>
            <w:tcW w:w="100" w:type="dxa"/>
            <w:vAlign w:val="bottom"/>
            <w:shd w:val="clear" w:color="auto" w:fill="CFF0FC"/>
          </w:tcPr>
          <w:p>
            <w:pPr>
              <w:spacing w:after="0"/>
              <w:rPr>
                <w:sz w:val="20"/>
                <w:szCs w:val="20"/>
                <w:color w:val="auto"/>
              </w:rPr>
            </w:pPr>
          </w:p>
        </w:tc>
      </w:tr>
    </w:tbl>
    <w:p>
      <w:pPr>
        <w:spacing w:after="0" w:line="13"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21 states.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Fiber Segment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Uniti Fiber’s network properties include its fiber route miles and wireless communications towers. Below is a geographic distribution summary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00" w:type="dxa"/>
            <w:vAlign w:val="bottom"/>
          </w:tcPr>
          <w:p>
            <w:pPr>
              <w:spacing w:after="0"/>
              <w:rPr>
                <w:sz w:val="20"/>
                <w:szCs w:val="20"/>
                <w:color w:val="auto"/>
              </w:rPr>
            </w:pPr>
            <w:r>
              <w:rPr>
                <w:rFonts w:ascii="Arial" w:cs="Arial" w:eastAsia="Arial" w:hAnsi="Arial"/>
                <w:sz w:val="14"/>
                <w:szCs w:val="14"/>
                <w:b w:val="1"/>
                <w:bCs w:val="1"/>
                <w:color w:val="auto"/>
              </w:rPr>
              <w:t>Location</w:t>
            </w:r>
          </w:p>
        </w:tc>
        <w:tc>
          <w:tcPr>
            <w:tcW w:w="1740" w:type="dxa"/>
            <w:vAlign w:val="bottom"/>
            <w:gridSpan w:val="2"/>
          </w:tcPr>
          <w:p>
            <w:pPr>
              <w:ind w:left="260"/>
              <w:spacing w:after="0"/>
              <w:rPr>
                <w:sz w:val="20"/>
                <w:szCs w:val="20"/>
                <w:color w:val="auto"/>
              </w:rPr>
            </w:pPr>
            <w:r>
              <w:rPr>
                <w:rFonts w:ascii="Arial" w:cs="Arial" w:eastAsia="Arial" w:hAnsi="Arial"/>
                <w:sz w:val="14"/>
                <w:szCs w:val="14"/>
                <w:b w:val="1"/>
                <w:bCs w:val="1"/>
                <w:color w:val="auto"/>
              </w:rPr>
              <w:t>Fiber Route Miles</w:t>
            </w:r>
          </w:p>
        </w:tc>
      </w:tr>
      <w:tr>
        <w:trPr>
          <w:trHeight w:val="223"/>
        </w:trPr>
        <w:tc>
          <w:tcPr>
            <w:tcW w:w="9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FL</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500" w:type="dxa"/>
            <w:vAlign w:val="bottom"/>
          </w:tcPr>
          <w:p>
            <w:pPr>
              <w:spacing w:after="0"/>
              <w:rPr>
                <w:sz w:val="20"/>
                <w:szCs w:val="20"/>
                <w:color w:val="auto"/>
              </w:rPr>
            </w:pPr>
            <w:r>
              <w:rPr>
                <w:rFonts w:ascii="Arial" w:cs="Arial" w:eastAsia="Arial" w:hAnsi="Arial"/>
                <w:sz w:val="18"/>
                <w:szCs w:val="18"/>
                <w:color w:val="auto"/>
              </w:rPr>
              <w:t>GA</w:t>
            </w:r>
          </w:p>
        </w:tc>
        <w:tc>
          <w:tcPr>
            <w:tcW w:w="164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r>
      <w:tr>
        <w:trPr>
          <w:trHeight w:val="229"/>
        </w:trPr>
        <w:tc>
          <w:tcPr>
            <w:tcW w:w="9500" w:type="dxa"/>
            <w:vAlign w:val="bottom"/>
            <w:shd w:val="clear" w:color="auto" w:fill="CFF0FC"/>
          </w:tcPr>
          <w:p>
            <w:pPr>
              <w:spacing w:after="0"/>
              <w:rPr>
                <w:sz w:val="20"/>
                <w:szCs w:val="20"/>
                <w:color w:val="auto"/>
              </w:rPr>
            </w:pPr>
            <w:r>
              <w:rPr>
                <w:rFonts w:ascii="Arial" w:cs="Arial" w:eastAsia="Arial" w:hAnsi="Arial"/>
                <w:sz w:val="18"/>
                <w:szCs w:val="18"/>
                <w:color w:val="auto"/>
              </w:rPr>
              <w:t>LA</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5,900</w:t>
            </w:r>
          </w:p>
        </w:tc>
        <w:tc>
          <w:tcPr>
            <w:tcW w:w="100" w:type="dxa"/>
            <w:vAlign w:val="bottom"/>
            <w:shd w:val="clear" w:color="auto" w:fill="CFF0FC"/>
          </w:tcPr>
          <w:p>
            <w:pPr>
              <w:spacing w:after="0"/>
              <w:rPr>
                <w:sz w:val="19"/>
                <w:szCs w:val="19"/>
                <w:color w:val="auto"/>
              </w:rPr>
            </w:pPr>
          </w:p>
        </w:tc>
      </w:tr>
      <w:tr>
        <w:trPr>
          <w:trHeight w:val="229"/>
        </w:trPr>
        <w:tc>
          <w:tcPr>
            <w:tcW w:w="9500" w:type="dxa"/>
            <w:vAlign w:val="bottom"/>
          </w:tcPr>
          <w:p>
            <w:pPr>
              <w:spacing w:after="0"/>
              <w:rPr>
                <w:sz w:val="20"/>
                <w:szCs w:val="20"/>
                <w:color w:val="auto"/>
              </w:rPr>
            </w:pPr>
            <w:r>
              <w:rPr>
                <w:rFonts w:ascii="Arial" w:cs="Arial" w:eastAsia="Arial" w:hAnsi="Arial"/>
                <w:sz w:val="18"/>
                <w:szCs w:val="18"/>
                <w:color w:val="auto"/>
              </w:rPr>
              <w:t>AL</w:t>
            </w:r>
          </w:p>
        </w:tc>
        <w:tc>
          <w:tcPr>
            <w:tcW w:w="164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r>
      <w:tr>
        <w:trPr>
          <w:trHeight w:val="230"/>
        </w:trPr>
        <w:tc>
          <w:tcPr>
            <w:tcW w:w="9500" w:type="dxa"/>
            <w:vAlign w:val="bottom"/>
            <w:shd w:val="clear" w:color="auto" w:fill="CFF0FC"/>
          </w:tcPr>
          <w:p>
            <w:pPr>
              <w:spacing w:after="0"/>
              <w:rPr>
                <w:sz w:val="20"/>
                <w:szCs w:val="20"/>
                <w:color w:val="auto"/>
              </w:rPr>
            </w:pPr>
            <w:r>
              <w:rPr>
                <w:rFonts w:ascii="Arial" w:cs="Arial" w:eastAsia="Arial" w:hAnsi="Arial"/>
                <w:sz w:val="18"/>
                <w:szCs w:val="18"/>
                <w:color w:val="auto"/>
              </w:rPr>
              <w:t>PA</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FF0FC"/>
          </w:tcPr>
          <w:p>
            <w:pPr>
              <w:spacing w:after="0"/>
              <w:rPr>
                <w:sz w:val="19"/>
                <w:szCs w:val="19"/>
                <w:color w:val="auto"/>
              </w:rPr>
            </w:pPr>
          </w:p>
        </w:tc>
      </w:tr>
      <w:tr>
        <w:trPr>
          <w:trHeight w:val="229"/>
        </w:trPr>
        <w:tc>
          <w:tcPr>
            <w:tcW w:w="9500" w:type="dxa"/>
            <w:vAlign w:val="bottom"/>
          </w:tcPr>
          <w:p>
            <w:pPr>
              <w:spacing w:after="0"/>
              <w:rPr>
                <w:sz w:val="20"/>
                <w:szCs w:val="20"/>
                <w:color w:val="auto"/>
              </w:rPr>
            </w:pPr>
            <w:r>
              <w:rPr>
                <w:rFonts w:ascii="Arial" w:cs="Arial" w:eastAsia="Arial" w:hAnsi="Arial"/>
                <w:sz w:val="18"/>
                <w:szCs w:val="18"/>
                <w:color w:val="auto"/>
              </w:rPr>
              <w:t>MS</w:t>
            </w:r>
          </w:p>
        </w:tc>
        <w:tc>
          <w:tcPr>
            <w:tcW w:w="1640" w:type="dxa"/>
            <w:vAlign w:val="bottom"/>
          </w:tcPr>
          <w:p>
            <w:pPr>
              <w:jc w:val="right"/>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19"/>
                <w:szCs w:val="19"/>
                <w:color w:val="auto"/>
              </w:rPr>
            </w:pPr>
          </w:p>
        </w:tc>
      </w:tr>
      <w:tr>
        <w:trPr>
          <w:trHeight w:val="230"/>
        </w:trPr>
        <w:tc>
          <w:tcPr>
            <w:tcW w:w="9500" w:type="dxa"/>
            <w:vAlign w:val="bottom"/>
            <w:shd w:val="clear" w:color="auto" w:fill="CFF0FC"/>
          </w:tcPr>
          <w:p>
            <w:pPr>
              <w:spacing w:after="0"/>
              <w:rPr>
                <w:sz w:val="20"/>
                <w:szCs w:val="20"/>
                <w:color w:val="auto"/>
              </w:rPr>
            </w:pPr>
            <w:r>
              <w:rPr>
                <w:rFonts w:ascii="Arial" w:cs="Arial" w:eastAsia="Arial" w:hAnsi="Arial"/>
                <w:sz w:val="18"/>
                <w:szCs w:val="18"/>
                <w:color w:val="auto"/>
              </w:rPr>
              <w:t>VA</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FF0FC"/>
          </w:tcPr>
          <w:p>
            <w:pPr>
              <w:spacing w:after="0"/>
              <w:rPr>
                <w:sz w:val="19"/>
                <w:szCs w:val="19"/>
                <w:color w:val="auto"/>
              </w:rPr>
            </w:pPr>
          </w:p>
        </w:tc>
      </w:tr>
      <w:tr>
        <w:trPr>
          <w:trHeight w:val="229"/>
        </w:trPr>
        <w:tc>
          <w:tcPr>
            <w:tcW w:w="9500" w:type="dxa"/>
            <w:vAlign w:val="bottom"/>
          </w:tcPr>
          <w:p>
            <w:pPr>
              <w:spacing w:after="0"/>
              <w:rPr>
                <w:sz w:val="20"/>
                <w:szCs w:val="20"/>
                <w:color w:val="auto"/>
              </w:rPr>
            </w:pPr>
            <w:r>
              <w:rPr>
                <w:rFonts w:ascii="Arial" w:cs="Arial" w:eastAsia="Arial" w:hAnsi="Arial"/>
                <w:sz w:val="18"/>
                <w:szCs w:val="18"/>
                <w:color w:val="auto"/>
              </w:rPr>
              <w:t>NY</w:t>
            </w:r>
          </w:p>
        </w:tc>
        <w:tc>
          <w:tcPr>
            <w:tcW w:w="16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r>
      <w:tr>
        <w:trPr>
          <w:trHeight w:val="229"/>
        </w:trPr>
        <w:tc>
          <w:tcPr>
            <w:tcW w:w="9500" w:type="dxa"/>
            <w:vAlign w:val="bottom"/>
            <w:shd w:val="clear" w:color="auto" w:fill="CFF0FC"/>
          </w:tcPr>
          <w:p>
            <w:pPr>
              <w:spacing w:after="0"/>
              <w:rPr>
                <w:sz w:val="20"/>
                <w:szCs w:val="20"/>
                <w:color w:val="auto"/>
              </w:rPr>
            </w:pPr>
            <w:r>
              <w:rPr>
                <w:rFonts w:ascii="Arial" w:cs="Arial" w:eastAsia="Arial" w:hAnsi="Arial"/>
                <w:sz w:val="18"/>
                <w:szCs w:val="18"/>
                <w:color w:val="auto"/>
              </w:rPr>
              <w:t>TX</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FF0FC"/>
          </w:tcPr>
          <w:p>
            <w:pPr>
              <w:spacing w:after="0"/>
              <w:rPr>
                <w:sz w:val="19"/>
                <w:szCs w:val="19"/>
                <w:color w:val="auto"/>
              </w:rPr>
            </w:pPr>
          </w:p>
        </w:tc>
      </w:tr>
      <w:tr>
        <w:trPr>
          <w:trHeight w:val="230"/>
        </w:trPr>
        <w:tc>
          <w:tcPr>
            <w:tcW w:w="9500" w:type="dxa"/>
            <w:vAlign w:val="bottom"/>
          </w:tcPr>
          <w:p>
            <w:pPr>
              <w:spacing w:after="0"/>
              <w:rPr>
                <w:sz w:val="20"/>
                <w:szCs w:val="20"/>
                <w:color w:val="auto"/>
              </w:rPr>
            </w:pPr>
            <w:r>
              <w:rPr>
                <w:rFonts w:ascii="Arial" w:cs="Arial" w:eastAsia="Arial" w:hAnsi="Arial"/>
                <w:sz w:val="18"/>
                <w:szCs w:val="18"/>
                <w:color w:val="auto"/>
              </w:rPr>
              <w:t>NJ</w:t>
            </w:r>
          </w:p>
        </w:tc>
        <w:tc>
          <w:tcPr>
            <w:tcW w:w="164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r>
      <w:tr>
        <w:trPr>
          <w:trHeight w:val="229"/>
        </w:trPr>
        <w:tc>
          <w:tcPr>
            <w:tcW w:w="9500" w:type="dxa"/>
            <w:vAlign w:val="bottom"/>
            <w:shd w:val="clear" w:color="auto" w:fill="CFF0FC"/>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FF0FC"/>
          </w:tcPr>
          <w:p>
            <w:pPr>
              <w:spacing w:after="0"/>
              <w:rPr>
                <w:sz w:val="19"/>
                <w:szCs w:val="19"/>
                <w:color w:val="auto"/>
              </w:rPr>
            </w:pPr>
          </w:p>
        </w:tc>
      </w:tr>
      <w:tr>
        <w:trPr>
          <w:trHeight w:val="224"/>
        </w:trPr>
        <w:tc>
          <w:tcPr>
            <w:tcW w:w="9500" w:type="dxa"/>
            <w:vAlign w:val="bottom"/>
          </w:tcPr>
          <w:p>
            <w:pPr>
              <w:spacing w:after="0"/>
              <w:rPr>
                <w:sz w:val="20"/>
                <w:szCs w:val="20"/>
                <w:color w:val="auto"/>
              </w:rPr>
            </w:pPr>
            <w:r>
              <w:rPr>
                <w:rFonts w:ascii="Arial" w:cs="Arial" w:eastAsia="Arial" w:hAnsi="Arial"/>
                <w:sz w:val="18"/>
                <w:szCs w:val="18"/>
                <w:color w:val="auto"/>
              </w:rPr>
              <w:t>Total</w:t>
            </w:r>
          </w:p>
        </w:tc>
        <w:tc>
          <w:tcPr>
            <w:tcW w:w="1640" w:type="dxa"/>
            <w:vAlign w:val="bottom"/>
          </w:tcPr>
          <w:p>
            <w:pPr>
              <w:jc w:val="right"/>
              <w:spacing w:after="0"/>
              <w:rPr>
                <w:sz w:val="20"/>
                <w:szCs w:val="20"/>
                <w:color w:val="auto"/>
              </w:rPr>
            </w:pPr>
            <w:r>
              <w:rPr>
                <w:rFonts w:ascii="Arial" w:cs="Arial" w:eastAsia="Arial" w:hAnsi="Arial"/>
                <w:sz w:val="18"/>
                <w:szCs w:val="18"/>
                <w:color w:val="auto"/>
              </w:rPr>
              <w:t>37,500</w:t>
            </w:r>
          </w:p>
        </w:tc>
        <w:tc>
          <w:tcPr>
            <w:tcW w:w="100" w:type="dxa"/>
            <w:vAlign w:val="bottom"/>
          </w:tcPr>
          <w:p>
            <w:pPr>
              <w:spacing w:after="0"/>
              <w:rPr>
                <w:sz w:val="19"/>
                <w:szCs w:val="19"/>
                <w:color w:val="auto"/>
              </w:rPr>
            </w:pPr>
          </w:p>
        </w:tc>
      </w:tr>
    </w:tbl>
    <w:p>
      <w:pPr>
        <w:spacing w:after="0" w:line="12"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5"/>
          <w:szCs w:val="15"/>
          <w:color w:val="auto"/>
        </w:rPr>
      </w:pPr>
      <w:r>
        <w:rPr>
          <w:rFonts w:ascii="Arial" w:cs="Arial" w:eastAsia="Arial" w:hAnsi="Arial"/>
          <w:sz w:val="18"/>
          <w:szCs w:val="18"/>
          <w:color w:val="auto"/>
        </w:rPr>
        <w:t>Includes 10 states.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00" w:type="dxa"/>
            <w:vAlign w:val="bottom"/>
          </w:tcPr>
          <w:p>
            <w:pPr>
              <w:spacing w:after="0"/>
              <w:rPr>
                <w:sz w:val="20"/>
                <w:szCs w:val="20"/>
                <w:color w:val="auto"/>
              </w:rPr>
            </w:pPr>
            <w:r>
              <w:rPr>
                <w:rFonts w:ascii="Arial" w:cs="Arial" w:eastAsia="Arial" w:hAnsi="Arial"/>
                <w:sz w:val="14"/>
                <w:szCs w:val="14"/>
                <w:b w:val="1"/>
                <w:bCs w:val="1"/>
                <w:color w:val="auto"/>
              </w:rPr>
              <w:t>Location</w:t>
            </w:r>
          </w:p>
        </w:tc>
        <w:tc>
          <w:tcPr>
            <w:tcW w:w="1740" w:type="dxa"/>
            <w:vAlign w:val="bottom"/>
            <w:gridSpan w:val="2"/>
          </w:tcPr>
          <w:p>
            <w:pPr>
              <w:ind w:left="580"/>
              <w:spacing w:after="0"/>
              <w:rPr>
                <w:sz w:val="20"/>
                <w:szCs w:val="20"/>
                <w:color w:val="auto"/>
              </w:rPr>
            </w:pPr>
            <w:r>
              <w:rPr>
                <w:rFonts w:ascii="Arial" w:cs="Arial" w:eastAsia="Arial" w:hAnsi="Arial"/>
                <w:sz w:val="14"/>
                <w:szCs w:val="14"/>
                <w:b w:val="1"/>
                <w:bCs w:val="1"/>
                <w:color w:val="auto"/>
              </w:rPr>
              <w:t>Towers</w:t>
            </w:r>
          </w:p>
        </w:tc>
      </w:tr>
      <w:tr>
        <w:trPr>
          <w:trHeight w:val="223"/>
        </w:trPr>
        <w:tc>
          <w:tcPr>
            <w:tcW w:w="9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500" w:type="dxa"/>
            <w:vAlign w:val="bottom"/>
          </w:tcPr>
          <w:p>
            <w:pPr>
              <w:spacing w:after="0"/>
              <w:rPr>
                <w:sz w:val="20"/>
                <w:szCs w:val="20"/>
                <w:color w:val="auto"/>
              </w:rPr>
            </w:pPr>
            <w:r>
              <w:rPr>
                <w:rFonts w:ascii="Arial" w:cs="Arial" w:eastAsia="Arial" w:hAnsi="Arial"/>
                <w:sz w:val="18"/>
                <w:szCs w:val="18"/>
                <w:color w:val="auto"/>
              </w:rPr>
              <w:t>NM</w:t>
            </w:r>
          </w:p>
        </w:tc>
        <w:tc>
          <w:tcPr>
            <w:tcW w:w="16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29"/>
        </w:trPr>
        <w:tc>
          <w:tcPr>
            <w:tcW w:w="9500" w:type="dxa"/>
            <w:vAlign w:val="bottom"/>
            <w:shd w:val="clear" w:color="auto" w:fill="CFF0FC"/>
          </w:tcPr>
          <w:p>
            <w:pPr>
              <w:spacing w:after="0"/>
              <w:rPr>
                <w:sz w:val="20"/>
                <w:szCs w:val="20"/>
                <w:color w:val="auto"/>
              </w:rPr>
            </w:pPr>
            <w:r>
              <w:rPr>
                <w:rFonts w:ascii="Arial" w:cs="Arial" w:eastAsia="Arial" w:hAnsi="Arial"/>
                <w:sz w:val="18"/>
                <w:szCs w:val="18"/>
                <w:color w:val="auto"/>
              </w:rPr>
              <w:t>TX</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r>
      <w:tr>
        <w:trPr>
          <w:trHeight w:val="230"/>
        </w:trPr>
        <w:tc>
          <w:tcPr>
            <w:tcW w:w="9500" w:type="dxa"/>
            <w:vAlign w:val="bottom"/>
          </w:tcPr>
          <w:p>
            <w:pPr>
              <w:spacing w:after="0"/>
              <w:rPr>
                <w:sz w:val="20"/>
                <w:szCs w:val="20"/>
                <w:color w:val="auto"/>
              </w:rPr>
            </w:pPr>
            <w:r>
              <w:rPr>
                <w:rFonts w:ascii="Arial" w:cs="Arial" w:eastAsia="Arial" w:hAnsi="Arial"/>
                <w:sz w:val="18"/>
                <w:szCs w:val="18"/>
                <w:color w:val="auto"/>
              </w:rPr>
              <w:t>AR</w:t>
            </w:r>
          </w:p>
        </w:tc>
        <w:tc>
          <w:tcPr>
            <w:tcW w:w="16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29"/>
        </w:trPr>
        <w:tc>
          <w:tcPr>
            <w:tcW w:w="9500" w:type="dxa"/>
            <w:vAlign w:val="bottom"/>
            <w:shd w:val="clear" w:color="auto" w:fill="CFF0FC"/>
          </w:tcPr>
          <w:p>
            <w:pPr>
              <w:spacing w:after="0"/>
              <w:rPr>
                <w:sz w:val="20"/>
                <w:szCs w:val="20"/>
                <w:color w:val="auto"/>
              </w:rPr>
            </w:pPr>
            <w:r>
              <w:rPr>
                <w:rFonts w:ascii="Arial" w:cs="Arial" w:eastAsia="Arial" w:hAnsi="Arial"/>
                <w:sz w:val="18"/>
                <w:szCs w:val="18"/>
                <w:color w:val="auto"/>
              </w:rPr>
              <w:t>NE</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30"/>
        </w:trPr>
        <w:tc>
          <w:tcPr>
            <w:tcW w:w="9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r>
      <w:tr>
        <w:trPr>
          <w:trHeight w:val="223"/>
        </w:trPr>
        <w:tc>
          <w:tcPr>
            <w:tcW w:w="95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FF0FC"/>
          </w:tcPr>
          <w:p>
            <w:pPr>
              <w:spacing w:after="0"/>
              <w:rPr>
                <w:sz w:val="19"/>
                <w:szCs w:val="19"/>
                <w:color w:val="auto"/>
              </w:rPr>
            </w:pPr>
          </w:p>
        </w:tc>
      </w:tr>
    </w:tbl>
    <w:p>
      <w:pPr>
        <w:ind w:left="240" w:hanging="232"/>
        <w:spacing w:after="0"/>
        <w:tabs>
          <w:tab w:leader="none" w:pos="240" w:val="left"/>
        </w:tabs>
        <w:numPr>
          <w:ilvl w:val="0"/>
          <w:numId w:val="10"/>
        </w:numPr>
        <w:rPr>
          <w:rFonts w:ascii="Arial" w:cs="Arial" w:eastAsia="Arial" w:hAnsi="Arial"/>
          <w:sz w:val="15"/>
          <w:szCs w:val="15"/>
          <w:color w:val="auto"/>
        </w:rPr>
      </w:pPr>
      <w:r>
        <w:rPr>
          <w:rFonts w:ascii="Arial" w:cs="Arial" w:eastAsia="Arial" w:hAnsi="Arial"/>
          <w:sz w:val="18"/>
          <w:szCs w:val="18"/>
          <w:color w:val="auto"/>
        </w:rPr>
        <w:t>Includes 10 states.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description of legal proceedings can be found in Note 17 - Commitments and Contingencies to our Consolidated Financial Statements, included in this report at Part II, Item 8-Financial Statements and Supplementary Data, and is incorporated by reference into this Item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“UNIT.”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As of February 26, 2021, the closing price of our common stock was $11.91 per share as reported on the NASDAQ Global Select Market. As of February 26, 2021, we had 232,897,213 outstanding shares of common stock, and there were approximately 18,932 registered holders of record of Uniti’s common stock. A substantially greater number of holders of Uniti common stock are “street name” or beneficial holders, whose shares of record are held by banks, brokers, and other financial institutions.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(Distributions)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Distributions with respect to our common stock are characterized for federal income tax purposes as taxable ordinary dividends, capital gains dividends, non-dividend distributions or a combination thereof. It has been our policy to declare dividends to common shareholders so as to comply with the provisions of the Internal Revenue Code governing REITs.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addition, our 7.875% senior secured notes due 2025 presently limit our ability to make cash distributions to our shareholders in amounts exceeding 90% of our good faith estimate, as of the date on which the first quarterly dividend for the relevant year is declared, of our REIT taxable income for such year, determined without regard to the dividends paid deduction and excluding any capital gains, until we reduce our net leverage ratio.</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22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following graph shows a comparison from December 31, 2015 through December 31, 2020 on the NASDAQ Global Select Market of the cumulative total return for our common stock, the Standard &amp; Poor's 400 Stock Index (S&amp;P 400 Index), and the MSCI US REIT Index. The graph assumes that $100 was invested at the market open on December 31, 2015 and that all dividends were reinvested in the common stock of Uniti, the S&amp;P 400 Index and the MSCI US REIT Index. The stock price performance of the following graph is not necessarily indicative of future stock price performance.</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349240" cy="27260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Cumulative Total Stockholder Returns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Based on Investment of $100.00 Beginning on December 31, 2015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12/31/2015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12/31/2016</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12/31/2017</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12/31/2018</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12/31/2019</w:t>
            </w:r>
          </w:p>
        </w:tc>
        <w:tc>
          <w:tcPr>
            <w:tcW w:w="3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12/31/2020</w:t>
            </w:r>
          </w:p>
        </w:tc>
        <w:tc>
          <w:tcPr>
            <w:tcW w:w="120" w:type="dxa"/>
            <w:vAlign w:val="bottom"/>
          </w:tcPr>
          <w:p>
            <w:pPr>
              <w:spacing w:after="0"/>
              <w:rPr>
                <w:sz w:val="20"/>
                <w:szCs w:val="20"/>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Uniti Group Inc.</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   100.00</w:t>
            </w:r>
          </w:p>
        </w:tc>
        <w:tc>
          <w:tcPr>
            <w:tcW w:w="3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   148.84</w:t>
            </w:r>
          </w:p>
        </w:tc>
        <w:tc>
          <w:tcPr>
            <w:tcW w:w="3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   117.43</w:t>
            </w:r>
          </w:p>
        </w:tc>
        <w:tc>
          <w:tcPr>
            <w:tcW w:w="3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117.42</w:t>
            </w:r>
          </w:p>
        </w:tc>
        <w:tc>
          <w:tcPr>
            <w:tcW w:w="3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64.64</w:t>
            </w:r>
          </w:p>
        </w:tc>
        <w:tc>
          <w:tcPr>
            <w:tcW w:w="3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S&amp;P 400 Index</w:t>
            </w: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120.74</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140.35</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124.80</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157.49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179.00</w:t>
            </w:r>
          </w:p>
        </w:tc>
        <w:tc>
          <w:tcPr>
            <w:tcW w:w="12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MSCI US REIT Index</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108.62</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114.19</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109.04</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137.27</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126.88</w:t>
            </w:r>
          </w:p>
        </w:tc>
        <w:tc>
          <w:tcPr>
            <w:tcW w:w="120" w:type="dxa"/>
            <w:vAlign w:val="bottom"/>
            <w:shd w:val="clear" w:color="auto" w:fill="CFF0FC"/>
          </w:tcPr>
          <w:p>
            <w:pPr>
              <w:spacing w:after="0"/>
              <w:rPr>
                <w:sz w:val="19"/>
                <w:szCs w:val="19"/>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Average Price Paid per</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1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71"/>
        </w:trPr>
        <w:tc>
          <w:tcPr>
            <w:tcW w:w="5040" w:type="dxa"/>
            <w:vAlign w:val="bottom"/>
            <w:gridSpan w:val="2"/>
          </w:tcPr>
          <w:p>
            <w:pPr>
              <w:spacing w:after="0"/>
              <w:rPr>
                <w:sz w:val="20"/>
                <w:szCs w:val="20"/>
                <w:color w:val="auto"/>
              </w:rPr>
            </w:pPr>
            <w:r>
              <w:rPr>
                <w:rFonts w:ascii="Arial" w:cs="Arial" w:eastAsia="Arial" w:hAnsi="Arial"/>
                <w:sz w:val="14"/>
                <w:szCs w:val="14"/>
                <w:color w:val="auto"/>
              </w:rPr>
              <w:t>Period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Share(1)</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20" w:type="dxa"/>
            <w:vAlign w:val="bottom"/>
          </w:tcPr>
          <w:p>
            <w:pPr>
              <w:spacing w:after="0"/>
              <w:rPr>
                <w:sz w:val="14"/>
                <w:szCs w:val="14"/>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23"/>
        </w:trPr>
        <w:tc>
          <w:tcPr>
            <w:tcW w:w="4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1, 2020 to October 31, 2020</w:t>
            </w:r>
          </w:p>
        </w:tc>
        <w:tc>
          <w:tcPr>
            <w:tcW w:w="1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3,427</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ind w:left="15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spacing w:after="0"/>
              <w:rPr>
                <w:sz w:val="20"/>
                <w:szCs w:val="20"/>
                <w:color w:val="auto"/>
              </w:rPr>
            </w:pPr>
            <w:r>
              <w:rPr>
                <w:rFonts w:ascii="Arial" w:cs="Arial" w:eastAsia="Arial" w:hAnsi="Arial"/>
                <w:sz w:val="18"/>
                <w:szCs w:val="18"/>
                <w:color w:val="auto"/>
              </w:rPr>
              <w:t>November 1, 2020 to November 30, 2020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1, 2020 to December 31, 2020</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77"/>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440" w:hanging="432"/>
        <w:spacing w:after="0" w:line="277"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average price paid per share is the weighted-average of the fair market prices at which we calculated the number of shares withheld to cover tax withholdings for the employees.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November 19, 2020, the SEC adopted certain amendments to Regulation S-K, including the elimination of Item 301 thereof. The final rules became effective on February 10, 2021. The Company has chosen to adopt the recent amendments and omit the disclosure formerly required by Item 301 of Regulation S-K.</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describes the principal factors affecting the results of our operations, financial condition, and changes in financial condition, as well as our critical accounting estimates.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section generally discusses 2020 and 2019 items and year-to-year comparisons between 2020 and 2019. Discussions of 2018 items and year-to-year comparisons between 2019 and 2018 that are not included in this Annual Report on Form 10-K can be found in “Management’s Discussion and Analysis of Financial Condition and Results of Operations” in Part II, Item 7 of our Annual Report on Form 10-K for the year ended December 31, 2019 filed with the Securities and Exchange Commission on March 12,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Description</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copper and coaxial broadband networks and data centers.</w:t>
      </w:r>
    </w:p>
    <w:p>
      <w:pPr>
        <w:spacing w:after="0" w:line="18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On April 24, 2015, we were separated and spun-off (the “Spin-Off”) from Windstream Holdings, Inc. (“Windstream Holdings” and together with Windstream Holdings II, LLC, its successor in interest, and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recent emergence from bankruptcy and the implementation of the Settlement (as defined below) with Windstream, Uniti and Windstream bifurcated the Master Lease and entered into two structurally similar master leases (collectively, the “Windstream Leases”), which amended and restated the Master Lease in its entirety. (See “</w:t>
      </w:r>
      <w:r>
        <w:rPr>
          <w:rFonts w:ascii="Arial" w:cs="Arial" w:eastAsia="Arial" w:hAnsi="Arial"/>
          <w:sz w:val="18"/>
          <w:szCs w:val="18"/>
          <w:i w:val="1"/>
          <w:iCs w:val="1"/>
          <w:color w:val="auto"/>
        </w:rPr>
        <w:t>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Developments</w:t>
      </w:r>
      <w:r>
        <w:rPr>
          <w:rFonts w:ascii="Arial" w:cs="Arial" w:eastAsia="Arial" w:hAnsi="Arial"/>
          <w:sz w:val="18"/>
          <w:szCs w:val="18"/>
          <w:color w:val="auto"/>
        </w:rPr>
        <w:t>” below).</w:t>
      </w:r>
    </w:p>
    <w:p>
      <w:pPr>
        <w:spacing w:after="0" w:line="19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Uniti operates as a REIT for U.S. federal income tax purposes. As a REIT, the Company is generally not subject to U.S. federal income taxes on income generated by its REIT operations, which includes income derived from the Windstream Leases. We have elected to treat the subsidiaries through which we operate our fiber business, Uniti Fiber, certain aspects of our former towers business, and Talk America Services, LLC, which operated the Consumer CLEC Business (“Talk America”), as TRSs. TRSs enable us to engage in activities that result in income that does not constitute qualifying income for a REIT. Our TRSs are subject to U.S. federal, state and local corporate income taxes.</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December 31, 2020, we are the sole general partner of the Operating Partnership and own approximately 98.5% of the partnership interests in the Operating Partnership. In addition, beginning on December 31, 2019, we undertook a series of transactions, including the issuance by one of our subsidiaries of convertible preferred stock to third parties with an aggregate liquidation value of $125,000, to permit us to hold certain of our assets indirectly through one of our subsidiaries taxed as a REIT, which is also expected to facilitate future acquisition opportunities.</w:t>
      </w:r>
    </w:p>
    <w:p>
      <w:pPr>
        <w:spacing w:after="0" w:line="17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aim to grow and diversify our portfolio and tenant base by pursuing a range of transaction structures with communication service providers, including (i) sale-leaseback transactions, whereby we acquire existing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infrastructure assets from third parties, including communication service providers, and lease them back on a long-term triple-net basis; (ii) leasing of dark fiber and selling of lit services on our existing fiber network assets that we either constructed or acquired; (iii) whole company acquisitions, which may include the use of one or more TRSs that are permitted under the tax laws to acquire and operate non-REIT businesses and assets subject to certain limitations; (iv) capital investment financing, whereby we offer communication service providers a cost efficient method of raising funds for discrete capital investments to upgrade or expand their network; and (v) mergers and acquisitions financing, whereby we facilitate mergers and acquisition transactions as a capital partner, including through operating company-property company (“OpCo-PropCo”) structures.</w:t>
      </w:r>
    </w:p>
    <w:p>
      <w:pPr>
        <w:spacing w:after="0" w:line="17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have historically managed our operations as the four reportable business segments listed below (in addition to our corporate operations), but due to the sale of our towers business and wind down of the Consumer CLEC Business, starting in 2021, we will manage our operations focused on our two primary businesses, Leasing and Fiber Infrastructure:</w:t>
      </w:r>
    </w:p>
    <w:p>
      <w:pPr>
        <w:spacing w:after="0" w:line="18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i w:val="1"/>
          <w:iCs w:val="1"/>
          <w:u w:val="single" w:color="auto"/>
          <w:color w:val="auto"/>
        </w:rPr>
        <w:t>Leasing Segment</w:t>
      </w:r>
      <w:r>
        <w:rPr>
          <w:rFonts w:ascii="Arial" w:cs="Arial" w:eastAsia="Arial" w:hAnsi="Arial"/>
          <w:sz w:val="16"/>
          <w:szCs w:val="16"/>
          <w:color w:val="auto"/>
        </w:rPr>
        <w:t>: Represents the results from our leasing business, Uniti Leasing, which is engaged in the acquisition of mission-critical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leasing them to anchor customers on either an exclusive or shared-tenant basis. Uniti Leasing is a component of our REIT operations.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u w:val="single" w:color="auto"/>
          <w:color w:val="auto"/>
        </w:rPr>
        <w:t>Fiber Infrastructure Segment</w:t>
      </w:r>
      <w:r>
        <w:rPr>
          <w:rFonts w:ascii="Arial" w:cs="Arial" w:eastAsia="Arial" w:hAnsi="Arial"/>
          <w:sz w:val="18"/>
          <w:szCs w:val="18"/>
          <w:color w:val="auto"/>
        </w:rPr>
        <w:t>: Represents the operations of our fiber business, Uniti Fiber, which is a leading provider of infrastructure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cell site backhaul and dark fiber, to the telecommunications industry.</w:t>
      </w:r>
    </w:p>
    <w:p>
      <w:pPr>
        <w:spacing w:after="0" w:line="17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i w:val="1"/>
          <w:iCs w:val="1"/>
          <w:u w:val="single" w:color="auto"/>
          <w:color w:val="auto"/>
        </w:rPr>
        <w:t>Towers Segment</w:t>
      </w:r>
      <w:r>
        <w:rPr>
          <w:rFonts w:ascii="Arial" w:cs="Arial" w:eastAsia="Arial" w:hAnsi="Arial"/>
          <w:sz w:val="17"/>
          <w:szCs w:val="17"/>
          <w:color w:val="auto"/>
        </w:rPr>
        <w:t xml:space="preserve">: Represents the operations of our former towers business, Uniti Towers, through which we acquired and constructed tower and tower-related real estate and leased space on communications towers to wireless service providers and other tenants in the United States. Starting in 2019, the Company completed a series of transactions to largely divest of its towers business: on April 2, 2019, May 23, 2019 and June 1, 2020, the Company completed the sales of its Latin American business, substantially all of its U.S. ground lease business, and its U.S. tower business (see </w:t>
      </w:r>
      <w:r>
        <w:rPr>
          <w:rFonts w:ascii="Arial" w:cs="Arial" w:eastAsia="Arial" w:hAnsi="Arial"/>
          <w:sz w:val="17"/>
          <w:szCs w:val="17"/>
          <w:i w:val="1"/>
          <w:iCs w:val="1"/>
          <w:color w:val="auto"/>
        </w:rPr>
        <w:t>“Significant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Business Developments—Sale of U.S. Towers Business” </w:t>
      </w:r>
      <w:r>
        <w:rPr>
          <w:rFonts w:ascii="Arial" w:cs="Arial" w:eastAsia="Arial" w:hAnsi="Arial"/>
          <w:sz w:val="17"/>
          <w:szCs w:val="17"/>
          <w:color w:val="auto"/>
        </w:rPr>
        <w:t>below), respectively. Portions of our former towers business were a component of our REIT</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while the remainder were owned and operated by our TRSs.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Consumer CLEC Segment</w:t>
      </w:r>
      <w:r>
        <w:rPr>
          <w:rFonts w:ascii="Arial" w:cs="Arial" w:eastAsia="Arial" w:hAnsi="Arial"/>
          <w:sz w:val="18"/>
          <w:szCs w:val="18"/>
          <w:color w:val="auto"/>
        </w:rPr>
        <w:t>: Represents the operations of Talk America through which we operated the Consumer CLEC Business that, prior to the Spin-Off, was reported as an integrated operation within Windstream. Talk America provided local telephone, high-speed internet and long-distance services to customers in the eastern and central United States. As of the end of the second quarter of 2020, we have substantially completed a wind down of our Consumer CLEC business.</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u w:val="single" w:color="auto"/>
          <w:color w:val="auto"/>
        </w:rPr>
        <w:t>Corporate Operations</w:t>
      </w:r>
      <w:r>
        <w:rPr>
          <w:rFonts w:ascii="Arial" w:cs="Arial" w:eastAsia="Arial" w:hAnsi="Arial"/>
          <w:sz w:val="18"/>
          <w:szCs w:val="18"/>
          <w:color w:val="auto"/>
        </w:rPr>
        <w:t>: Represents our corporate office and shared service functions. Certain costs and expenses, primarily related to headcount,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systems, insurance, professional fees and similar charges, that are directly attributable to operations of our business segments are allocated to the respective segments.</w:t>
      </w:r>
    </w:p>
    <w:p>
      <w:pPr>
        <w:spacing w:after="0" w:line="184" w:lineRule="exact"/>
        <w:rPr>
          <w:sz w:val="20"/>
          <w:szCs w:val="20"/>
          <w:color w:val="auto"/>
        </w:rPr>
      </w:pPr>
    </w:p>
    <w:p>
      <w:pPr>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and costs associated with the implementation of our enterprise resource planning system, costs related to the settlement with Windstream, amortization of non-cash rights-of-use, the write off of unamortized deferred financing costs, costs incurred as a result of the early repayment of debt, including early tender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For more information on Adjusted EBITDA, see “Non-GAAP Financial Measures.” Detailed information about our segments can be found in </w:t>
      </w:r>
      <w:hyperlink w:anchor="page112">
        <w:r>
          <w:rPr>
            <w:rFonts w:ascii="Arial" w:cs="Arial" w:eastAsia="Arial" w:hAnsi="Arial"/>
            <w:sz w:val="16"/>
            <w:szCs w:val="16"/>
            <w:u w:val="single" w:color="auto"/>
            <w:color w:val="auto"/>
          </w:rPr>
          <w:t>Note</w:t>
        </w:r>
        <w:r>
          <w:rPr>
            <w:rFonts w:ascii="Arial" w:cs="Arial" w:eastAsia="Arial" w:hAnsi="Arial"/>
            <w:sz w:val="16"/>
            <w:szCs w:val="16"/>
            <w:color w:val="auto"/>
          </w:rPr>
          <w:t xml:space="preserve"> </w:t>
        </w:r>
      </w:hyperlink>
      <w:r>
        <w:rPr>
          <w:rFonts w:ascii="Arial" w:cs="Arial" w:eastAsia="Arial" w:hAnsi="Arial"/>
          <w:sz w:val="16"/>
          <w:szCs w:val="16"/>
          <w:color w:val="auto"/>
        </w:rPr>
        <w:t xml:space="preserve">16 to our consolidated financial statements contained in Part II,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Business Developments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u w:val="single" w:color="auto"/>
          <w:color w:val="auto"/>
        </w:rPr>
        <w:t>Windstream Emergence and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25, 2019, in connection with Windstream’s bankruptcy, Windstream Holdings and Windstream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LLC (“Windstream Services”) filed a complaint with the Bankruptcy Court in an adversary proceeding against Uniti and certain of its affiliates, alleging, among other things, that the Master Lease should be recharacterized as a financing arrangement, that certain rent payments and TCIs made by Windstream under the Master Lease constitute constructive fraudulent transfers, that the Master Lease is a lease of personal property and that Uniti breached certain of its obligations under the Master Lease.</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September 21, 2020, Windstream emerged from bankruptcy. In connection with Windstream’s emergence from bankruptcy, Uniti entered into several agreements and consummated the transactions, each as described below, to implement its settlement of the above-mentioned litigation (the “Settlement”) with Windstream pursuant to the settlement agreement (the “Settlement Agreement”) dated as of May 12, 2020 between Uniti and Windstream. The Settlement resolves any and all claims and causes of action that have been or may be asserted in the future by Uniti and Windstream regarding the Spin-off of Uniti and related sale-leaseback transaction, including all litigation brought against Uniti by Windstream and certain of its creditors during Windstream’s bankruptcy proceedings. The release from claims applies to any Windstream successor and is binding going forward, including in any future Windstream bankruptcy. We estimated fair value of the litigation settlement to be $650.0 million and we recorded a corresponding charge in the second quarter of 2020.</w:t>
      </w:r>
    </w:p>
    <w:p>
      <w:pPr>
        <w:spacing w:after="0" w:line="16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Under the Settlement Agreement, in addition to completing the transactions and executing the Windstream Leases described below, Uniti is required to make $490.1 million in cash payments to Windstream in equal installments over 20 consecutive quarters beginning October 2020, and Uniti may prepay any installments falling due on or after the first anniversary of the Settlement’s effective date (discounted at a 9% rate). As of the date of this Annual Report on Form 10-K, the Company made the first two quarterly payments totaling $49.0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Windstream Leases</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On September 18, 2020, in connection with Windstream’s emergence from bankruptcy and the implementation of the Settlement with Windstream described in Note 17 to our accompanying Consolidated Financial Statements, Uniti and Windstream bifurcated the Master Lease and entered into two structurally similar master leases that each expire on April 30, 2030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competitive local exchange carrier (“CLEC”) operations. The aggregate initial annual rent under the Windstream Leases is equal to the annual rent under the Master Lease previously in effect. The tenants under the ILEC MLA are Windstream Holdings II, LLC (“Windstream Holdings II,” successor in interest to Windstream Holdings) Windstream Services II, LLC (“Windstream Services II,” successor in interest to Windstream Services), and certain subsidiaries and/or newly formed affiliated entities operating Windstream’s ILEC operations and the landlords under the ILEC MLA are the Uniti entities that own the applicable ILEC assets. Similarly, the tenants under the CLEC MLA are Windstream Holdings II, Windstream Services II, and certain subsidiaries and/or newly formed affiliated entities operating Windstream’s CLEC operations, and the landlords under the CLEC MLA are the Uniti entities that own the CLEC assets.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 In addition, the Windstream Leases impose certain financial restrictions on Windstream if Windstream fails to maintain certain financial covenants. See Note 5 to our consolidated financial statements contained in Part II,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Purchase Agreements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September 9, 2020, Uniti entered into stock purchase agreements (each, a “Stock Purchase Agreement”) with certain first lien creditors of Windstream to replace and codify the terms set forth in the previously-filed binding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letters of intent, pursuant to which on September 18, 2020 Uniti sold an aggregate of 38,633,470 shares of Uniti common stock, par value $0.0001 per share (the “Settlement Common Stock”), at $6.33 per share, which represents the closing price of Uniti common stock on the date when an agreement in principle of the basic outline of the Settlement was first reached. Uniti transferred the proceeds from the sale of the Settlement Common Stock to Windstream as consideration relating to the Asset Purchase Agreement, further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 Purchase Agreement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September 18, 2020, and in furtherance of the Settlement Agreement, Uniti and Windstream closed an asset purchase agreement (the “Asset Purchase Agreement”), pursuant to which:</w:t>
      </w:r>
    </w:p>
    <w:p>
      <w:pPr>
        <w:spacing w:after="0" w:line="170" w:lineRule="exact"/>
        <w:rPr>
          <w:sz w:val="20"/>
          <w:szCs w:val="20"/>
          <w:color w:val="auto"/>
        </w:rPr>
      </w:pPr>
    </w:p>
    <w:p>
      <w:pPr>
        <w:ind w:left="660" w:hanging="32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Uniti paid to Windstream approximately $284.6 million; and</w:t>
      </w:r>
    </w:p>
    <w:p>
      <w:pPr>
        <w:spacing w:after="0" w:line="225" w:lineRule="exact"/>
        <w:rPr>
          <w:rFonts w:ascii="Arial" w:cs="Arial" w:eastAsia="Arial" w:hAnsi="Arial"/>
          <w:sz w:val="18"/>
          <w:szCs w:val="18"/>
          <w:color w:val="auto"/>
        </w:rPr>
      </w:pPr>
    </w:p>
    <w:p>
      <w:pPr>
        <w:ind w:left="760" w:hanging="400"/>
        <w:spacing w:after="0" w:line="293" w:lineRule="auto"/>
        <w:tabs>
          <w:tab w:leader="none" w:pos="698" w:val="left"/>
        </w:tabs>
        <w:numPr>
          <w:ilvl w:val="1"/>
          <w:numId w:val="12"/>
        </w:numPr>
        <w:rPr>
          <w:rFonts w:ascii="Arial" w:cs="Arial" w:eastAsia="Arial" w:hAnsi="Arial"/>
          <w:sz w:val="16"/>
          <w:szCs w:val="16"/>
          <w:color w:val="auto"/>
        </w:rPr>
      </w:pPr>
      <w:r>
        <w:rPr>
          <w:rFonts w:ascii="Arial" w:cs="Arial" w:eastAsia="Arial" w:hAnsi="Arial"/>
          <w:sz w:val="16"/>
          <w:szCs w:val="16"/>
          <w:color w:val="auto"/>
        </w:rPr>
        <w:t>Windstream granted or transferred to Uniti (i) exclusive rights to use 1.8 million fiber strand miles leased by Windstream under the CLEC MLA, which fiber strands are either unutilized or utilized under certain dark fiber indefeasible rights of use (“</w:t>
      </w:r>
      <w:r>
        <w:rPr>
          <w:rFonts w:ascii="Arial" w:cs="Arial" w:eastAsia="Arial" w:hAnsi="Arial"/>
          <w:sz w:val="16"/>
          <w:szCs w:val="16"/>
          <w:u w:val="single" w:color="auto"/>
          <w:color w:val="auto"/>
        </w:rPr>
        <w:t>IRUs</w:t>
      </w:r>
      <w:r>
        <w:rPr>
          <w:rFonts w:ascii="Arial" w:cs="Arial" w:eastAsia="Arial" w:hAnsi="Arial"/>
          <w:sz w:val="16"/>
          <w:szCs w:val="16"/>
          <w:color w:val="auto"/>
        </w:rPr>
        <w:t>”) that were simultaneously transferred to Uniti, (ii) fiber assets (and underlying rights) consisting of 0.4 million fiber strand miles (covering 4,000 route miles) owned by Windstream, and (iii) dark fiber IRUs relating to (x) the fiber strand miles granted to Uniti under the CLEC MLA (and described in clause (i)) and (y) the fiber assets (and underlying rights) for the 0.4 million fiber strand miles conveyed to Uniti (and described in clause (ii)), which IRUs generated $28.9 million of annual EBITDA in the aggregate as of closing of the Asset Purchase Agreement.</w:t>
      </w:r>
    </w:p>
    <w:p>
      <w:pPr>
        <w:spacing w:after="0" w:line="1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upon the transfer of the Windstream-owned fiber assets (described in clause (b)(ii) above), Uniti granted to Windstream a 20-year IRU for certain strands included in the transferred fiber assets.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Uniti used the proceeds from the sale of Settlement Common Stock as a portion of the consideration paid to Windstream in connection with the closing of the Asset Purchase Agreement and Settlement described above.</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u w:val="single" w:color="auto"/>
          <w:color w:val="auto"/>
        </w:rPr>
        <w:t>Everstream Solutions LLC Operating Company-Property Company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On November 9, 2020, the Company announced that it has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an OpCo-PropCo transaction with Everstream Solutions LLC (“Everstream”). As part of the transaction, Uniti will enter into two 20-year IRU lease agreements with Everstream on Uniti owned fiber. Concurrently, Uniti has agreed to sell its Uniti Fiber Northeast operations and certain dark fiber IRU contracts generating approximately $24 million of annualized revenue, which were acquired as part of the Windstream settlement to Everstream. Total cash consideration, including upfront IRU payments, is approximately $135 million. In addition to the upfront proceeds, Uniti will receive fees of approximately $3 million annually from Everstream over the initial 20-year term of the IRU lease agreements, subject to an annual escalator of 2%. The transaction is subject to regulatory approval and other customary closing conditions and is expected to close in the second quarter of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 of Midwest Fiber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1, 2020, the Company completed the sale of an ownership stake in the entity that controls the</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Company’s Midwest fiber network assets (the “Propco”) to Macquarie Infrastructure Partners (“MIP”) for total cash consideration of approximately $168 million. Uniti retained an investment in the Propco through an affiliate of MIP and is eligible to receive an additional earnout payment in 2023 of up to approximately $20.0 million upon the achievement of certain operational milestones.</w:t>
      </w:r>
    </w:p>
    <w:p>
      <w:pPr>
        <w:spacing w:after="0" w:line="1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u w:val="single" w:color="auto"/>
          <w:color w:val="auto"/>
        </w:rPr>
        <w:t>At-the-Market Common Stock Offering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On June 22, 2020, we established an at-the-market common stock offering program (the “ATM</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to sell shares of our common stock, par value $0.0001 per share, having an aggregate offering price of up to $250 million. This program is intended to provide additional financial flexibility and an alternative mechanism to access the capital markets at an efficient cost as and when we need financing, including for acquisitions. During the year ended December 31, 2020, we did not make any sales under the refreshed ATM Program. This offering supersedes and replaces the $250 million program we commenced on September 2, 2016, which had approximately $117.1 million available for issuance under such program.</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u w:val="single" w:color="auto"/>
          <w:color w:val="auto"/>
        </w:rPr>
        <w:t>Sale of U.S. Tower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On June 1, 2020, the Company completed the sale of its U.S. tower business to Melody Investment Advisors LP (“Melody”)</w:t>
      </w:r>
      <w:r>
        <w:rPr>
          <w:rFonts w:ascii="Arial" w:cs="Arial" w:eastAsia="Arial" w:hAnsi="Arial"/>
          <w:sz w:val="18"/>
          <w:szCs w:val="18"/>
          <w:i w:val="1"/>
          <w:iCs w:val="1"/>
          <w:color w:val="auto"/>
        </w:rPr>
        <w:t xml:space="preserve"> </w:t>
      </w:r>
      <w:r>
        <w:rPr>
          <w:rFonts w:ascii="Arial" w:cs="Arial" w:eastAsia="Arial" w:hAnsi="Arial"/>
          <w:sz w:val="18"/>
          <w:szCs w:val="18"/>
          <w:color w:val="auto"/>
        </w:rPr>
        <w:t>for total cash consideration of $225.8 million. The Company</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retained a 10% investment interest in the tower business, having a fair value of $26.0 million, through a newly formed limited partnership with</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Melody, and will receive $1.6 million of incremental earn-out payments related to towers completed in 2020. We recorded a gain of $63.4 million related to this transaction.</w:t>
      </w:r>
    </w:p>
    <w:p>
      <w:pPr>
        <w:spacing w:after="0" w:line="18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i w:val="1"/>
          <w:iCs w:val="1"/>
          <w:u w:val="single" w:color="auto"/>
          <w:color w:val="auto"/>
        </w:rPr>
        <w:t>Consumer CLEC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On April 23, 2019, Windstream provided notice to Uniti of its termination of (i) the Wholesale Master Services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Windstream Communications, Inc. and Talk America, (ii) the Master Services Agreement between Windstream Services and Talk America, and</w:t>
      </w:r>
    </w:p>
    <w:p>
      <w:pPr>
        <w:ind w:firstLine="8"/>
        <w:spacing w:after="0" w:line="267" w:lineRule="auto"/>
        <w:tabs>
          <w:tab w:leader="none" w:pos="3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Billing and Remittance Agreement between Windstream Services and CSL National, LP, each dated April 24, 2015 (collectively the “Agreements”). Under the Agreements, Windstream provided us transport, provisioning, repair and billing and collection services necessary to operate our Consumer CLEC Business. We currently do not have the infrastructure necessary to perform these services in the absence of the Agreements. We evaluated the costs of building out the required infrastructure and have determined that incurring such costs would not be economically feasible. Furthermore, we have evaluated potential strategic alternatives with respect to the Consumer CLEC Business, including retaining other vendors to perform the services currently provided under the Agreements, and an outright sale of all or parts of the business, but have not identified viable alternatives. As a result, starting in 2019, we commenced a wind down of our Consumer CLEC Business, which included customer notifications and terminations, and the winddown was substantially completed by the end of the second quarter of 2020. The termination of the Agreements was effective April 20, 2020; however, we entered into a short-term arrangement with Windstream to provide the necessary services until the business was completely wound down. The subsidiaries comprising our Consumer CLEC Business are direct subsidiaries of Uniti Group Inc. and are not subsidiaries of the Operating Partnership, which is a primary obligor and/or guarantor under our Credit Agreement and our outstanding notes, and do not guarantee such debt. Other than the assets and liabilities and results related to the Consumer CLEC Business, which are immaterial, the financial condition and results of operations of the Operating Partnership and Uniti Group Inc. are identical in all material respects.</w:t>
      </w:r>
    </w:p>
    <w:p>
      <w:pPr>
        <w:spacing w:after="0" w:line="18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u w:val="single" w:color="auto"/>
          <w:color w:val="auto"/>
        </w:rPr>
        <w:t>COVID-19 Pandemic.</w:t>
      </w:r>
      <w:r>
        <w:rPr>
          <w:rFonts w:ascii="Arial" w:cs="Arial" w:eastAsia="Arial" w:hAnsi="Arial"/>
          <w:sz w:val="18"/>
          <w:szCs w:val="18"/>
          <w:i w:val="1"/>
          <w:iCs w:val="1"/>
          <w:color w:val="auto"/>
        </w:rPr>
        <w:t xml:space="preserve"> </w:t>
      </w:r>
      <w:r>
        <w:rPr>
          <w:rFonts w:ascii="Arial" w:cs="Arial" w:eastAsia="Arial" w:hAnsi="Arial"/>
          <w:sz w:val="18"/>
          <w:szCs w:val="18"/>
          <w:color w:val="auto"/>
        </w:rPr>
        <w:t>The COVID-19 pandemic has negatively impacted the global economy, disrupted global supply chains and created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and disruption of financial markets. We continue to monitor developments associated with the COVID-19 pandemic and its related impact on our business and results of operations.</w:t>
      </w:r>
    </w:p>
    <w:p>
      <w:pPr>
        <w:spacing w:after="0" w:line="184"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 xml:space="preserve">On March 19, 2020, the Department of Homeland Security’s Cybersecurity and Infrastructure Security Agency (“CISA”) issued its </w:t>
      </w:r>
      <w:r>
        <w:rPr>
          <w:rFonts w:ascii="Arial" w:cs="Arial" w:eastAsia="Arial" w:hAnsi="Arial"/>
          <w:sz w:val="18"/>
          <w:szCs w:val="18"/>
          <w:i w:val="1"/>
          <w:iCs w:val="1"/>
          <w:color w:val="auto"/>
        </w:rPr>
        <w:t>Memorandum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Identification of Essential Critical Infrastructure Workers During COVID-19 Response </w:t>
      </w:r>
      <w:r>
        <w:rPr>
          <w:rFonts w:ascii="Arial" w:cs="Arial" w:eastAsia="Arial" w:hAnsi="Arial"/>
          <w:sz w:val="18"/>
          <w:szCs w:val="18"/>
          <w:color w:val="auto"/>
        </w:rPr>
        <w:t>(the “Memorandum”). The Memorandum categorizes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and information technology sectors, sectors in which Uniti operates, as part of 16 critical infrastructure sectors that must remain operational during the COVID-19 pandemic.</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first priority remains the health and safety of our employees, customers and other business partners. We have been actively monitoring and following government recommendations as we adjust business practices and standard operating procedures to ensure the protection of team members and ensure the continuity of our business. As of the date of this Annual Report, we have not experienced significant disruptions in our operations or network performance, nor have we received significant requests for payment relief from our customers. However, there can be no assurance that circumstances will not change in light of the COVID-19 pandemic or that the pandemic will not have a material adverse impact on our business. We may incur increases in operating costs and/or a decrease in productivity as a result of travel bans and social distancing efforts. Such efforts may also delay construction activities and/or require our vendors and contractors to incur additional costs that may be passed onto us. In addition, we may experience delays in permitting activities due to the shutdown of local permitting authorities. Furthermore, if there is a prolonged closure of businesses, we may experience an adverse impact on the timing of installations in our enterprise and wholesale customer segments at Uniti Fiber, or we may receive requests for payment relief from our customers, both of which would impact our ability to recognize revenue.</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The CARES Act is a stimulus bill that includes lending facilities to large and small business, expands unemployment benefits and implements individual and business tax changes. We expect the CARES Act will reduce the limitation on deduction of business interest at certain of our taxable subsidiaries for 2019 and 2020, which will increase net operating loss. Otherwise, we do not currently expect the CARES Act to have a material impact on our tax position. In addition, certain of our customers may benefit from the relief provided by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CARES Act, and we have directed those customers to consider utilizing such relief as they weather the impact from COVID-19.</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December 27, 2020, the President signed into law the Consolidated Appropriations Act of 2021 (the “2021 Appropriations Act”). Among other things, the 2021 Appropriations Act will enhance various support features of the previously enacted CARES Act, increase unemployment payments and extend the time frame for unemployment benefits, and re-implement a modified version of the Paycheck Protection Program for small businesses and eligible non-profits. The 2021 Appropriations Act contains various forms of relief for individuals, businesses and sectors of the U.S. economy severely impacted by the coronavirus pandemic. As with the CARES Act, the Company has disseminated information about the 2021 Appropriations Act to our customers. We continue to monitor any effects that may result from these Acts and other similar legislation or actions in jurisdictions in which our business operates.</w:t>
      </w:r>
    </w:p>
    <w:p>
      <w:pPr>
        <w:spacing w:after="0" w:line="164"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u w:val="single" w:color="auto"/>
          <w:color w:val="auto"/>
        </w:rPr>
        <w:t>Unsecured Notes Offering and Tender.</w:t>
      </w:r>
      <w:r>
        <w:rPr>
          <w:rFonts w:ascii="Arial" w:cs="Arial" w:eastAsia="Arial" w:hAnsi="Arial"/>
          <w:sz w:val="16"/>
          <w:szCs w:val="16"/>
          <w:i w:val="1"/>
          <w:iCs w:val="1"/>
          <w:color w:val="auto"/>
        </w:rPr>
        <w:t xml:space="preserve"> </w:t>
      </w:r>
      <w:r>
        <w:rPr>
          <w:rFonts w:ascii="Arial" w:cs="Arial" w:eastAsia="Arial" w:hAnsi="Arial"/>
          <w:sz w:val="16"/>
          <w:szCs w:val="16"/>
          <w:color w:val="auto"/>
        </w:rPr>
        <w:t>On February 2, 2021, the Operating Partnership, Uniti Group Finance 2019 Inc. and CSL Capital, LLC, as co-issuers, issued $1.11 billion aggregate principal amount of 6.50% Senior Notes due 2029. The co-issuers used the net proceeds from the offering to fund the tender offer of substantially all $1.11 billion principal amount of our 8.25% Senior Notes due 2023, of which $58.8 million remain outstanding. On February 16, 2021, we issued a notice of redemption to redeem all remaining principal amount of our 8.25% senior notes due 2023 on April 15, 2021.</w:t>
      </w:r>
    </w:p>
    <w:p>
      <w:pPr>
        <w:spacing w:after="0" w:line="15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i w:val="1"/>
          <w:iCs w:val="1"/>
          <w:u w:val="single" w:color="auto"/>
          <w:color w:val="auto"/>
        </w:rPr>
        <w:t>Secured Notes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On February 10, 2020, the Operating Partnership, CSL Capital, LLC, Uniti Group Finance 2019 Inc. and Uniti Fiber, as co-issuers, issued $2.25 billion aggregate principal amount of 7.875% senior secured notes due 2025 at an issue price of 100% of par value. The co-issuers used the net proceeds from the offering to repay all $2.05 billion of outstanding term loans under our senior secured credit facilities and to repay approximately $156.7 million of revolving loans (and terminated related commitments of approximately $157.6 million).</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u w:val="single" w:color="auto"/>
          <w:color w:val="auto"/>
        </w:rPr>
        <w:t>Amendments to Credit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On December 10, 2020, we entered into an amendment (the “Seventh Amendment”) to our Credit Agreement. Pursuant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Seventh Amendment, commitments from new and existing lenders under the Credit Agreement’s revolving credit facility (the “Revolving Credit Facility”) have increased to $500 million and, subject to certain conditions, the maturity date of such commitments has been extended to December 10, 2024. See “—Liquidity and Capital Resources—Credit Agreement.” As amended, the Revolving Credit Facility provides that (i) upon receipt of routine regulatory approvals, which are expected by the end of the first quarter of 2021, new and extended commitments under the Revolving Credit Facility will bear interest at a rate of LIBOR plus 375 to 450 basis points, with 0% LIBOR floor, depending on the Company’s secured leverage ratio, and (ii) certain limitations that were included in previous amendments to our credit agreement have been modified or removed, including restrictions relating to debt incurrence, restricted payments, and permitted investments.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Revolving Credit Facility will be subject to an earlier maturity date of 91 days prior to the maturity of any outstanding debt with a principal amount of at least $200 million, unless the Company's unrestricted cash balance plus remaining revolving credit facility commitments exceeds the principal amount of such debt at all times following such 91st day until the maturity of such indebtedness. Certain non-extending lender commitments of $60.5 million will mature on April 24, 2022 and will continue to bear interest at rates previously in effect. Prior to the expiration of these commitments, the aggregate size of the Revolving Credit Facility will be $560.5 million from all lenders.</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u w:val="single" w:color="auto"/>
          <w:color w:val="auto"/>
        </w:rPr>
        <w:t>Change in Auditor.</w:t>
      </w:r>
      <w:r>
        <w:rPr>
          <w:rFonts w:ascii="Arial" w:cs="Arial" w:eastAsia="Arial" w:hAnsi="Arial"/>
          <w:sz w:val="18"/>
          <w:szCs w:val="18"/>
          <w:i w:val="1"/>
          <w:iCs w:val="1"/>
          <w:color w:val="auto"/>
        </w:rPr>
        <w:t xml:space="preserve"> </w:t>
      </w:r>
      <w:r>
        <w:rPr>
          <w:rFonts w:ascii="Arial" w:cs="Arial" w:eastAsia="Arial" w:hAnsi="Arial"/>
          <w:sz w:val="18"/>
          <w:szCs w:val="18"/>
          <w:color w:val="auto"/>
          <w:highlight w:val="white"/>
        </w:rPr>
        <w:t>Following the conclusion of a process managed by the Company’s Audit Committee, on March 16, 2020, the Company dismissed PwC</w:t>
      </w:r>
      <w:r>
        <w:rPr>
          <w:rFonts w:ascii="Arial" w:cs="Arial" w:eastAsia="Arial" w:hAnsi="Arial"/>
          <w:sz w:val="18"/>
          <w:szCs w:val="18"/>
          <w:i w:val="1"/>
          <w:iCs w:val="1"/>
          <w:color w:val="auto"/>
        </w:rPr>
        <w:t xml:space="preserve"> </w:t>
      </w:r>
      <w:r>
        <w:rPr>
          <w:rFonts w:ascii="Arial" w:cs="Arial" w:eastAsia="Arial" w:hAnsi="Arial"/>
          <w:sz w:val="18"/>
          <w:szCs w:val="18"/>
          <w:color w:val="auto"/>
        </w:rPr>
        <w:t>as the Company’s independent registered public accounting firm and appointed KPMG LLP as the Company’s independent registered public accounting firm beginning with the year ending December 31, 2020.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sets forth, for the periods indicated, our results of operations expressed as dollars and as a percentage of total revenues: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69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Revenues</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09"/>
        </w:trPr>
        <w:tc>
          <w:tcPr>
            <w:tcW w:w="6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Revenues:</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80" w:type="dxa"/>
            <w:vAlign w:val="bottom"/>
            <w:gridSpan w:val="2"/>
          </w:tcPr>
          <w:p>
            <w:pPr>
              <w:ind w:left="260"/>
              <w:spacing w:after="0"/>
              <w:rPr>
                <w:sz w:val="20"/>
                <w:szCs w:val="20"/>
                <w:color w:val="auto"/>
              </w:rPr>
            </w:pPr>
            <w:r>
              <w:rPr>
                <w:rFonts w:ascii="Arial" w:cs="Arial" w:eastAsia="Arial" w:hAnsi="Arial"/>
                <w:sz w:val="16"/>
                <w:szCs w:val="16"/>
                <w:color w:val="auto"/>
              </w:rPr>
              <w:t>Leasing</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745,915</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2"/>
              </w:rPr>
              <w:t>69.9%</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716,640</w:t>
            </w:r>
          </w:p>
        </w:tc>
        <w:tc>
          <w:tcPr>
            <w:tcW w:w="2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2"/>
              </w:rPr>
              <w:t>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Fiber Infrastructure</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314,363</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29.5%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315,605</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29.8%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80" w:type="dxa"/>
            <w:vAlign w:val="bottom"/>
            <w:gridSpan w:val="2"/>
          </w:tcPr>
          <w:p>
            <w:pPr>
              <w:ind w:left="260"/>
              <w:spacing w:after="0"/>
              <w:rPr>
                <w:sz w:val="20"/>
                <w:szCs w:val="20"/>
                <w:color w:val="auto"/>
              </w:rPr>
            </w:pPr>
            <w:r>
              <w:rPr>
                <w:rFonts w:ascii="Arial" w:cs="Arial" w:eastAsia="Arial" w:hAnsi="Arial"/>
                <w:sz w:val="16"/>
                <w:szCs w:val="16"/>
                <w:color w:val="auto"/>
              </w:rPr>
              <w:t>Tower</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6,112</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14,693</w:t>
            </w:r>
          </w:p>
        </w:tc>
        <w:tc>
          <w:tcPr>
            <w:tcW w:w="2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3"/>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Consumer CLEC</w:t>
            </w: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651</w:t>
            </w:r>
          </w:p>
        </w:tc>
        <w:tc>
          <w:tcPr>
            <w:tcW w:w="2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3"/>
              </w:rPr>
              <w:t>0.1%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10,673</w:t>
            </w:r>
          </w:p>
        </w:tc>
        <w:tc>
          <w:tcPr>
            <w:tcW w:w="2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3"/>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980" w:type="dxa"/>
            <w:vAlign w:val="bottom"/>
            <w:gridSpan w:val="2"/>
          </w:tcPr>
          <w:p>
            <w:pPr>
              <w:ind w:left="50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1,067,041</w:t>
            </w:r>
          </w:p>
        </w:tc>
        <w:tc>
          <w:tcPr>
            <w:tcW w:w="2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2"/>
              </w:rPr>
              <w:t>100.0%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1,057,611</w:t>
            </w:r>
          </w:p>
        </w:tc>
        <w:tc>
          <w:tcPr>
            <w:tcW w:w="2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2"/>
              </w:rPr>
              <w:t>100.0%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Costs and Expenses:</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80" w:type="dxa"/>
            <w:vAlign w:val="bottom"/>
            <w:gridSpan w:val="2"/>
          </w:tcPr>
          <w:p>
            <w:pPr>
              <w:ind w:left="26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497,128</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2"/>
              </w:rPr>
              <w:t>46.6%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390,112</w:t>
            </w:r>
          </w:p>
        </w:tc>
        <w:tc>
          <w:tcPr>
            <w:tcW w:w="2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2"/>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329,403</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30.9%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405,754</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38.4%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80" w:type="dxa"/>
            <w:vAlign w:val="bottom"/>
            <w:gridSpan w:val="2"/>
          </w:tcPr>
          <w:p>
            <w:pPr>
              <w:ind w:left="260"/>
              <w:spacing w:after="0"/>
              <w:rPr>
                <w:sz w:val="20"/>
                <w:szCs w:val="20"/>
                <w:color w:val="auto"/>
              </w:rPr>
            </w:pPr>
            <w:r>
              <w:rPr>
                <w:rFonts w:ascii="Arial" w:cs="Arial" w:eastAsia="Arial" w:hAnsi="Arial"/>
                <w:sz w:val="16"/>
                <w:szCs w:val="16"/>
                <w:color w:val="auto"/>
              </w:rPr>
              <w:t>General and administrative expense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104,975</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102,900</w:t>
            </w:r>
          </w:p>
        </w:tc>
        <w:tc>
          <w:tcPr>
            <w:tcW w:w="2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3"/>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Operating expense (exclusive of depreciation and amortization)</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159,337</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14.9%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160,024</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15.1%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80" w:type="dxa"/>
            <w:vAlign w:val="bottom"/>
            <w:gridSpan w:val="2"/>
          </w:tcPr>
          <w:p>
            <w:pPr>
              <w:ind w:left="260"/>
              <w:spacing w:after="0"/>
              <w:rPr>
                <w:sz w:val="20"/>
                <w:szCs w:val="20"/>
                <w:color w:val="auto"/>
              </w:rPr>
            </w:pPr>
            <w:r>
              <w:rPr>
                <w:rFonts w:ascii="Arial" w:cs="Arial" w:eastAsia="Arial" w:hAnsi="Arial"/>
                <w:sz w:val="16"/>
                <w:szCs w:val="16"/>
                <w:color w:val="auto"/>
              </w:rPr>
              <w:t>Settlement expense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650,000</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2"/>
              </w:rPr>
              <w:t>60.9%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3"/>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Goodwill impairment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71,000</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6.7%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80" w:type="dxa"/>
            <w:vAlign w:val="bottom"/>
            <w:gridSpan w:val="2"/>
          </w:tcPr>
          <w:p>
            <w:pPr>
              <w:ind w:left="260"/>
              <w:spacing w:after="0"/>
              <w:rPr>
                <w:sz w:val="20"/>
                <w:szCs w:val="20"/>
                <w:color w:val="auto"/>
              </w:rPr>
            </w:pPr>
            <w:r>
              <w:rPr>
                <w:rFonts w:ascii="Arial" w:cs="Arial" w:eastAsia="Arial" w:hAnsi="Arial"/>
                <w:sz w:val="16"/>
                <w:szCs w:val="16"/>
                <w:color w:val="auto"/>
              </w:rPr>
              <w:t>Transaction related and other costs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63,875</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43,708</w:t>
            </w:r>
          </w:p>
        </w:tc>
        <w:tc>
          <w:tcPr>
            <w:tcW w:w="2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3"/>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Gain on sale of real estate</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(86,267)</w:t>
            </w:r>
          </w:p>
        </w:tc>
        <w:tc>
          <w:tcPr>
            <w:tcW w:w="5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(8.1%)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(28,995)</w:t>
            </w:r>
          </w:p>
        </w:tc>
        <w:tc>
          <w:tcPr>
            <w:tcW w:w="6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80" w:type="dxa"/>
            <w:vAlign w:val="bottom"/>
            <w:gridSpan w:val="2"/>
          </w:tcPr>
          <w:p>
            <w:pPr>
              <w:ind w:left="260"/>
              <w:spacing w:after="0"/>
              <w:rPr>
                <w:sz w:val="20"/>
                <w:szCs w:val="20"/>
                <w:color w:val="auto"/>
              </w:rPr>
            </w:pPr>
            <w:r>
              <w:rPr>
                <w:rFonts w:ascii="Arial" w:cs="Arial" w:eastAsia="Arial" w:hAnsi="Arial"/>
                <w:sz w:val="16"/>
                <w:szCs w:val="16"/>
                <w:color w:val="auto"/>
              </w:rPr>
              <w:t>Other income,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11,703</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(31,463)</w:t>
            </w:r>
          </w:p>
        </w:tc>
        <w:tc>
          <w:tcPr>
            <w:tcW w:w="600" w:type="dxa"/>
            <w:vAlign w:val="bottom"/>
          </w:tcPr>
          <w:p>
            <w:pPr>
              <w:jc w:val="center"/>
              <w:spacing w:after="0"/>
              <w:rPr>
                <w:sz w:val="20"/>
                <w:szCs w:val="20"/>
                <w:color w:val="auto"/>
              </w:rPr>
            </w:pPr>
            <w:r>
              <w:rPr>
                <w:rFonts w:ascii="Arial" w:cs="Arial" w:eastAsia="Arial" w:hAnsi="Arial"/>
                <w:sz w:val="16"/>
                <w:szCs w:val="16"/>
                <w:color w:val="auto"/>
                <w:w w:val="97"/>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8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1,801,154</w:t>
            </w:r>
          </w:p>
        </w:tc>
        <w:tc>
          <w:tcPr>
            <w:tcW w:w="2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2"/>
              </w:rPr>
              <w:t>168.8%</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1,042,040</w:t>
            </w:r>
          </w:p>
        </w:tc>
        <w:tc>
          <w:tcPr>
            <w:tcW w:w="2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2"/>
              </w:rPr>
              <w:t>98.5%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80" w:type="dxa"/>
            <w:vAlign w:val="bottom"/>
            <w:gridSpan w:val="2"/>
          </w:tcPr>
          <w:p>
            <w:pPr>
              <w:spacing w:after="0"/>
              <w:rPr>
                <w:sz w:val="20"/>
                <w:szCs w:val="20"/>
                <w:color w:val="auto"/>
              </w:rPr>
            </w:pPr>
            <w:r>
              <w:rPr>
                <w:rFonts w:ascii="Arial" w:cs="Arial" w:eastAsia="Arial" w:hAnsi="Arial"/>
                <w:sz w:val="16"/>
                <w:szCs w:val="16"/>
                <w:b w:val="1"/>
                <w:bCs w:val="1"/>
                <w:color w:val="auto"/>
                <w:w w:val="97"/>
              </w:rPr>
              <w:t>(Loss) income before income taxes and equity in earnings (loss) from unconsolidated entities</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(734,113)</w:t>
            </w:r>
          </w:p>
        </w:tc>
        <w:tc>
          <w:tcPr>
            <w:tcW w:w="580" w:type="dxa"/>
            <w:vAlign w:val="bottom"/>
          </w:tcPr>
          <w:p>
            <w:pPr>
              <w:jc w:val="center"/>
              <w:spacing w:after="0"/>
              <w:rPr>
                <w:sz w:val="20"/>
                <w:szCs w:val="20"/>
                <w:color w:val="auto"/>
              </w:rPr>
            </w:pPr>
            <w:r>
              <w:rPr>
                <w:rFonts w:ascii="Arial" w:cs="Arial" w:eastAsia="Arial" w:hAnsi="Arial"/>
                <w:sz w:val="16"/>
                <w:szCs w:val="16"/>
                <w:color w:val="auto"/>
                <w:w w:val="92"/>
              </w:rPr>
              <w:t>(68.8%)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15,571</w:t>
            </w:r>
          </w:p>
        </w:tc>
        <w:tc>
          <w:tcPr>
            <w:tcW w:w="2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3"/>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Income tax (benefit) expense</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(15,203)</w:t>
            </w:r>
          </w:p>
        </w:tc>
        <w:tc>
          <w:tcPr>
            <w:tcW w:w="5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4,663</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8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in earnings from unconsolidated entities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2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0.0%</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0.0%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Net (loss) income</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(718,812)</w:t>
            </w:r>
          </w:p>
        </w:tc>
        <w:tc>
          <w:tcPr>
            <w:tcW w:w="5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(67.4%)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10,908</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80" w:type="dxa"/>
            <w:vAlign w:val="bottom"/>
            <w:gridSpan w:val="2"/>
          </w:tcPr>
          <w:p>
            <w:pPr>
              <w:spacing w:after="0"/>
              <w:rPr>
                <w:sz w:val="20"/>
                <w:szCs w:val="20"/>
                <w:color w:val="auto"/>
              </w:rPr>
            </w:pPr>
            <w:r>
              <w:rPr>
                <w:rFonts w:ascii="Arial" w:cs="Arial" w:eastAsia="Arial" w:hAnsi="Arial"/>
                <w:sz w:val="16"/>
                <w:szCs w:val="16"/>
                <w:color w:val="auto"/>
              </w:rPr>
              <w:t>Net (loss) income attributable to noncontrolling interests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(12,511)</w:t>
            </w: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326</w:t>
            </w:r>
          </w:p>
        </w:tc>
        <w:tc>
          <w:tcPr>
            <w:tcW w:w="2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3"/>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shd w:val="clear" w:color="auto" w:fill="CFF0FC"/>
          </w:tcPr>
          <w:p>
            <w:pPr>
              <w:spacing w:after="0"/>
              <w:rPr>
                <w:sz w:val="20"/>
                <w:szCs w:val="20"/>
                <w:color w:val="auto"/>
              </w:rPr>
            </w:pPr>
            <w:r>
              <w:rPr>
                <w:rFonts w:ascii="Arial" w:cs="Arial" w:eastAsia="Arial" w:hAnsi="Arial"/>
                <w:sz w:val="16"/>
                <w:szCs w:val="16"/>
                <w:b w:val="1"/>
                <w:bCs w:val="1"/>
                <w:color w:val="auto"/>
              </w:rPr>
              <w:t>Net (loss) income attributable to shareholders</w:t>
            </w: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98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(706,301)</w:t>
            </w:r>
          </w:p>
        </w:tc>
        <w:tc>
          <w:tcPr>
            <w:tcW w:w="5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(66.2%)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10,582</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80" w:type="dxa"/>
            <w:vAlign w:val="bottom"/>
            <w:gridSpan w:val="2"/>
          </w:tcPr>
          <w:p>
            <w:pPr>
              <w:ind w:left="260"/>
              <w:spacing w:after="0"/>
              <w:rPr>
                <w:sz w:val="20"/>
                <w:szCs w:val="20"/>
                <w:color w:val="auto"/>
              </w:rPr>
            </w:pPr>
            <w:r>
              <w:rPr>
                <w:rFonts w:ascii="Arial" w:cs="Arial" w:eastAsia="Arial" w:hAnsi="Arial"/>
                <w:sz w:val="16"/>
                <w:szCs w:val="16"/>
                <w:color w:val="auto"/>
              </w:rPr>
              <w:t>Participating securities' share in earnings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(1,078)</w:t>
            </w: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(549)</w:t>
            </w:r>
          </w:p>
        </w:tc>
        <w:tc>
          <w:tcPr>
            <w:tcW w:w="600" w:type="dxa"/>
            <w:vAlign w:val="bottom"/>
          </w:tcPr>
          <w:p>
            <w:pPr>
              <w:jc w:val="center"/>
              <w:spacing w:after="0"/>
              <w:rPr>
                <w:sz w:val="20"/>
                <w:szCs w:val="20"/>
                <w:color w:val="auto"/>
              </w:rPr>
            </w:pPr>
            <w:r>
              <w:rPr>
                <w:rFonts w:ascii="Arial" w:cs="Arial" w:eastAsia="Arial" w:hAnsi="Arial"/>
                <w:sz w:val="16"/>
                <w:szCs w:val="16"/>
                <w:color w:val="auto"/>
                <w:w w:val="93"/>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Dividends declared on convertible preferred stock</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w:t>
            </w:r>
          </w:p>
        </w:tc>
        <w:tc>
          <w:tcPr>
            <w:tcW w:w="5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(656)</w:t>
            </w:r>
          </w:p>
        </w:tc>
        <w:tc>
          <w:tcPr>
            <w:tcW w:w="6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80" w:type="dxa"/>
            <w:vAlign w:val="bottom"/>
            <w:gridSpan w:val="2"/>
          </w:tcPr>
          <w:p>
            <w:pPr>
              <w:ind w:left="260"/>
              <w:spacing w:after="0"/>
              <w:rPr>
                <w:sz w:val="20"/>
                <w:szCs w:val="20"/>
                <w:color w:val="auto"/>
              </w:rPr>
            </w:pPr>
            <w:r>
              <w:rPr>
                <w:rFonts w:ascii="Arial" w:cs="Arial" w:eastAsia="Arial" w:hAnsi="Arial"/>
                <w:sz w:val="16"/>
                <w:szCs w:val="16"/>
                <w:color w:val="auto"/>
              </w:rPr>
              <w:t>Amortization of discount on convertible preferred stock</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(993)</w:t>
            </w:r>
          </w:p>
        </w:tc>
        <w:tc>
          <w:tcPr>
            <w:tcW w:w="600" w:type="dxa"/>
            <w:vAlign w:val="bottom"/>
          </w:tcPr>
          <w:p>
            <w:pPr>
              <w:jc w:val="center"/>
              <w:spacing w:after="0"/>
              <w:rPr>
                <w:sz w:val="20"/>
                <w:szCs w:val="20"/>
                <w:color w:val="auto"/>
              </w:rPr>
            </w:pPr>
            <w:r>
              <w:rPr>
                <w:rFonts w:ascii="Arial" w:cs="Arial" w:eastAsia="Arial" w:hAnsi="Arial"/>
                <w:sz w:val="16"/>
                <w:szCs w:val="16"/>
                <w:color w:val="auto"/>
                <w:w w:val="97"/>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shd w:val="clear" w:color="auto" w:fill="CFF0FC"/>
          </w:tcPr>
          <w:p>
            <w:pPr>
              <w:spacing w:after="0"/>
              <w:rPr>
                <w:sz w:val="20"/>
                <w:szCs w:val="20"/>
                <w:color w:val="auto"/>
              </w:rPr>
            </w:pPr>
            <w:r>
              <w:rPr>
                <w:rFonts w:ascii="Arial" w:cs="Arial" w:eastAsia="Arial" w:hAnsi="Arial"/>
                <w:sz w:val="16"/>
                <w:szCs w:val="16"/>
                <w:b w:val="1"/>
                <w:bCs w:val="1"/>
                <w:color w:val="auto"/>
              </w:rPr>
              <w:t>Net (loss) income attributable to common shareholders</w:t>
            </w: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(707,388)</w:t>
            </w:r>
          </w:p>
        </w:tc>
        <w:tc>
          <w:tcPr>
            <w:tcW w:w="5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(66.3%)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8,384</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years ended December 31, 2020 and 2019, revenues and Adjusted EBITDA of our reportable segments: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93"/>
              </w:rPr>
              <w:t>Year Ended December 31, 2020</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w w:val="93"/>
              </w:rPr>
              <w:t>Fiber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Consumer</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0"/>
              </w:rPr>
              <w:t>Total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Leasing</w:t>
            </w: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Towers</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2"/>
                <w:szCs w:val="12"/>
                <w:color w:val="auto"/>
              </w:rPr>
            </w:pPr>
          </w:p>
        </w:tc>
        <w:tc>
          <w:tcPr>
            <w:tcW w:w="98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5"/>
              </w:rPr>
              <w:t>Reportable</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CLEC</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745,915</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314,363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1,067,041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737,337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112,289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(30,323)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818,835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201,321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126,211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Settlement expense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 impairment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Transaction related and other costs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sale of real estate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(86,267)</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(15,203)</w:t>
            </w:r>
          </w:p>
        </w:tc>
        <w:tc>
          <w:tcPr>
            <w:tcW w:w="0" w:type="dxa"/>
            <w:vAlign w:val="bottom"/>
          </w:tcPr>
          <w:p>
            <w:pPr>
              <w:spacing w:after="0"/>
              <w:rPr>
                <w:sz w:val="1"/>
                <w:szCs w:val="1"/>
                <w:color w:val="auto"/>
              </w:rPr>
            </w:pPr>
          </w:p>
        </w:tc>
      </w:tr>
      <w:tr>
        <w:trPr>
          <w:trHeight w:val="215"/>
        </w:trPr>
        <w:tc>
          <w:tcPr>
            <w:tcW w:w="4200" w:type="dxa"/>
            <w:vAlign w:val="bottom"/>
          </w:tcPr>
          <w:p>
            <w:pPr>
              <w:ind w:left="140"/>
              <w:spacing w:after="0"/>
              <w:rPr>
                <w:sz w:val="20"/>
                <w:szCs w:val="20"/>
                <w:color w:val="auto"/>
              </w:rPr>
            </w:pPr>
            <w:r>
              <w:rPr>
                <w:rFonts w:ascii="Arial" w:cs="Arial" w:eastAsia="Arial" w:hAnsi="Arial"/>
                <w:sz w:val="18"/>
                <w:szCs w:val="18"/>
                <w:color w:val="auto"/>
                <w:w w:val="93"/>
              </w:rPr>
              <w:t>Adjustments or equity in earnings from unconsolidated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200" w:type="dxa"/>
            <w:vAlign w:val="bottom"/>
            <w:vMerge w:val="restart"/>
          </w:tcPr>
          <w:p>
            <w:pPr>
              <w:ind w:left="140"/>
              <w:spacing w:after="0"/>
              <w:rPr>
                <w:sz w:val="20"/>
                <w:szCs w:val="20"/>
                <w:color w:val="auto"/>
              </w:rPr>
            </w:pPr>
            <w:r>
              <w:rPr>
                <w:rFonts w:ascii="Arial" w:cs="Arial" w:eastAsia="Arial" w:hAnsi="Arial"/>
                <w:sz w:val="18"/>
                <w:szCs w:val="18"/>
                <w:color w:val="auto"/>
              </w:rPr>
              <w:t>entities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00" w:type="dxa"/>
            <w:vAlign w:val="bottom"/>
            <w:tcBorders>
              <w:bottom w:val="single" w:sz="8" w:color="CFF0FC"/>
            </w:tcBorders>
            <w:vMerge w:val="continue"/>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780" w:type="dxa"/>
            <w:vAlign w:val="bottom"/>
            <w:tcBorders>
              <w:bottom w:val="single" w:sz="8" w:color="CFF0FC"/>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280" w:type="dxa"/>
            <w:vAlign w:val="bottom"/>
            <w:tcBorders>
              <w:bottom w:val="single" w:sz="8" w:color="CFF0FC"/>
            </w:tcBorders>
          </w:tcPr>
          <w:p>
            <w:pPr>
              <w:spacing w:after="0"/>
              <w:rPr>
                <w:sz w:val="9"/>
                <w:szCs w:val="9"/>
                <w:color w:val="auto"/>
              </w:rPr>
            </w:pPr>
          </w:p>
        </w:tc>
        <w:tc>
          <w:tcPr>
            <w:tcW w:w="660" w:type="dxa"/>
            <w:vAlign w:val="bottom"/>
            <w:tcBorders>
              <w:bottom w:val="single" w:sz="8" w:color="CFF0FC"/>
            </w:tcBorders>
          </w:tcPr>
          <w:p>
            <w:pPr>
              <w:spacing w:after="0"/>
              <w:rPr>
                <w:sz w:val="9"/>
                <w:szCs w:val="9"/>
                <w:color w:val="auto"/>
              </w:rPr>
            </w:pPr>
          </w:p>
        </w:tc>
        <w:tc>
          <w:tcPr>
            <w:tcW w:w="200" w:type="dxa"/>
            <w:vAlign w:val="bottom"/>
            <w:tcBorders>
              <w:bottom w:val="single" w:sz="8" w:color="CFF0FC"/>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900" w:type="dxa"/>
            <w:vAlign w:val="bottom"/>
            <w:tcBorders>
              <w:bottom w:val="single" w:sz="8" w:color="CFF0FC"/>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820" w:type="dxa"/>
            <w:vAlign w:val="bottom"/>
            <w:tcBorders>
              <w:bottom w:val="single" w:sz="8" w:color="CFF0FC"/>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820" w:type="dxa"/>
            <w:vAlign w:val="bottom"/>
            <w:tcBorders>
              <w:bottom w:val="single" w:sz="8" w:color="CFF0FC"/>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(718,812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gridSpan w:val="5"/>
            <w:vMerge w:val="restart"/>
          </w:tcPr>
          <w:p>
            <w:pPr>
              <w:jc w:val="right"/>
              <w:ind w:right="320"/>
              <w:spacing w:after="0"/>
              <w:rPr>
                <w:sz w:val="20"/>
                <w:szCs w:val="20"/>
                <w:color w:val="auto"/>
              </w:rPr>
            </w:pPr>
            <w:r>
              <w:rPr>
                <w:rFonts w:ascii="Arial" w:cs="Arial" w:eastAsia="Arial" w:hAnsi="Arial"/>
                <w:sz w:val="14"/>
                <w:szCs w:val="14"/>
                <w:b w:val="1"/>
                <w:bCs w:val="1"/>
                <w:color w:val="auto"/>
                <w:w w:val="93"/>
              </w:rPr>
              <w:t>Year Ended December 31, 2019</w:t>
            </w: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w w:val="93"/>
              </w:rPr>
              <w:t>Fiber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Consumer</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0"/>
              </w:rPr>
              <w:t>Total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Leasing</w:t>
            </w: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Towers</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2"/>
                <w:szCs w:val="12"/>
                <w:color w:val="auto"/>
              </w:rPr>
            </w:pPr>
          </w:p>
        </w:tc>
        <w:tc>
          <w:tcPr>
            <w:tcW w:w="98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5"/>
              </w:rPr>
              <w:t>Reportable</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CLEC</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716,640</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315,605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1,057,611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1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711,119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126,754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(26,494)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812,739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282,107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114,566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6,474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405,754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(24,219)</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Transaction related and other costs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43,708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sale of real estate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(28,995)</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auto"/>
                <w:w w:val="89"/>
              </w:rPr>
              <w:t>36</w:t>
            </w: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73"/>
        </w:trPr>
        <w:tc>
          <w:tcPr>
            <w:tcW w:w="6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Operating Metrics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6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As of 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6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Increase /</w:t>
            </w:r>
          </w:p>
        </w:tc>
        <w:tc>
          <w:tcPr>
            <w:tcW w:w="100" w:type="dxa"/>
            <w:vAlign w:val="bottom"/>
          </w:tcPr>
          <w:p>
            <w:pPr>
              <w:spacing w:after="0"/>
              <w:rPr>
                <w:sz w:val="17"/>
                <w:szCs w:val="17"/>
                <w:color w:val="auto"/>
              </w:rPr>
            </w:pPr>
          </w:p>
        </w:tc>
      </w:tr>
      <w:tr>
        <w:trPr>
          <w:trHeight w:val="234"/>
        </w:trPr>
        <w:tc>
          <w:tcPr>
            <w:tcW w:w="666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7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(Decrease)</w:t>
            </w: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metrics:</w:t>
            </w:r>
          </w:p>
        </w:tc>
        <w:tc>
          <w:tcPr>
            <w:tcW w:w="12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60" w:type="dxa"/>
            <w:vAlign w:val="bottom"/>
          </w:tcPr>
          <w:p>
            <w:pPr>
              <w:ind w:left="260"/>
              <w:spacing w:after="0"/>
              <w:rPr>
                <w:sz w:val="20"/>
                <w:szCs w:val="20"/>
                <w:color w:val="auto"/>
              </w:rPr>
            </w:pPr>
            <w:r>
              <w:rPr>
                <w:rFonts w:ascii="Arial" w:cs="Arial" w:eastAsia="Arial" w:hAnsi="Arial"/>
                <w:sz w:val="18"/>
                <w:szCs w:val="18"/>
                <w:color w:val="auto"/>
              </w:rPr>
              <w:t>Leasing:</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Fiber strand miles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4,510,000</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4,430,000</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1.8%</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500"/>
              <w:spacing w:after="0"/>
              <w:rPr>
                <w:sz w:val="20"/>
                <w:szCs w:val="20"/>
                <w:color w:val="auto"/>
              </w:rPr>
            </w:pPr>
            <w:r>
              <w:rPr>
                <w:rFonts w:ascii="Arial" w:cs="Arial" w:eastAsia="Arial" w:hAnsi="Arial"/>
                <w:sz w:val="18"/>
                <w:szCs w:val="18"/>
                <w:color w:val="auto"/>
              </w:rPr>
              <w:t>Copper strand miles</w:t>
            </w:r>
          </w:p>
        </w:tc>
        <w:tc>
          <w:tcPr>
            <w:tcW w:w="1220" w:type="dxa"/>
            <w:vAlign w:val="bottom"/>
          </w:tcPr>
          <w:p>
            <w:pPr>
              <w:jc w:val="right"/>
              <w:spacing w:after="0"/>
              <w:rPr>
                <w:sz w:val="20"/>
                <w:szCs w:val="20"/>
                <w:color w:val="auto"/>
              </w:rPr>
            </w:pPr>
            <w:r>
              <w:rPr>
                <w:rFonts w:ascii="Arial" w:cs="Arial" w:eastAsia="Arial" w:hAnsi="Arial"/>
                <w:sz w:val="18"/>
                <w:szCs w:val="18"/>
                <w:color w:val="auto"/>
              </w:rPr>
              <w:t>230,000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229,000</w:t>
            </w:r>
          </w:p>
        </w:tc>
        <w:tc>
          <w:tcPr>
            <w:tcW w:w="2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500"/>
              <w:spacing w:after="0"/>
              <w:rPr>
                <w:sz w:val="20"/>
                <w:szCs w:val="20"/>
                <w:color w:val="auto"/>
              </w:rPr>
            </w:pPr>
            <w:r>
              <w:rPr>
                <w:rFonts w:ascii="Arial" w:cs="Arial" w:eastAsia="Arial" w:hAnsi="Arial"/>
                <w:sz w:val="18"/>
                <w:szCs w:val="18"/>
                <w:color w:val="auto"/>
              </w:rPr>
              <w:t>Fiber strand miles</w:t>
            </w:r>
          </w:p>
        </w:tc>
        <w:tc>
          <w:tcPr>
            <w:tcW w:w="1220" w:type="dxa"/>
            <w:vAlign w:val="bottom"/>
          </w:tcPr>
          <w:p>
            <w:pPr>
              <w:jc w:val="right"/>
              <w:spacing w:after="0"/>
              <w:rPr>
                <w:sz w:val="20"/>
                <w:szCs w:val="20"/>
                <w:color w:val="auto"/>
              </w:rPr>
            </w:pPr>
            <w:r>
              <w:rPr>
                <w:rFonts w:ascii="Arial" w:cs="Arial" w:eastAsia="Arial" w:hAnsi="Arial"/>
                <w:sz w:val="18"/>
                <w:szCs w:val="18"/>
                <w:color w:val="auto"/>
              </w:rPr>
              <w:t>2,380,000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2,080,000</w:t>
            </w:r>
          </w:p>
        </w:tc>
        <w:tc>
          <w:tcPr>
            <w:tcW w:w="2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14.4%</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Customer connections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26,300</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20,900</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25.8%</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Towers:</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United States towers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(100.0%)</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60"/>
              <w:spacing w:after="0"/>
              <w:rPr>
                <w:sz w:val="20"/>
                <w:szCs w:val="20"/>
                <w:color w:val="auto"/>
              </w:rPr>
            </w:pPr>
            <w:r>
              <w:rPr>
                <w:rFonts w:ascii="Arial" w:cs="Arial" w:eastAsia="Arial" w:hAnsi="Arial"/>
                <w:sz w:val="18"/>
                <w:szCs w:val="18"/>
                <w:color w:val="auto"/>
              </w:rPr>
              <w:t>Consumer CLEC:</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Customer connections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10,800</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(100.0%)</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revenues are primarily attributable to rental revenue from leasing our Distribution Systems to Windstream pursuant to the Windstream</w:t>
      </w:r>
      <w:r>
        <w:rPr>
          <w:rFonts w:ascii="Arial" w:cs="Arial" w:eastAsia="Arial" w:hAnsi="Arial"/>
          <w:sz w:val="18"/>
          <w:szCs w:val="18"/>
          <w:i w:val="1"/>
          <w:iCs w:val="1"/>
          <w:color w:val="auto"/>
        </w:rPr>
        <w:t xml:space="preserve"> </w:t>
      </w:r>
      <w:r>
        <w:rPr>
          <w:rFonts w:ascii="Arial" w:cs="Arial" w:eastAsia="Arial" w:hAnsi="Arial"/>
          <w:sz w:val="18"/>
          <w:szCs w:val="18"/>
          <w:color w:val="auto"/>
        </w:rPr>
        <w:t>Leases (and historically, the Master Lease). Under the Windstream Leases, 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initial term of the Windstream Leases expire on April 30, 2030. The aggregate initial annual rent under the Windstream Leases is $663 million, equal to the annual rent under the Master Lease previously in effect, and is subject to annual escalation at a rate of 0.5%.</w:t>
      </w:r>
    </w:p>
    <w:p>
      <w:pPr>
        <w:spacing w:after="0" w:line="19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rent for the first year of each renewal term will be an amount agreed to by us and Windstream. While the agreement requires that the renewal rent be “Fair Market Rent,” if we are unable to agree, the renewal Fair Market Rent will be determined by an independent appraisal process. Commencing with the second year of each renewal term, the renewal rent will increase at an escalation rate of 0.5%.</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Pursuant to the Windstream Leases, Windstream (or any successor tenant under a Windstream Lease) has the right to cause Uniti to reimburse up to an aggregate $1.75 billion for certain growth capital improvements in long-term fiber and related assets made by Windstream (or the applicable tenant under the Windstream Lease) to certain ILEC and CLEC properties (the “Growth Capital Improvements”).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are limited to $125 million in 2020; $225 million per year in 2021 through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Uniti’s combined total obligation to fund Growth Capital Improvements may exceed $250 million to the extent of any unfunded excess amounts from calendar year 2020.</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Starting on the first anniversary of each installment of reimbursement for a Growth Capital Improvement, the rent payable by Windstream under the applicable Windstream Lease will increase by an amount equal to 8.0% (the “Rent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Uniti and Windstream have entered into separate ILEC and CLEC Equipment Loan and Security Agreements (collectively “Equipment Loan Agreement”) in which Unit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such loans were made to Windstream during 2020.</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Windstream Leases provide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TCIs exclude Growth Capital Improvements as and when reimbursed by Uniti.</w:t>
      </w:r>
    </w:p>
    <w:p>
      <w:pPr>
        <w:spacing w:after="0" w:line="17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During the year ended December 31, 2020, Uniti reimbursed $84.7 million of Growth Capital Improvements, which, as allowed for under the Settlement, represented the reimbursement of capital improvements completed in 2020 that were previously classified as TCIs. Upon reimbursement, the Company reduced the unamortized portion of deferred revenue related to these capital improvements and capitalized the difference between the cash provided to Windstream and the unamortized deferred revenue as a lease incentive. This lease incentive, which is $1.0 million and reported within other assets on our Consolidated Balance Sheet as of December 31, 2020, will be amortized against revenue over the initial term of the Windstream Leases. Subsequent to December 31, 2020, Windstream requested and we reimbursed $26.2 million of qualifying Growth Capital Improvements that were reported as TCIs as of December 31, 2020. As of the date of this Annual Report on Form 10-K, we have reimbursed a total of $110.9 million of Growth Capital Improvements, and all amounts represent the reimbursement of qualifying Growth Capital Improvements that were previously reported as TCIs in 2020.</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right"/>
              <w:ind w:right="1039"/>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right"/>
              <w:ind w:right="105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1"/>
                <w:szCs w:val="11"/>
                <w:color w:val="auto"/>
              </w:rPr>
            </w:pPr>
          </w:p>
        </w:tc>
        <w:tc>
          <w:tcPr>
            <w:tcW w:w="12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Leasing revenues: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140"/>
              <w:spacing w:after="0"/>
              <w:rPr>
                <w:sz w:val="20"/>
                <w:szCs w:val="20"/>
                <w:color w:val="auto"/>
              </w:rPr>
            </w:pPr>
            <w:r>
              <w:rPr>
                <w:rFonts w:ascii="Arial" w:cs="Arial" w:eastAsia="Arial" w:hAnsi="Arial"/>
                <w:sz w:val="18"/>
                <w:szCs w:val="18"/>
                <w:color w:val="auto"/>
              </w:rPr>
              <w:t>Windstream Leases: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rent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662.3</w:t>
            </w:r>
          </w:p>
        </w:tc>
        <w:tc>
          <w:tcPr>
            <w:tcW w:w="1480" w:type="dxa"/>
            <w:vAlign w:val="bottom"/>
            <w:gridSpan w:val="2"/>
            <w:shd w:val="clear" w:color="auto" w:fill="CFF0FC"/>
          </w:tcPr>
          <w:p>
            <w:pPr>
              <w:jc w:val="center"/>
              <w:ind w:left="174"/>
              <w:spacing w:after="0"/>
              <w:rPr>
                <w:sz w:val="20"/>
                <w:szCs w:val="20"/>
                <w:color w:val="auto"/>
              </w:rPr>
            </w:pPr>
            <w:r>
              <w:rPr>
                <w:rFonts w:ascii="Arial" w:cs="Arial" w:eastAsia="Arial" w:hAnsi="Arial"/>
                <w:sz w:val="18"/>
                <w:szCs w:val="18"/>
                <w:color w:val="auto"/>
                <w:w w:val="90"/>
              </w:rPr>
              <w:t>88.8%</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658.9</w:t>
            </w:r>
          </w:p>
        </w:tc>
        <w:tc>
          <w:tcPr>
            <w:tcW w:w="1500" w:type="dxa"/>
            <w:vAlign w:val="bottom"/>
            <w:gridSpan w:val="2"/>
            <w:shd w:val="clear" w:color="auto" w:fill="CFF0FC"/>
          </w:tcPr>
          <w:p>
            <w:pPr>
              <w:jc w:val="center"/>
              <w:ind w:left="154"/>
              <w:spacing w:after="0"/>
              <w:rPr>
                <w:sz w:val="20"/>
                <w:szCs w:val="20"/>
                <w:color w:val="auto"/>
              </w:rPr>
            </w:pPr>
            <w:r>
              <w:rPr>
                <w:rFonts w:ascii="Arial" w:cs="Arial" w:eastAsia="Arial" w:hAnsi="Arial"/>
                <w:sz w:val="18"/>
                <w:szCs w:val="18"/>
                <w:color w:val="auto"/>
                <w:w w:val="90"/>
              </w:rPr>
              <w:t>92.0%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380"/>
              <w:spacing w:after="0"/>
              <w:rPr>
                <w:sz w:val="20"/>
                <w:szCs w:val="20"/>
                <w:color w:val="auto"/>
              </w:rPr>
            </w:pPr>
            <w:r>
              <w:rPr>
                <w:rFonts w:ascii="Arial" w:cs="Arial" w:eastAsia="Arial" w:hAnsi="Arial"/>
                <w:sz w:val="18"/>
                <w:szCs w:val="18"/>
                <w:color w:val="auto"/>
              </w:rPr>
              <w:t>Non-cash revenue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TCI revenue</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480" w:type="dxa"/>
            <w:vAlign w:val="bottom"/>
            <w:gridSpan w:val="2"/>
            <w:shd w:val="clear" w:color="auto" w:fill="CFF0FC"/>
          </w:tcPr>
          <w:p>
            <w:pPr>
              <w:jc w:val="center"/>
              <w:ind w:left="174"/>
              <w:spacing w:after="0"/>
              <w:rPr>
                <w:sz w:val="20"/>
                <w:szCs w:val="20"/>
                <w:color w:val="auto"/>
              </w:rPr>
            </w:pPr>
            <w:r>
              <w:rPr>
                <w:rFonts w:ascii="Arial" w:cs="Arial" w:eastAsia="Arial" w:hAnsi="Arial"/>
                <w:sz w:val="18"/>
                <w:szCs w:val="18"/>
                <w:color w:val="auto"/>
                <w:w w:val="92"/>
              </w:rPr>
              <w:t>4.7%</w:t>
            </w: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500" w:type="dxa"/>
            <w:vAlign w:val="bottom"/>
            <w:gridSpan w:val="2"/>
            <w:shd w:val="clear" w:color="auto" w:fill="CFF0FC"/>
          </w:tcPr>
          <w:p>
            <w:pPr>
              <w:jc w:val="center"/>
              <w:ind w:left="154"/>
              <w:spacing w:after="0"/>
              <w:rPr>
                <w:sz w:val="20"/>
                <w:szCs w:val="20"/>
                <w:color w:val="auto"/>
              </w:rPr>
            </w:pPr>
            <w:r>
              <w:rPr>
                <w:rFonts w:ascii="Arial" w:cs="Arial" w:eastAsia="Arial" w:hAnsi="Arial"/>
                <w:sz w:val="18"/>
                <w:szCs w:val="18"/>
                <w:color w:val="auto"/>
                <w:w w:val="92"/>
              </w:rPr>
              <w:t>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Straight-line revenue</w:t>
            </w:r>
          </w:p>
        </w:tc>
        <w:tc>
          <w:tcPr>
            <w:tcW w:w="1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60" w:type="dxa"/>
            <w:vAlign w:val="bottom"/>
            <w:tcBorders>
              <w:bottom w:val="single" w:sz="8" w:color="CFF0FC"/>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0.7%</w:t>
            </w:r>
          </w:p>
        </w:tc>
        <w:tc>
          <w:tcPr>
            <w:tcW w:w="4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non-cash revenue</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480" w:type="dxa"/>
            <w:vAlign w:val="bottom"/>
            <w:gridSpan w:val="2"/>
            <w:shd w:val="clear" w:color="auto" w:fill="CFF0FC"/>
          </w:tcPr>
          <w:p>
            <w:pPr>
              <w:jc w:val="center"/>
              <w:ind w:left="174"/>
              <w:spacing w:after="0"/>
              <w:rPr>
                <w:sz w:val="20"/>
                <w:szCs w:val="20"/>
                <w:color w:val="auto"/>
              </w:rPr>
            </w:pPr>
            <w:r>
              <w:rPr>
                <w:rFonts w:ascii="Arial" w:cs="Arial" w:eastAsia="Arial" w:hAnsi="Arial"/>
                <w:sz w:val="18"/>
                <w:szCs w:val="18"/>
                <w:color w:val="auto"/>
                <w:w w:val="92"/>
              </w:rPr>
              <w:t>5.4%</w:t>
            </w: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500" w:type="dxa"/>
            <w:vAlign w:val="bottom"/>
            <w:gridSpan w:val="2"/>
            <w:shd w:val="clear" w:color="auto" w:fill="CFF0FC"/>
          </w:tcPr>
          <w:p>
            <w:pPr>
              <w:jc w:val="center"/>
              <w:ind w:left="154"/>
              <w:spacing w:after="0"/>
              <w:rPr>
                <w:sz w:val="20"/>
                <w:szCs w:val="20"/>
                <w:color w:val="auto"/>
              </w:rPr>
            </w:pPr>
            <w:r>
              <w:rPr>
                <w:rFonts w:ascii="Arial" w:cs="Arial" w:eastAsia="Arial" w:hAnsi="Arial"/>
                <w:sz w:val="18"/>
                <w:szCs w:val="18"/>
                <w:color w:val="auto"/>
                <w:w w:val="92"/>
              </w:rPr>
              <w:t>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60"/>
              <w:spacing w:after="0"/>
              <w:rPr>
                <w:sz w:val="20"/>
                <w:szCs w:val="20"/>
                <w:color w:val="auto"/>
              </w:rPr>
            </w:pPr>
            <w:r>
              <w:rPr>
                <w:rFonts w:ascii="Arial" w:cs="Arial" w:eastAsia="Arial" w:hAnsi="Arial"/>
                <w:sz w:val="18"/>
                <w:szCs w:val="18"/>
                <w:color w:val="auto"/>
              </w:rPr>
              <w:t>Total Windstream revenue</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702.6</w:t>
            </w:r>
          </w:p>
        </w:tc>
        <w:tc>
          <w:tcPr>
            <w:tcW w:w="26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94.2%</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687.9</w:t>
            </w:r>
          </w:p>
        </w:tc>
        <w:tc>
          <w:tcPr>
            <w:tcW w:w="26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triple-net leasing and dark fiber IRU</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480" w:type="dxa"/>
            <w:vAlign w:val="bottom"/>
            <w:gridSpan w:val="2"/>
            <w:shd w:val="clear" w:color="auto" w:fill="CFF0FC"/>
          </w:tcPr>
          <w:p>
            <w:pPr>
              <w:jc w:val="center"/>
              <w:ind w:left="174"/>
              <w:spacing w:after="0"/>
              <w:rPr>
                <w:sz w:val="20"/>
                <w:szCs w:val="20"/>
                <w:color w:val="auto"/>
              </w:rPr>
            </w:pPr>
            <w:r>
              <w:rPr>
                <w:rFonts w:ascii="Arial" w:cs="Arial" w:eastAsia="Arial" w:hAnsi="Arial"/>
                <w:sz w:val="18"/>
                <w:szCs w:val="18"/>
                <w:color w:val="auto"/>
                <w:w w:val="92"/>
              </w:rPr>
              <w:t>5.8%</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500" w:type="dxa"/>
            <w:vAlign w:val="bottom"/>
            <w:gridSpan w:val="2"/>
            <w:shd w:val="clear" w:color="auto" w:fill="CFF0FC"/>
          </w:tcPr>
          <w:p>
            <w:pPr>
              <w:jc w:val="center"/>
              <w:ind w:left="154"/>
              <w:spacing w:after="0"/>
              <w:rPr>
                <w:sz w:val="20"/>
                <w:szCs w:val="20"/>
                <w:color w:val="auto"/>
              </w:rPr>
            </w:pPr>
            <w:r>
              <w:rPr>
                <w:rFonts w:ascii="Arial" w:cs="Arial" w:eastAsia="Arial" w:hAnsi="Arial"/>
                <w:sz w:val="18"/>
                <w:szCs w:val="18"/>
                <w:color w:val="auto"/>
                <w:w w:val="92"/>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380"/>
              <w:spacing w:after="0"/>
              <w:rPr>
                <w:sz w:val="20"/>
                <w:szCs w:val="20"/>
                <w:color w:val="auto"/>
              </w:rPr>
            </w:pPr>
            <w:r>
              <w:rPr>
                <w:rFonts w:ascii="Arial" w:cs="Arial" w:eastAsia="Arial" w:hAnsi="Arial"/>
                <w:sz w:val="18"/>
                <w:szCs w:val="18"/>
                <w:color w:val="auto"/>
              </w:rPr>
              <w:t>Total Leasing revenues</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745.9</w:t>
            </w:r>
          </w:p>
        </w:tc>
        <w:tc>
          <w:tcPr>
            <w:tcW w:w="2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716.6</w:t>
            </w:r>
          </w:p>
        </w:tc>
        <w:tc>
          <w:tcPr>
            <w:tcW w:w="2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increase in TCI revenue is attributable to continued investment by Windstream, where Windstream invested $102.4 million of TCIs during the year ended December 31, 2020. The total amount invested in TCIs by Windstream since the inception of the Master Lease was $874.2 million as of December 31, 2020. As of December 31, 2019, Windstream had invested a total of $771.8 million in such improvements. For the year ended December 31, 2020, we recognized $43.3 million of leasing revenues from non-Windstream triple-net leasing and dark fiber indefeasible rights of use (“IRU”) arrangements, compared to $28.7 million for the year ended December 31, 2019.</w:t>
      </w:r>
    </w:p>
    <w:p>
      <w:pPr>
        <w:spacing w:after="0" w:line="18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Because a substantial portion of our revenue and cash flows are derived from lease payments by Windstream pursuant to the Windstream Leases, there could be a material adverse impact on our consolidated results of operations, liquidity, financial condition and/or ability to maintain our status as a REIT and service debt if Windstream were to become unable to generate sufficient cash to make payments to us.</w:t>
      </w:r>
    </w:p>
    <w:p>
      <w:pPr>
        <w:spacing w:after="0" w:line="16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Prior to its emergence from bankruptcy on September 21, 2020, Windstream was a publicly traded company and was subject to the periodic filing requirements of the Securities Exchange Act of 1934, as amended (the “Exchange Act”). Windstream’s historic filings through their quarter ended June 30, 2020 can be found at www.sec.gov. On September 22, 2020, Windstream filed a Form 15 to terminate all filing obligations under Section 12(g) and 15(d) under the Exchange Act. Windstream has posted certain information regarding its fourth quarter and full year 2020 results on the investor relations page of its website, which can be found at https://investor.windstream.com. Neither Windstream filings nor the information available on the investor page of its website are incorporated by reference in the Annual Report on Form 10-K.</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note that in August 2020, Moody’s Investor Service assigned a B3 corporate family rating with a stable outlook to Windstream in connection with its post-emergence exit financing. At the same time, S&amp;P Global Ratings assigned Windstream a B- issuer rating with a stable outlook. These ratings were both upgrades from Windstream’s pre-bankruptcy ratings. In order to assist us in our continuing assessment of Windstream’s creditworthiness, we receive certain confidential financial information and metrics from Windstream.</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terms of the Windstream Leases, Windstream is required to provide us audited financial statements as of and for the year ended December 31, 2020 (the “2020 Financial Statements”) no later than 90-days after its fiscal year-end. After receipt of the 2020 Financial Statements, Uniti expects to file a Form 10-K/A to include the 2020 Financial Statements in our annual report. As of the date of this Annual Report on Form 10-K, Windstream is current on all lease payments required under the Windstream Leases.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years ended December 31, 2020 and 2019, we recognized $314.4 million and $315.6 million of revenue, respectively, in our</w:t>
      </w:r>
      <w:r>
        <w:rPr>
          <w:rFonts w:ascii="Arial" w:cs="Arial" w:eastAsia="Arial" w:hAnsi="Arial"/>
          <w:sz w:val="18"/>
          <w:szCs w:val="18"/>
          <w:i w:val="1"/>
          <w:iCs w:val="1"/>
          <w:color w:val="auto"/>
        </w:rPr>
        <w:t xml:space="preserve"> </w:t>
      </w:r>
      <w:r>
        <w:rPr>
          <w:rFonts w:ascii="Arial" w:cs="Arial" w:eastAsia="Arial" w:hAnsi="Arial"/>
          <w:sz w:val="18"/>
          <w:szCs w:val="18"/>
          <w:color w:val="auto"/>
        </w:rPr>
        <w:t>Fiber Infrastructure segment. The decrease is primarily attributable to a $4.1 decrease in non-recurring construction revenues reported within E-Rate and government revenues, partially offset by increased installation services and equipment sales. Revenue components for the Fiber Infrastructure segment for the years ended December 31, 2020 and 2019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10"/>
          </w:tcPr>
          <w:p>
            <w:pPr>
              <w:jc w:val="right"/>
              <w:ind w:right="840"/>
              <w:spacing w:after="0"/>
              <w:rPr>
                <w:sz w:val="20"/>
                <w:szCs w:val="20"/>
                <w:color w:val="auto"/>
              </w:rPr>
            </w:pPr>
            <w:r>
              <w:rPr>
                <w:rFonts w:ascii="Arial" w:cs="Arial" w:eastAsia="Arial" w:hAnsi="Arial"/>
                <w:sz w:val="18"/>
                <w:szCs w:val="18"/>
                <w:b w:val="1"/>
                <w:bCs w:val="1"/>
                <w:color w:val="auto"/>
                <w:w w:val="97"/>
              </w:rPr>
              <w:t>Year Ended December 31,</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5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ind w:right="124"/>
              <w:spacing w:after="0" w:line="13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vMerge w:val="restart"/>
          </w:tcPr>
          <w:p>
            <w:pPr>
              <w:jc w:val="right"/>
              <w:ind w:right="39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5"/>
            <w:vMerge w:val="restart"/>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Segment</w:t>
            </w:r>
          </w:p>
        </w:tc>
        <w:tc>
          <w:tcPr>
            <w:tcW w:w="0" w:type="dxa"/>
            <w:vAlign w:val="bottom"/>
          </w:tcPr>
          <w:p>
            <w:pPr>
              <w:spacing w:after="0"/>
              <w:rPr>
                <w:sz w:val="1"/>
                <w:szCs w:val="1"/>
                <w:color w:val="auto"/>
              </w:rPr>
            </w:pPr>
          </w:p>
        </w:tc>
      </w:tr>
      <w:tr>
        <w:trPr>
          <w:trHeight w:val="171"/>
        </w:trPr>
        <w:tc>
          <w:tcPr>
            <w:tcW w:w="586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5"/>
            <w:vMerge w:val="continue"/>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7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3"/>
          </w:tcPr>
          <w:p>
            <w:pPr>
              <w:ind w:left="260"/>
              <w:spacing w:after="0"/>
              <w:rPr>
                <w:sz w:val="20"/>
                <w:szCs w:val="20"/>
                <w:color w:val="auto"/>
              </w:rPr>
            </w:pPr>
            <w:r>
              <w:rPr>
                <w:rFonts w:ascii="Arial" w:cs="Arial" w:eastAsia="Arial" w:hAnsi="Arial"/>
                <w:sz w:val="18"/>
                <w:szCs w:val="18"/>
                <w:color w:val="auto"/>
              </w:rPr>
              <w:t>Lit backhaul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106,125</w:t>
            </w:r>
          </w:p>
        </w:tc>
        <w:tc>
          <w:tcPr>
            <w:tcW w:w="106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33.8%</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125,983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0"/>
              </w:rPr>
              <w:t>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28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78,702</w:t>
            </w:r>
          </w:p>
        </w:tc>
        <w:tc>
          <w:tcPr>
            <w:tcW w:w="1060" w:type="dxa"/>
            <w:vAlign w:val="bottom"/>
            <w:gridSpan w:val="3"/>
            <w:shd w:val="clear" w:color="auto" w:fill="CFF0FC"/>
          </w:tcPr>
          <w:p>
            <w:pPr>
              <w:jc w:val="center"/>
              <w:ind w:left="152"/>
              <w:spacing w:after="0"/>
              <w:rPr>
                <w:sz w:val="20"/>
                <w:szCs w:val="20"/>
                <w:color w:val="auto"/>
              </w:rPr>
            </w:pPr>
            <w:r>
              <w:rPr>
                <w:rFonts w:ascii="Arial" w:cs="Arial" w:eastAsia="Arial" w:hAnsi="Arial"/>
                <w:sz w:val="18"/>
                <w:szCs w:val="18"/>
                <w:color w:val="auto"/>
                <w:w w:val="90"/>
              </w:rPr>
              <w:t>25.0%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66,545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21.1%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3"/>
          </w:tcPr>
          <w:p>
            <w:pPr>
              <w:ind w:left="260"/>
              <w:spacing w:after="0"/>
              <w:rPr>
                <w:sz w:val="20"/>
                <w:szCs w:val="20"/>
                <w:color w:val="auto"/>
              </w:rPr>
            </w:pPr>
            <w:r>
              <w:rPr>
                <w:rFonts w:ascii="Arial" w:cs="Arial" w:eastAsia="Arial" w:hAnsi="Arial"/>
                <w:sz w:val="18"/>
                <w:szCs w:val="18"/>
                <w:color w:val="auto"/>
              </w:rPr>
              <w:t>E-Rate and government</w:t>
            </w:r>
          </w:p>
        </w:tc>
        <w:tc>
          <w:tcPr>
            <w:tcW w:w="2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80,428</w:t>
            </w:r>
          </w:p>
        </w:tc>
        <w:tc>
          <w:tcPr>
            <w:tcW w:w="106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25.6%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89,430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0"/>
              </w:rPr>
              <w:t>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28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44,767</w:t>
            </w:r>
          </w:p>
        </w:tc>
        <w:tc>
          <w:tcPr>
            <w:tcW w:w="1060" w:type="dxa"/>
            <w:vAlign w:val="bottom"/>
            <w:gridSpan w:val="3"/>
            <w:shd w:val="clear" w:color="auto" w:fill="CFF0FC"/>
          </w:tcPr>
          <w:p>
            <w:pPr>
              <w:jc w:val="center"/>
              <w:ind w:left="152"/>
              <w:spacing w:after="0"/>
              <w:rPr>
                <w:sz w:val="20"/>
                <w:szCs w:val="20"/>
                <w:color w:val="auto"/>
              </w:rPr>
            </w:pPr>
            <w:r>
              <w:rPr>
                <w:rFonts w:ascii="Arial" w:cs="Arial" w:eastAsia="Arial" w:hAnsi="Arial"/>
                <w:sz w:val="18"/>
                <w:szCs w:val="18"/>
                <w:color w:val="auto"/>
                <w:w w:val="90"/>
              </w:rPr>
              <w:t>14.2%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31,245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3"/>
          </w:tcPr>
          <w:p>
            <w:pPr>
              <w:ind w:left="260"/>
              <w:spacing w:after="0"/>
              <w:rPr>
                <w:sz w:val="20"/>
                <w:szCs w:val="20"/>
                <w:color w:val="auto"/>
              </w:rPr>
            </w:pPr>
            <w:r>
              <w:rPr>
                <w:rFonts w:ascii="Arial" w:cs="Arial" w:eastAsia="Arial" w:hAnsi="Arial"/>
                <w:sz w:val="18"/>
                <w:szCs w:val="18"/>
                <w:color w:val="auto"/>
              </w:rPr>
              <w:t>Other services</w:t>
            </w:r>
          </w:p>
        </w:tc>
        <w:tc>
          <w:tcPr>
            <w:tcW w:w="2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4,341</w:t>
            </w:r>
          </w:p>
        </w:tc>
        <w:tc>
          <w:tcPr>
            <w:tcW w:w="840" w:type="dxa"/>
            <w:vAlign w:val="bottom"/>
            <w:gridSpan w:val="2"/>
          </w:tcPr>
          <w:p>
            <w:pPr>
              <w:jc w:val="center"/>
              <w:ind w:left="372"/>
              <w:spacing w:after="0"/>
              <w:rPr>
                <w:sz w:val="20"/>
                <w:szCs w:val="20"/>
                <w:color w:val="auto"/>
              </w:rPr>
            </w:pPr>
            <w:r>
              <w:rPr>
                <w:rFonts w:ascii="Arial" w:cs="Arial" w:eastAsia="Arial" w:hAnsi="Arial"/>
                <w:sz w:val="18"/>
                <w:szCs w:val="18"/>
                <w:color w:val="auto"/>
                <w:w w:val="92"/>
              </w:rPr>
              <w:t>1.4%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2"/>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gridSpan w:val="3"/>
            <w:shd w:val="clear" w:color="auto" w:fill="CFF0FC"/>
          </w:tcPr>
          <w:p>
            <w:pPr>
              <w:ind w:left="380"/>
              <w:spacing w:after="0"/>
              <w:rPr>
                <w:sz w:val="20"/>
                <w:szCs w:val="20"/>
                <w:color w:val="auto"/>
              </w:rPr>
            </w:pPr>
            <w:r>
              <w:rPr>
                <w:rFonts w:ascii="Arial" w:cs="Arial" w:eastAsia="Arial" w:hAnsi="Arial"/>
                <w:sz w:val="18"/>
                <w:szCs w:val="18"/>
                <w:color w:val="auto"/>
              </w:rPr>
              <w:t>Total Fiber Infrastructure revenues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314,363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91"/>
              </w:rPr>
              <w:t>100.0%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center"/>
              <w:ind w:right="17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315,605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380" w:type="dxa"/>
            <w:vAlign w:val="bottom"/>
            <w:gridSpan w:val="10"/>
          </w:tcPr>
          <w:p>
            <w:pPr>
              <w:spacing w:after="0"/>
              <w:rPr>
                <w:sz w:val="20"/>
                <w:szCs w:val="20"/>
                <w:color w:val="auto"/>
              </w:rPr>
            </w:pPr>
            <w:r>
              <w:rPr>
                <w:rFonts w:ascii="Arial" w:cs="Arial" w:eastAsia="Arial" w:hAnsi="Arial"/>
                <w:sz w:val="18"/>
                <w:szCs w:val="18"/>
                <w:i w:val="1"/>
                <w:iCs w:val="1"/>
                <w:color w:val="auto"/>
              </w:rPr>
              <w:t xml:space="preserve">Towers </w:t>
            </w:r>
            <w:r>
              <w:rPr>
                <w:rFonts w:ascii="Arial" w:cs="Arial" w:eastAsia="Arial" w:hAnsi="Arial"/>
                <w:sz w:val="18"/>
                <w:szCs w:val="18"/>
                <w:color w:val="auto"/>
              </w:rPr>
              <w:t>– Towers revenues for the years ended December 31, 2020 and 2019 consisted of the following:</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20" w:type="dxa"/>
            <w:vAlign w:val="bottom"/>
            <w:tcBorders>
              <w:top w:val="single" w:sz="8" w:color="auto"/>
            </w:tcBorders>
          </w:tcPr>
          <w:p>
            <w:pPr>
              <w:spacing w:after="0"/>
              <w:rPr>
                <w:sz w:val="24"/>
                <w:szCs w:val="24"/>
                <w:color w:val="auto"/>
              </w:rPr>
            </w:pPr>
          </w:p>
        </w:tc>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5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Segment</w:t>
            </w:r>
          </w:p>
        </w:tc>
        <w:tc>
          <w:tcPr>
            <w:tcW w:w="0" w:type="dxa"/>
            <w:vAlign w:val="bottom"/>
          </w:tcPr>
          <w:p>
            <w:pPr>
              <w:spacing w:after="0"/>
              <w:rPr>
                <w:sz w:val="1"/>
                <w:szCs w:val="1"/>
                <w:color w:val="auto"/>
              </w:rPr>
            </w:pPr>
          </w:p>
        </w:tc>
      </w:tr>
      <w:tr>
        <w:trPr>
          <w:trHeight w:val="171"/>
        </w:trPr>
        <w:tc>
          <w:tcPr>
            <w:tcW w:w="586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Revenues</w:t>
            </w:r>
          </w:p>
        </w:tc>
        <w:tc>
          <w:tcPr>
            <w:tcW w:w="0" w:type="dxa"/>
            <w:vAlign w:val="bottom"/>
          </w:tcPr>
          <w:p>
            <w:pPr>
              <w:spacing w:after="0"/>
              <w:rPr>
                <w:sz w:val="1"/>
                <w:szCs w:val="1"/>
                <w:color w:val="auto"/>
              </w:rPr>
            </w:pPr>
          </w:p>
        </w:tc>
      </w:tr>
      <w:tr>
        <w:trPr>
          <w:trHeight w:val="223"/>
        </w:trPr>
        <w:tc>
          <w:tcPr>
            <w:tcW w:w="586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Towers revenues:</w:t>
            </w:r>
          </w:p>
        </w:tc>
        <w:tc>
          <w:tcPr>
            <w:tcW w:w="2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3"/>
          </w:tcPr>
          <w:p>
            <w:pPr>
              <w:ind w:left="26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9"/>
                <w:szCs w:val="19"/>
                <w:color w:val="auto"/>
              </w:rPr>
            </w:pPr>
          </w:p>
        </w:tc>
        <w:tc>
          <w:tcPr>
            <w:tcW w:w="11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6,112</w:t>
            </w:r>
          </w:p>
        </w:tc>
        <w:tc>
          <w:tcPr>
            <w:tcW w:w="220" w:type="dxa"/>
            <w:vAlign w:val="bottom"/>
          </w:tcPr>
          <w:p>
            <w:pPr>
              <w:spacing w:after="0"/>
              <w:rPr>
                <w:sz w:val="19"/>
                <w:szCs w:val="19"/>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88"/>
              </w:rPr>
              <w:t>100.0%</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12,141</w:t>
            </w:r>
          </w:p>
        </w:tc>
        <w:tc>
          <w:tcPr>
            <w:tcW w:w="40" w:type="dxa"/>
            <w:vAlign w:val="bottom"/>
          </w:tcPr>
          <w:p>
            <w:pPr>
              <w:spacing w:after="0"/>
              <w:rPr>
                <w:sz w:val="19"/>
                <w:szCs w:val="19"/>
                <w:color w:val="auto"/>
              </w:rPr>
            </w:pPr>
          </w:p>
        </w:tc>
        <w:tc>
          <w:tcPr>
            <w:tcW w:w="800" w:type="dxa"/>
            <w:vAlign w:val="bottom"/>
            <w:gridSpan w:val="2"/>
          </w:tcPr>
          <w:p>
            <w:pPr>
              <w:jc w:val="center"/>
              <w:ind w:left="74"/>
              <w:spacing w:after="0"/>
              <w:rPr>
                <w:sz w:val="20"/>
                <w:szCs w:val="20"/>
                <w:color w:val="auto"/>
              </w:rPr>
            </w:pPr>
            <w:r>
              <w:rPr>
                <w:rFonts w:ascii="Arial" w:cs="Arial" w:eastAsia="Arial" w:hAnsi="Arial"/>
                <w:sz w:val="18"/>
                <w:szCs w:val="18"/>
                <w:color w:val="auto"/>
                <w:w w:val="93"/>
              </w:rPr>
              <w:t>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Latin America</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center"/>
              <w:ind w:left="74"/>
              <w:spacing w:after="0"/>
              <w:rPr>
                <w:sz w:val="20"/>
                <w:szCs w:val="20"/>
                <w:color w:val="auto"/>
              </w:rPr>
            </w:pPr>
            <w:r>
              <w:rPr>
                <w:rFonts w:ascii="Arial" w:cs="Arial" w:eastAsia="Arial" w:hAnsi="Arial"/>
                <w:sz w:val="18"/>
                <w:szCs w:val="18"/>
                <w:color w:val="auto"/>
                <w:w w:val="93"/>
              </w:rPr>
              <w:t>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gridSpan w:val="3"/>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6,112</w:t>
            </w: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14,693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w:t>
            </w:r>
            <w:r>
              <w:rPr>
                <w:rFonts w:ascii="Arial" w:cs="Arial" w:eastAsia="Arial" w:hAnsi="Arial"/>
                <w:sz w:val="18"/>
                <w:szCs w:val="18"/>
                <w:u w:val="single" w:color="auto"/>
                <w:color w:val="auto"/>
                <w:w w:val="91"/>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decrease in Towers revenues is driven by the April 2, 2019 sale of the Latin America operations which contributed $2.6 million of revenue for the year ended December 31, 2019 and the completed sale of the U.S. tower business on June 1, 2020.</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year ended December 31, 2020, we recognized $0.7 million of revenue from the Consumer CLEC Business, compared to $10.7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2019. The decrease is attributable to the substantially completed wind down of the business during the second quarter of 2020, which included credits to disconnected customers.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80" w:type="dxa"/>
            <w:vAlign w:val="bottom"/>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2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90"/>
              </w:rPr>
              <w:t>Year Ended December 31,</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70"/>
              <w:spacing w:after="0" w:line="205" w:lineRule="exact"/>
              <w:rPr>
                <w:sz w:val="20"/>
                <w:szCs w:val="20"/>
                <w:color w:val="auto"/>
              </w:rPr>
            </w:pPr>
            <w:r>
              <w:rPr>
                <w:rFonts w:ascii="Arial" w:cs="Arial" w:eastAsia="Arial" w:hAnsi="Arial"/>
                <w:sz w:val="18"/>
                <w:szCs w:val="18"/>
                <w:b w:val="1"/>
                <w:bCs w:val="1"/>
                <w:color w:val="auto"/>
                <w:w w:val="96"/>
              </w:rPr>
              <w:t>Increase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23"/>
        </w:trPr>
        <w:tc>
          <w:tcPr>
            <w:tcW w:w="6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Interest expense, net:</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b w:val="1"/>
                <w:bCs w:val="1"/>
                <w:color w:val="auto"/>
              </w:rPr>
              <w:t>Cash:</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Senior secured term loan B - variable rate </w:t>
            </w:r>
            <w:r>
              <w:rPr>
                <w:rFonts w:ascii="Arial" w:cs="Arial" w:eastAsia="Arial" w:hAnsi="Arial"/>
                <w:sz w:val="15"/>
                <w:szCs w:val="15"/>
                <w:color w:val="auto"/>
              </w:rPr>
              <w:t>(1)</w:t>
            </w:r>
          </w:p>
        </w:tc>
        <w:tc>
          <w:tcPr>
            <w:tcW w:w="4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25,864</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139,383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(113,519)</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Senior secured notes - 6.00% and 7.875%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190,992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unsecured notes - 4.00%, 7.125%, and 8.25%</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148,125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141,340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Senior secured revolving credit facility - variable rate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14,691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34,463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(19,772)</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3,986</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ind w:left="260"/>
              <w:spacing w:after="0"/>
              <w:rPr>
                <w:sz w:val="20"/>
                <w:szCs w:val="20"/>
                <w:color w:val="auto"/>
              </w:rPr>
            </w:pPr>
            <w:r>
              <w:rPr>
                <w:rFonts w:ascii="Arial" w:cs="Arial" w:eastAsia="Arial" w:hAnsi="Arial"/>
                <w:sz w:val="18"/>
                <w:szCs w:val="18"/>
                <w:color w:val="auto"/>
              </w:rPr>
              <w:t>Total cash interest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383,658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350,407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Amortization of deferred financing costs and debt discount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36,955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42,779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Write off of deferred financing costs and debt discount</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Accretion of settlement payable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Capitalized Interest</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(2,205)</w:t>
            </w: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(3,074)</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non-cash interest</w:t>
            </w:r>
          </w:p>
        </w:tc>
        <w:tc>
          <w:tcPr>
            <w:tcW w:w="1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113,470</w:t>
            </w:r>
          </w:p>
        </w:tc>
        <w:tc>
          <w:tcPr>
            <w:tcW w:w="2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39,705</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expense, net</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497,128</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390,112</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107,016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5"/>
          <w:szCs w:val="15"/>
          <w:color w:val="auto"/>
        </w:rPr>
      </w:pPr>
      <w:r>
        <w:rPr>
          <w:rFonts w:ascii="Arial" w:cs="Arial" w:eastAsia="Arial" w:hAnsi="Arial"/>
          <w:sz w:val="18"/>
          <w:szCs w:val="18"/>
          <w:color w:val="auto"/>
        </w:rPr>
        <w:t>Swapped to fixed rate. See Note 11 to our Consolidated Financial Statements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Interest expense for the year ended December 31, 2020 increased $107.0 million compared to the year ended December 31, 2019. The increase is due to (i) the write-off of unamortized deferred financing costs and debt discount related to the repayment of the senior secured term loan B and terminated commitments of the revolving loans of $72.5 million and $1.4 million, respectively, and (ii) cash interest expense of $158.0 million related to the 7.875% senior secured notes, partially offset by a decrease of $113.5 million in cash interest expense related to the repayment of senior secured term loan B in February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incur depreciation and amortization expense related to our property, plant and equipment, corporate assets and intangible assets. Depreciation and amortization expense for our reportable segments for the years ended December 31, 2020 and 2019 consisted of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9"/>
              </w:rPr>
              <w:t>Year Ended December 31,</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7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70"/>
              <w:spacing w:after="0" w:line="205" w:lineRule="exact"/>
              <w:rPr>
                <w:sz w:val="20"/>
                <w:szCs w:val="20"/>
                <w:color w:val="auto"/>
              </w:rPr>
            </w:pPr>
            <w:r>
              <w:rPr>
                <w:rFonts w:ascii="Arial" w:cs="Arial" w:eastAsia="Arial" w:hAnsi="Arial"/>
                <w:sz w:val="18"/>
                <w:szCs w:val="18"/>
                <w:b w:val="1"/>
                <w:bCs w:val="1"/>
                <w:color w:val="auto"/>
                <w:w w:val="96"/>
              </w:rPr>
              <w:t>Increase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Arial" w:cs="Arial" w:eastAsia="Arial" w:hAnsi="Arial"/>
                <w:sz w:val="18"/>
                <w:szCs w:val="18"/>
                <w:color w:val="auto"/>
              </w:rPr>
              <w:t>(Thousands)</w:t>
            </w: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23"/>
        </w:trPr>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 expense by segment:</w:t>
            </w:r>
          </w:p>
        </w:tc>
        <w:tc>
          <w:tcPr>
            <w:tcW w:w="17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Leasing</w:t>
            </w:r>
          </w:p>
        </w:tc>
        <w:tc>
          <w:tcPr>
            <w:tcW w:w="214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198,805</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279,901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(81,096)</w:t>
            </w:r>
          </w:p>
        </w:tc>
        <w:tc>
          <w:tcPr>
            <w:tcW w:w="0" w:type="dxa"/>
            <w:vAlign w:val="bottom"/>
          </w:tcPr>
          <w:p>
            <w:pPr>
              <w:spacing w:after="0"/>
              <w:rPr>
                <w:sz w:val="1"/>
                <w:szCs w:val="1"/>
                <w:color w:val="auto"/>
              </w:rPr>
            </w:pPr>
          </w:p>
        </w:tc>
      </w:tr>
      <w:tr>
        <w:trPr>
          <w:trHeight w:val="229"/>
        </w:trPr>
        <w:tc>
          <w:tcPr>
            <w:tcW w:w="4760" w:type="dxa"/>
            <w:vAlign w:val="bottom"/>
          </w:tcPr>
          <w:p>
            <w:pPr>
              <w:ind w:left="380"/>
              <w:spacing w:after="0"/>
              <w:rPr>
                <w:sz w:val="20"/>
                <w:szCs w:val="20"/>
                <w:color w:val="auto"/>
              </w:rPr>
            </w:pPr>
            <w:r>
              <w:rPr>
                <w:rFonts w:ascii="Arial" w:cs="Arial" w:eastAsia="Arial" w:hAnsi="Arial"/>
                <w:sz w:val="18"/>
                <w:szCs w:val="18"/>
                <w:color w:val="auto"/>
              </w:rPr>
              <w:t>Fiber Infrastructure</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101,332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91,658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Towers</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30"/>
        </w:trPr>
        <w:tc>
          <w:tcPr>
            <w:tcW w:w="4760" w:type="dxa"/>
            <w:vAlign w:val="bottom"/>
          </w:tcPr>
          <w:p>
            <w:pPr>
              <w:ind w:left="380"/>
              <w:spacing w:after="0"/>
              <w:rPr>
                <w:sz w:val="20"/>
                <w:szCs w:val="20"/>
                <w:color w:val="auto"/>
              </w:rPr>
            </w:pPr>
            <w:r>
              <w:rPr>
                <w:rFonts w:ascii="Arial" w:cs="Arial" w:eastAsia="Arial" w:hAnsi="Arial"/>
                <w:sz w:val="18"/>
                <w:szCs w:val="18"/>
                <w:color w:val="auto"/>
              </w:rPr>
              <w:t>Consumer CLEC</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3"/>
        </w:trPr>
        <w:tc>
          <w:tcPr>
            <w:tcW w:w="4760" w:type="dxa"/>
            <w:vAlign w:val="bottom"/>
          </w:tcPr>
          <w:p>
            <w:pPr>
              <w:ind w:left="260"/>
              <w:spacing w:after="0"/>
              <w:rPr>
                <w:sz w:val="20"/>
                <w:szCs w:val="20"/>
                <w:color w:val="auto"/>
              </w:rPr>
            </w:pPr>
            <w:r>
              <w:rPr>
                <w:rFonts w:ascii="Arial" w:cs="Arial" w:eastAsia="Arial" w:hAnsi="Arial"/>
                <w:sz w:val="18"/>
                <w:szCs w:val="18"/>
                <w:color w:val="auto"/>
              </w:rPr>
              <w:t>Total depreciation expense</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301,217</w:t>
            </w: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378,563</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expense</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380"/>
              <w:spacing w:after="0"/>
              <w:rPr>
                <w:sz w:val="20"/>
                <w:szCs w:val="20"/>
                <w:color w:val="auto"/>
              </w:rPr>
            </w:pPr>
            <w:r>
              <w:rPr>
                <w:rFonts w:ascii="Arial" w:cs="Arial" w:eastAsia="Arial" w:hAnsi="Arial"/>
                <w:sz w:val="18"/>
                <w:szCs w:val="18"/>
                <w:color w:val="auto"/>
              </w:rPr>
              <w:t>Leasing</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Fiber Infrastructure</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80"/>
              <w:spacing w:after="0"/>
              <w:rPr>
                <w:sz w:val="20"/>
                <w:szCs w:val="20"/>
                <w:color w:val="auto"/>
              </w:rPr>
            </w:pPr>
            <w:r>
              <w:rPr>
                <w:rFonts w:ascii="Arial" w:cs="Arial" w:eastAsia="Arial" w:hAnsi="Arial"/>
                <w:sz w:val="18"/>
                <w:szCs w:val="18"/>
                <w:color w:val="auto"/>
              </w:rPr>
              <w:t>Towers</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Consumer CLEC</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Corporate</w:t>
            </w:r>
          </w:p>
        </w:tc>
        <w:tc>
          <w:tcPr>
            <w:tcW w:w="17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amortization expense</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28,186</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27,191</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Total depreciation and amortization expense</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329,403</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405,754</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720" w:type="dxa"/>
            <w:vAlign w:val="bottom"/>
            <w:vMerge w:val="restart"/>
          </w:tcPr>
          <w:p>
            <w:pPr>
              <w:jc w:val="right"/>
              <w:ind w:right="67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Depreciation expense decreased $81.1 million for the year ended December 31, 2020 as compared to the year ended December 31,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is attributable to (i) $86.5 million decrease related to the natural decrease in remaining useful life of the Windstream Distribution System assets which utilize the group composite depreciation method, and (ii) partially offset by $4.3 million increase in depreciation expense related to the assets acquired from Windstream under the Asset Purchase Agreement. Amortization expense increased $0.3 million for the year ended December 31, 2020 as compared to the year ended December 31, 2019.</w:t>
      </w:r>
    </w:p>
    <w:p>
      <w:pPr>
        <w:spacing w:after="0" w:line="188"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i w:val="1"/>
          <w:iCs w:val="1"/>
          <w:u w:val="single" w:color="auto"/>
          <w:color w:val="auto"/>
        </w:rPr>
        <w:t>Fiber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 The increase in Fiber Infrastructure depreciation expense for the year ended December 31, 2020 as compared to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2019 is attributable to capital expenditures of $197.0 million during the year ended December 31, 2020. The increase in amortization expense for ended December 31, 2020 as compared to the year ended December 31, 2019 is attributable to the amortization of the trade name intangible asset associated with our construction business, which was reclassified from an indefinite-life to finite-life during fiscal year 2020.</w:t>
      </w:r>
    </w:p>
    <w:p>
      <w:pPr>
        <w:spacing w:after="0" w:line="1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The decrease in Towers depreciation for the year ended December 31, 2020 as compared to the year ended December 31, 2019 is attributable the</w:t>
      </w:r>
      <w:r>
        <w:rPr>
          <w:rFonts w:ascii="Arial" w:cs="Arial" w:eastAsia="Arial" w:hAnsi="Arial"/>
          <w:sz w:val="18"/>
          <w:szCs w:val="18"/>
          <w:i w:val="1"/>
          <w:iCs w:val="1"/>
          <w:color w:val="auto"/>
        </w:rPr>
        <w:t xml:space="preserve"> </w:t>
      </w:r>
      <w:r>
        <w:rPr>
          <w:rFonts w:ascii="Arial" w:cs="Arial" w:eastAsia="Arial" w:hAnsi="Arial"/>
          <w:sz w:val="18"/>
          <w:szCs w:val="18"/>
          <w:color w:val="auto"/>
        </w:rPr>
        <w:t>April 2, 2019 sale of the Latin America operations and the completed sale of the U.S. tower business on June 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 Expense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8"/>
                <w:szCs w:val="18"/>
                <w:b w:val="1"/>
                <w:bCs w:val="1"/>
                <w:color w:val="auto"/>
                <w:w w:val="94"/>
              </w:rPr>
              <w:t>2020</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03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r>
      <w:tr>
        <w:trPr>
          <w:trHeight w:val="205"/>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7"/>
                <w:szCs w:val="17"/>
                <w:color w:val="auto"/>
              </w:rPr>
            </w:pP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Consolidated</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5620" w:type="dxa"/>
            <w:vAlign w:val="bottom"/>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Amount</w:t>
            </w:r>
          </w:p>
        </w:tc>
        <w:tc>
          <w:tcPr>
            <w:tcW w:w="24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General and administrative expense by segment:</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Leasing</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7,022</w:t>
            </w:r>
          </w:p>
        </w:tc>
        <w:tc>
          <w:tcPr>
            <w:tcW w:w="150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0.7%</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3,940</w:t>
            </w:r>
          </w:p>
        </w:tc>
        <w:tc>
          <w:tcPr>
            <w:tcW w:w="1520" w:type="dxa"/>
            <w:vAlign w:val="bottom"/>
            <w:gridSpan w:val="2"/>
          </w:tcPr>
          <w:p>
            <w:pPr>
              <w:jc w:val="center"/>
              <w:ind w:left="150"/>
              <w:spacing w:after="0"/>
              <w:rPr>
                <w:sz w:val="20"/>
                <w:szCs w:val="20"/>
                <w:color w:val="auto"/>
              </w:rPr>
            </w:pPr>
            <w:r>
              <w:rPr>
                <w:rFonts w:ascii="Arial" w:cs="Arial" w:eastAsia="Arial" w:hAnsi="Arial"/>
                <w:sz w:val="18"/>
                <w:szCs w:val="18"/>
                <w:color w:val="auto"/>
                <w:w w:val="87"/>
              </w:rPr>
              <w:t>0.4%</w:t>
            </w:r>
          </w:p>
        </w:tc>
        <w:tc>
          <w:tcPr>
            <w:tcW w:w="100" w:type="dxa"/>
            <w:vAlign w:val="bottom"/>
          </w:tcPr>
          <w:p>
            <w:pPr>
              <w:spacing w:after="0"/>
              <w:rPr>
                <w:sz w:val="19"/>
                <w:szCs w:val="19"/>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54,529</w:t>
            </w:r>
          </w:p>
        </w:tc>
        <w:tc>
          <w:tcPr>
            <w:tcW w:w="150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5.1%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57,362</w:t>
            </w:r>
          </w:p>
        </w:tc>
        <w:tc>
          <w:tcPr>
            <w:tcW w:w="15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87"/>
              </w:rPr>
              <w:t>5.4%</w:t>
            </w:r>
          </w:p>
        </w:tc>
        <w:tc>
          <w:tcPr>
            <w:tcW w:w="100" w:type="dxa"/>
            <w:vAlign w:val="bottom"/>
            <w:shd w:val="clear" w:color="auto" w:fill="CFF0FC"/>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Towers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2,607</w:t>
            </w:r>
          </w:p>
        </w:tc>
        <w:tc>
          <w:tcPr>
            <w:tcW w:w="150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6,237</w:t>
            </w:r>
          </w:p>
        </w:tc>
        <w:tc>
          <w:tcPr>
            <w:tcW w:w="1520" w:type="dxa"/>
            <w:vAlign w:val="bottom"/>
            <w:gridSpan w:val="2"/>
          </w:tcPr>
          <w:p>
            <w:pPr>
              <w:jc w:val="center"/>
              <w:ind w:left="150"/>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19"/>
                <w:szCs w:val="19"/>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50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5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87"/>
              </w:rPr>
              <w:t>0.0%</w:t>
            </w:r>
          </w:p>
        </w:tc>
        <w:tc>
          <w:tcPr>
            <w:tcW w:w="100" w:type="dxa"/>
            <w:vAlign w:val="bottom"/>
            <w:shd w:val="clear" w:color="auto" w:fill="CFF0FC"/>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40,587</w:t>
            </w:r>
          </w:p>
        </w:tc>
        <w:tc>
          <w:tcPr>
            <w:tcW w:w="150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35,336</w:t>
            </w:r>
          </w:p>
        </w:tc>
        <w:tc>
          <w:tcPr>
            <w:tcW w:w="1520" w:type="dxa"/>
            <w:vAlign w:val="bottom"/>
            <w:gridSpan w:val="2"/>
          </w:tcPr>
          <w:p>
            <w:pPr>
              <w:jc w:val="center"/>
              <w:ind w:left="150"/>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19"/>
                <w:szCs w:val="19"/>
                <w:color w:val="auto"/>
              </w:rPr>
            </w:pPr>
          </w:p>
        </w:tc>
      </w:tr>
      <w:tr>
        <w:trPr>
          <w:trHeight w:val="223"/>
        </w:trPr>
        <w:tc>
          <w:tcPr>
            <w:tcW w:w="562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general and administrative expenses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General and administrative expenses include compensation costs, including stock-based compensation awards, professional and legal services, corporate office costs and other costs associated with the administrative activities of our segments.</w:t>
      </w:r>
    </w:p>
    <w:p>
      <w:pPr>
        <w:spacing w:after="0" w:line="170"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i w:val="1"/>
          <w:iCs w:val="1"/>
          <w:u w:val="single" w:color="auto"/>
          <w:color w:val="auto"/>
        </w:rPr>
        <w:t>Leasing</w:t>
      </w:r>
      <w:r>
        <w:rPr>
          <w:rFonts w:ascii="Arial" w:cs="Arial" w:eastAsia="Arial" w:hAnsi="Arial"/>
          <w:sz w:val="16"/>
          <w:szCs w:val="16"/>
          <w:i w:val="1"/>
          <w:iCs w:val="1"/>
          <w:color w:val="auto"/>
        </w:rPr>
        <w:t xml:space="preserve"> </w:t>
      </w:r>
      <w:r>
        <w:rPr>
          <w:rFonts w:ascii="Arial" w:cs="Arial" w:eastAsia="Arial" w:hAnsi="Arial"/>
          <w:sz w:val="16"/>
          <w:szCs w:val="16"/>
          <w:color w:val="auto"/>
        </w:rPr>
        <w:t>– Leasing general and administrative expense increased $3.1 million for the year ended December 31, 2020 as compared to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2019. The increase is attributable to (i) increased personnel expense of $1.6 million and (ii) increased legal fees of $0.5 million.</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general and administrative expense decreased $2.8 million for the year ended December 31, 2020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2019. The decrease is attributable to (i) decreased personnel expense of $0.9 million and (ii) decreased professional and legal expenses of $2.0 million.</w:t>
      </w:r>
    </w:p>
    <w:p>
      <w:pPr>
        <w:spacing w:after="0" w:line="18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u w:val="single" w:color="auto"/>
          <w:color w:val="auto"/>
        </w:rPr>
        <w:t>Towers</w:t>
      </w:r>
      <w:r>
        <w:rPr>
          <w:rFonts w:ascii="Arial" w:cs="Arial" w:eastAsia="Arial" w:hAnsi="Arial"/>
          <w:sz w:val="16"/>
          <w:szCs w:val="16"/>
          <w:color w:val="auto"/>
        </w:rPr>
        <w:t>- The decrease in Towers general and administrative expense for the year ended December 31, 2020 as compared to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is attributable to the April 2, 2019 sale of the Latin America operations and the completed sale of the U.S. tower business on June 1, 2020.</w:t>
      </w:r>
    </w:p>
    <w:p>
      <w:pPr>
        <w:spacing w:after="0" w:line="12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i w:val="1"/>
          <w:iCs w:val="1"/>
          <w:u w:val="single" w:color="auto"/>
          <w:color w:val="auto"/>
        </w:rPr>
        <w:t>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 Corporate general and administrative expense increased $5.3 million for the year ended December 31, 2020 as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The increase is attributable to (i) increased personnel expense related to stock-based compensation of $2.8 million, (ii) increased insurance expense of $5.9 million, offset by (iii) a decrease of $2.2 million in legal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940"/>
        <w:spacing w:after="0" w:line="342" w:lineRule="auto"/>
        <w:rPr>
          <w:sz w:val="20"/>
          <w:szCs w:val="20"/>
          <w:color w:val="auto"/>
        </w:rPr>
      </w:pPr>
      <w:r>
        <w:rPr>
          <w:rFonts w:ascii="Arial" w:cs="Arial" w:eastAsia="Arial" w:hAnsi="Arial"/>
          <w:sz w:val="16"/>
          <w:szCs w:val="16"/>
          <w:color w:val="auto"/>
        </w:rPr>
        <w:t>Operating expense for the year ended December 31, 2020, totaled $159.3 million compared to $160.0 million for the year ended December 31, 2019. Operating expense for our reportable segments for the years ended December 31, 2020 and 2019 consisted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ind w:left="20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5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 by segment:</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260"/>
              <w:spacing w:after="0"/>
              <w:rPr>
                <w:sz w:val="20"/>
                <w:szCs w:val="20"/>
                <w:color w:val="auto"/>
              </w:rPr>
            </w:pPr>
            <w:r>
              <w:rPr>
                <w:rFonts w:ascii="Arial" w:cs="Arial" w:eastAsia="Arial" w:hAnsi="Arial"/>
                <w:sz w:val="18"/>
                <w:szCs w:val="18"/>
                <w:color w:val="auto"/>
              </w:rPr>
              <w:t>Leasing</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4,438</w:t>
            </w:r>
          </w:p>
        </w:tc>
        <w:tc>
          <w:tcPr>
            <w:tcW w:w="1080" w:type="dxa"/>
            <w:vAlign w:val="bottom"/>
            <w:gridSpan w:val="2"/>
          </w:tcPr>
          <w:p>
            <w:pPr>
              <w:jc w:val="center"/>
              <w:ind w:left="150"/>
              <w:spacing w:after="0"/>
              <w:rPr>
                <w:sz w:val="20"/>
                <w:szCs w:val="20"/>
                <w:color w:val="auto"/>
              </w:rPr>
            </w:pPr>
            <w:r>
              <w:rPr>
                <w:rFonts w:ascii="Arial" w:cs="Arial" w:eastAsia="Arial" w:hAnsi="Arial"/>
                <w:sz w:val="18"/>
                <w:szCs w:val="18"/>
                <w:color w:val="auto"/>
                <w:w w:val="87"/>
              </w:rPr>
              <w:t>0.4%</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2,053</w:t>
            </w:r>
          </w:p>
        </w:tc>
        <w:tc>
          <w:tcPr>
            <w:tcW w:w="2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150,241</w:t>
            </w:r>
          </w:p>
        </w:tc>
        <w:tc>
          <w:tcPr>
            <w:tcW w:w="108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3"/>
              </w:rPr>
              <w:t>14.1%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139,460</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Towers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3,692</w:t>
            </w:r>
          </w:p>
        </w:tc>
        <w:tc>
          <w:tcPr>
            <w:tcW w:w="1080" w:type="dxa"/>
            <w:vAlign w:val="bottom"/>
            <w:gridSpan w:val="2"/>
          </w:tcPr>
          <w:p>
            <w:pPr>
              <w:jc w:val="center"/>
              <w:ind w:left="150"/>
              <w:spacing w:after="0"/>
              <w:rPr>
                <w:sz w:val="20"/>
                <w:szCs w:val="20"/>
                <w:color w:val="auto"/>
              </w:rPr>
            </w:pPr>
            <w:r>
              <w:rPr>
                <w:rFonts w:ascii="Arial" w:cs="Arial" w:eastAsia="Arial" w:hAnsi="Arial"/>
                <w:sz w:val="18"/>
                <w:szCs w:val="18"/>
                <w:color w:val="auto"/>
                <w:w w:val="87"/>
              </w:rPr>
              <w:t>0.3%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9,819</w:t>
            </w:r>
          </w:p>
        </w:tc>
        <w:tc>
          <w:tcPr>
            <w:tcW w:w="2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CLEC</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108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87"/>
              </w:rPr>
              <w:t>0.1%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8,692</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159,337</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14.9%</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160,024</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u w:val="single" w:color="auto"/>
          <w:color w:val="auto"/>
        </w:rPr>
        <w:t>Leasing</w:t>
      </w:r>
      <w:r>
        <w:rPr>
          <w:rFonts w:ascii="Arial" w:cs="Arial" w:eastAsia="Arial" w:hAnsi="Arial"/>
          <w:sz w:val="17"/>
          <w:szCs w:val="17"/>
          <w:i w:val="1"/>
          <w:iCs w:val="1"/>
          <w:color w:val="auto"/>
        </w:rPr>
        <w:t xml:space="preserve"> </w:t>
      </w:r>
      <w:r>
        <w:rPr>
          <w:rFonts w:ascii="Arial" w:cs="Arial" w:eastAsia="Arial" w:hAnsi="Arial"/>
          <w:sz w:val="17"/>
          <w:szCs w:val="17"/>
          <w:color w:val="auto"/>
        </w:rPr>
        <w:t>– Leasing operating expense was $4.4 million and $2.1 million for the years ended December 31, 2020 and 2019, respectively. The increase is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driven by a $2.2 million increase in network expenses due to (i) $1.0 million in expenses related to new dark fiber arrangements, (ii) $1.0 million related to the Asset Purchase Agreement and (iii) $0.2 million related to the Bluebird acquisition, completed August 30, 2019.</w:t>
      </w:r>
    </w:p>
    <w:p>
      <w:pPr>
        <w:spacing w:after="0" w:line="16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u w:val="single" w:color="auto"/>
          <w:color w:val="auto"/>
        </w:rPr>
        <w:t>Fiber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 For the year ended December 31, 2020, Fiber Infrastructure operating expenses totaled $150.2 million as compared to $139.5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 ended December 31, 2019. Operating expense consists of network related costs, such as dark fiber and tower rents, and lit service and maintenance expense. In addition, costs associated with our construction activities are presented within operating expenses. The increase in operating expenses is primarily attributable to (i) increased personnel expenses of $5.1 million, (ii) increased Information Transport Solutions, Inc. (“ITS”) expenses of $7.0 million, and (iii) increased network and facilities expenses of $1.3 million, offset by a decrease of $7.0 million in construction expenses.</w:t>
      </w:r>
    </w:p>
    <w:p>
      <w:pPr>
        <w:spacing w:after="0" w:line="1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Our Towers segment operating expense primarily consists of ground rent, some or all of which may be passed to our tenants, as well as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taxes, regulatory fees and maintenance and repairs expenses. For the years ended December 31, 2020 and 2019, Towers operating expense was $3.7 million and $9.8 million, respectively. The decrease </w:t>
      </w:r>
      <w:r>
        <w:rPr>
          <w:rFonts w:ascii="Arial" w:cs="Arial" w:eastAsia="Arial" w:hAnsi="Arial"/>
          <w:sz w:val="18"/>
          <w:szCs w:val="18"/>
          <w:color w:val="212529"/>
        </w:rPr>
        <w:t>in operating expense is primarily attributable to the April 2, 2019 sale of the Latin American business</w:t>
      </w:r>
      <w:r>
        <w:rPr>
          <w:rFonts w:ascii="Arial" w:cs="Arial" w:eastAsia="Arial" w:hAnsi="Arial"/>
          <w:sz w:val="18"/>
          <w:szCs w:val="18"/>
          <w:color w:val="auto"/>
        </w:rPr>
        <w:t xml:space="preserve"> </w:t>
      </w:r>
      <w:r>
        <w:rPr>
          <w:rFonts w:ascii="Arial" w:cs="Arial" w:eastAsia="Arial" w:hAnsi="Arial"/>
          <w:sz w:val="18"/>
          <w:szCs w:val="18"/>
          <w:color w:val="212529"/>
        </w:rPr>
        <w:t>and the completed sale of our U.S. towers business of June 1, 2020.</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The Consumer CLEC Business operating expense was $1.0 and $8.7 million for the years ended December 31, 2020 and 2019,</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decrease is due to the substantially completed wind down of our Consumer CLEC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Expense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described in “Overview—Significant Business Developments—Windstream Emergence and Settlement” of this Part II, Item 7 above, on July 25, 2019, in connection with Windstream’s bankruptcy, Windstream Holdings and Windstream Services filed a complaint with the Bankruptcy Court in an adversary proceeding against Uniti and certain of its affiliates. During the second quarter of 2020, we estimated that $650.0 million of the consideration paid to Windstream should be classified as settlement of litigation, and therefore, recorded a $650.0 million charge. The charge represented our estimated fair value of the litigation settlement component of the Settlement.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performed our goodwill impairment analysis during the fourth quarter of 2020. As a result of increased capital expenditure investments in dark fiber and small cell projects and less than anticipated cash flow growth, we concluded that it was more likely than not that the fair value of the Fiber Infrastructure reporting unit, estimated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using a combination of the income approach and market approach, is less that its carrying amount. (See “</w:t>
      </w: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below). Accordingly, we recorded a $71 million goodwill impairment in the Fiber Infrastructure reporting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Transaction related and other costs included incremental acquisition, pursuit, transaction and integration costs (including unsuccessful acquisition pursuit costs), costs incurred as a result of Windstream’s bankruptcy filing, costs associated with Windstream’s claims against us and costs associated with the implementation of our enterprise resource planning system. For the year ended December 31, 2020, we incurred $63.9 million of transaction related and other costs, compared to $43.7 million of such costs during the year ended December 31, 2019. The increase is primarily related to incurring $43.4 million of total costs related to the Windstream bankruptcy for the year ended December 31, 2020, as compared to $23.2 million for year ended December 31,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Real Estate</w:t>
      </w:r>
    </w:p>
    <w:p>
      <w:pPr>
        <w:spacing w:after="0" w:line="225"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For the year ended December 31, 2020, we recognized realized gains of $63.4 million and $22.9 million related to the sale of Uniti Towers’ U.S tower portfolio and the Company’s Midwest fiber network assets, respectively. For the year ended December 31, 2019, we recognized realized gains of $23.8 million and $5.1 million related to the sale of Uniti Towers’ Latin American business and sale of our U.S. ground lease business,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recognized $11.7 million of other expense for the year ended December 31, 2020, which included a $7.2 million unrealized loss for mark-to-market adjustments on our contingent consideration arrangements. Other income for the year ended December 31, 2019, totaled $31.5 million, which included a $28.5 million unrealized gain for mark-to-market adjustments on our contingent consideration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recorded income tax (benefit) expense recorded for the years ended December 31, 2020 and 2019, respectively, is related to the tax impact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Year Ended December 31,</w:t>
            </w:r>
          </w:p>
        </w:tc>
      </w:tr>
      <w:tr>
        <w:trPr>
          <w:trHeight w:val="236"/>
        </w:trPr>
        <w:tc>
          <w:tcPr>
            <w:tcW w:w="76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r>
      <w:tr>
        <w:trPr>
          <w:trHeight w:val="223"/>
        </w:trPr>
        <w:tc>
          <w:tcPr>
            <w:tcW w:w="7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Income tax (benefit) expense</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Pre-tax loss (Fiber Infrastructure)</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(12,758)</w:t>
            </w:r>
          </w:p>
        </w:tc>
        <w:tc>
          <w:tcPr>
            <w:tcW w:w="5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(10,900)</w:t>
            </w: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Cancellation of debt income (REIT)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Other undistributed REIT taxable income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19"/>
                <w:szCs w:val="19"/>
                <w:color w:val="auto"/>
              </w:rPr>
            </w:pP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 from sale of Uniti Towers' Latin American business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Uniti Towers' Latin American business unrecognized tax benefit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19"/>
                <w:szCs w:val="19"/>
                <w:color w:val="auto"/>
              </w:rPr>
            </w:pP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Return to provision adjustments</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income tax (benefit) expense</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amortization of non-cash rights-of-use, the write off of unamortized deferred financing costs, costs incurred as a result of the early repayment of debt, including early tender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1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spacing w:after="0" w:line="19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Company defines AFFO, as FFO excluding (i) Transaction Related and Other Costs; (ii) costs related to the litigation settlement with Windstream, and accretion on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straight line revenues, non-cash income taxes, and the amortization of other non-cash revenues to the extent that cash has not been received, such as revenue associated with the amortization of TCIs; and (v) the impact, which may be recurring in nature, of the write-off of unamortized deferred financing fees, additional costs incurred as a result of the early repayment of debt, including early tender premium and costs associated with the termination of related hedging activities,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our net (loss) income to EBITDA and Adjusted EBITDA and of our net income attributable to common shareholders to FFO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AFFO for the years ended December 31, 2020 and 2019 is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14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60" w:type="dxa"/>
            <w:vAlign w:val="bottom"/>
            <w:tcBorders>
              <w:bottom w:val="single" w:sz="8" w:color="CFF0FC"/>
            </w:tcBorders>
            <w:vMerge w:val="continue"/>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79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1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income</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(718,812)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329,403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 net</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497,128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Income tax (benefit) expense</w:t>
            </w: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(15,203)</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EBITDA</w:t>
            </w:r>
          </w:p>
        </w:tc>
        <w:tc>
          <w:tcPr>
            <w:tcW w:w="14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92,516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811,437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13,721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Transaction related and other costs</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Settlement expense</w:t>
            </w: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 impairment</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40"/>
              <w:spacing w:after="0"/>
              <w:rPr>
                <w:sz w:val="20"/>
                <w:szCs w:val="20"/>
                <w:color w:val="auto"/>
              </w:rPr>
            </w:pPr>
            <w:r>
              <w:rPr>
                <w:rFonts w:ascii="Arial" w:cs="Arial" w:eastAsia="Arial" w:hAnsi="Arial"/>
                <w:sz w:val="18"/>
                <w:szCs w:val="18"/>
                <w:color w:val="auto"/>
              </w:rPr>
              <w:t>Gain on sale of real estate</w:t>
            </w: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(86,267)</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(28,995)</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(income) expense</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(24,219)</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Adjustments for equity in earnings from unconsolidated entities</w:t>
            </w:r>
          </w:p>
        </w:tc>
        <w:tc>
          <w:tcPr>
            <w:tcW w:w="14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14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818,835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812,739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709"/>
        </w:trPr>
        <w:tc>
          <w:tcPr>
            <w:tcW w:w="536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14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360" w:type="dxa"/>
            <w:vAlign w:val="bottom"/>
            <w:tcBorders>
              <w:bottom w:val="single" w:sz="8" w:color="CFF0FC"/>
            </w:tcBorders>
            <w:vMerge w:val="continue"/>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79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1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(707,388)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Real estate depreciation and amortization</w:t>
            </w: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246,713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323,527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sale of real estate, net of tax</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(85,860)</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(24,420)</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Participating securities' share in earnings</w:t>
            </w: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Participating securities' share in FFO</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(1,162)</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w w:val="92"/>
              </w:rPr>
              <w:t>Real estate depreciation and amortization from unconsolidated entities</w:t>
            </w: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(2,622)</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b w:val="1"/>
                <w:bCs w:val="1"/>
                <w:color w:val="auto"/>
              </w:rPr>
              <w:t>FFO attributable to common shareholders</w:t>
            </w:r>
          </w:p>
        </w:tc>
        <w:tc>
          <w:tcPr>
            <w:tcW w:w="1400" w:type="dxa"/>
            <w:vAlign w:val="bottom"/>
          </w:tcPr>
          <w:p>
            <w:pPr>
              <w:spacing w:after="0"/>
              <w:rPr>
                <w:sz w:val="19"/>
                <w:szCs w:val="19"/>
                <w:color w:val="auto"/>
              </w:rPr>
            </w:pPr>
          </w:p>
        </w:tc>
        <w:tc>
          <w:tcPr>
            <w:tcW w:w="480" w:type="dxa"/>
            <w:vAlign w:val="bottom"/>
            <w:tcBorders>
              <w:top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(548,193)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Transaction related and other costs</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(28,463)</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Amortization of deferred financing costs and debt discount</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Write off deferred financing costs and debt discount</w:t>
            </w: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73,952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Non-real estate depreciation and amortization</w:t>
            </w: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82,690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Settlement expense</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Goodwill impairment</w:t>
            </w: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Straight-line revenue</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(6,872)</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Maintenance capital expenditures</w:t>
            </w: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(7,149)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(7,992)</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Amortization of discount on convertible preferred stock</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Cash taxes on tax basis cancellation of debt</w:t>
            </w: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net</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(32,374)</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(34,799)</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Adjustments for equity earnings from unconsolidated entities</w:t>
            </w: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(16,496)</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b w:val="1"/>
                <w:bCs w:val="1"/>
                <w:color w:val="auto"/>
              </w:rPr>
              <w:t>AFFO attributable to common shareholders</w:t>
            </w:r>
          </w:p>
        </w:tc>
        <w:tc>
          <w:tcPr>
            <w:tcW w:w="14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389,510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0" w:type="dxa"/>
            <w:vAlign w:val="bottom"/>
            <w:vMerge w:val="restart"/>
          </w:tcPr>
          <w:p>
            <w:pPr>
              <w:jc w:val="right"/>
              <w:ind w:right="950"/>
              <w:spacing w:after="0"/>
              <w:rPr>
                <w:sz w:val="20"/>
                <w:szCs w:val="20"/>
                <w:color w:val="auto"/>
              </w:rPr>
            </w:pPr>
            <w:r>
              <w:rPr>
                <w:rFonts w:ascii="Arial" w:cs="Arial" w:eastAsia="Arial" w:hAnsi="Arial"/>
                <w:sz w:val="18"/>
                <w:szCs w:val="18"/>
                <w:color w:val="auto"/>
              </w:rPr>
              <w:t>46</w:t>
            </w: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financial statements. The nature of the estimates and assumptions are material due to the levels of subjectivity and judgment necessary to account for highly uncertain factors or the susceptibility of such factors to change. We have identified the following critical accounting estimates, as they are the most important to our financial statement presentation and require difficult, subjective and complex judgments.</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elected on our initial U.S. federal income tax return to be treated as a REIT under the Internal Revenue Code of 1986, as amended (the “Code”). To qualify as a REIT, we must distribute at least 90% of our annual REIT taxable income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we will be subject to U.S. federal income tax, including any applicable alternative minimum tax for open taxable years through 2017,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Subject to the restrictions imposed by our 7.875% senior secured notes due 2025 (as discussed below), our ability to make cash distributions to our shareholders in amounts exceeding 90% of our good faith estimate, as of the date on which the first quarterly dividend for the relevant year is declared, of our REIT taxable income for such year, determined without regard to the dividends paid deduction and excluding any capital gains, until we reduce our net leverage ratio. 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We have elected to treat the subsidiaries through which we operate Uniti Fiber and Talk America, as well as certain portions of Uniti Towers, 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TRSs. TRSs enable us to engage in activities that result in income that does not constitute qualifying income for a REIT. Our TRSs are subject to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federal, state and local corporate income taxes.</w:t>
      </w:r>
    </w:p>
    <w:p>
      <w:pPr>
        <w:spacing w:after="0" w:line="21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Deferred tax assets and liabilities are recognized under the asset and liability method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is subject to restrictions on distributions to its shareholders based on our 7.875% senior secured notes due 2025. The restrictions permit the Company to make the minimum required distribution to maintain its status as a REIT, which is limited to 90% of our REIT taxable income. The restrictions will remain in place until Company’s net leverage ratio (as defined) is below 5.75 : 1.00.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recognize the benefit of tax positions that are "more likely than not" to be sustained upon examination based on their technical merit. The benefit of a tax position is measured at the largest amount that has a greater than 50 percent likelihood of being realized upon ultimate settlement. If applicable, we will report tax-related penalties and interest expense as a component of income tax expense.</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 will be subject to a federal corporate level tax on any gain recognized from the sale of assets occurring within a five year recognition period after the Spin-Off up to the amount of the built in gain that existed on April 24, 2015, which is based on the fair market value of the assets in excess of the Company’s tax basis as of such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Leasing revenues are primarily derived from providing access to or usage of leased networks and facilities. Leasing revenues are recognized on a straight-line basis over the initial lease term. Revenues derived from other telecommunications services, including broadband, long distance and enhanced service revenues are recognized monthly as services are provided. Sales of customer premise equipment are recognized when products are delivered to and accepted by customers.</w:t>
      </w:r>
    </w:p>
    <w:p>
      <w:pPr>
        <w:spacing w:after="0" w:line="187"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Service revenues are primarily derived from providing broadband transport and backhaul communications services and are recognized when (i) persuasive evidence of an arrangement exists, (ii) the services have been provided to the customer, (iii) the sales price is fixed or determinable, and (iv) the collection of the sales price is reasonably assured. Services provided to the Company’s customers are pursuant to contractual fee</w:t>
      </w:r>
      <w:r>
        <w:rPr>
          <w:rFonts w:ascii="MS PGothic" w:cs="MS PGothic" w:eastAsia="MS PGothic" w:hAnsi="MS PGothic"/>
          <w:sz w:val="16"/>
          <w:szCs w:val="16"/>
          <w:color w:val="auto"/>
        </w:rPr>
        <w:t>‑</w:t>
      </w:r>
      <w:r>
        <w:rPr>
          <w:rFonts w:ascii="Arial" w:cs="Arial" w:eastAsia="Arial" w:hAnsi="Arial"/>
          <w:sz w:val="16"/>
          <w:szCs w:val="16"/>
          <w:color w:val="auto"/>
        </w:rPr>
        <w:t>based arrangements, which generally provide for recurring fees charged for the use of designated portions of the Company’s network and typically range for a period of three to ten years. The Company’s revenue arrangements often include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Property, Plant and Equipment</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continually monitor events and changes in circumstances that could indicate that the carrying amount of our property, plant and equipment may not be recoverable or realized. When indicators of potential impairment suggest that the carrying value may not be recoverable, we assess the recoverability by estimating whether we will recover the carrying value of those assets through its undiscounted future cash flows and the eventual disposition of the asset. If, based on this analysis, we do not believe that we will be able to recover the carrying value of our property, plant and equipment, we would record an impairment loss to the extent that the carrying value exceeds the estimated fair value of the related assets. During the years ended December 31, 2020 and 2019, no impairment losses were recognized.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 and Asset Acquisitions</w:t>
      </w:r>
    </w:p>
    <w:p>
      <w:pPr>
        <w:spacing w:after="0" w:line="225"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We apply the acquisition method of accounting for acquisitions meeting the definition of a business combination or asset acquisition, where assets acquired and liabilities assumed are recorded at fair value at the date of each acquisition, and the results of operations are included with those of the Company from the dates of the respective acquisitions. The fair value of the acquired assets and liabilities are estimated using the income, market and/or cost</w:t>
      </w:r>
    </w:p>
    <w:p>
      <w:pPr>
        <w:spacing w:after="0" w:line="2"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approach. The income approach utilizes the present value of estimated future cash flows that a business or asset can be expected to generate, while under the market approach, the fair value of an asset or business reflects the price at which comparable assets are purchased under similar</w:t>
      </w:r>
    </w:p>
    <w:p>
      <w:pPr>
        <w:ind w:right="220"/>
        <w:spacing w:after="0" w:line="253" w:lineRule="auto"/>
        <w:rPr>
          <w:sz w:val="20"/>
          <w:szCs w:val="20"/>
          <w:color w:val="auto"/>
        </w:rPr>
      </w:pPr>
      <w:r>
        <w:rPr>
          <w:rFonts w:ascii="Arial" w:cs="Arial" w:eastAsia="Arial" w:hAnsi="Arial"/>
          <w:sz w:val="18"/>
          <w:szCs w:val="18"/>
          <w:color w:val="auto"/>
        </w:rPr>
        <w:t>circumstances. Inherent in our preparation of cash flow projections are significant assumptions and estimates derived from a review of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cash flow projections, and therefore could affect the estimated fair value. Impact these assumptions or estimates include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customer retention, execution of our business plans, which impact growth, cost escalation impacting margin, the level of capital expenditures required to sustain our growth and market factors, including stock price fluctuations and increased rates, impacting our cost of capital.</w:t>
      </w:r>
    </w:p>
    <w:p>
      <w:pPr>
        <w:spacing w:after="0" w:line="1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For acquisitions meeting the definition of a business combination, any excess of the purchase price paid by the Company over the amounts recognized for assets acquired and liabilities assumed is recorded as goodwill.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also requires acquirers to, among other things, estimate the acquisition date fair value of any contingent consideration and recognize any subsequent changes in the fair value of contingent consideration in earnings. When provisional amounts are initially recorded,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For acquisitions meeting the definition of an asset acquisition, the fair value of the consideration transferred, including transaction costs, is allocated to the assets acquired and liabilities assumed based on their relative fair values. There are significant judgments and estimates used in determining the fair values of the assets acquired and liabilities assumed, which include assumptions with respect to items such as replacement cost, land value, assemblage factor, discount rate, lease-up period, implied rents per strand mile, and useful life. No goodwill is recognized in an asset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Windstream Settlement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Windstream Settlement Agreement</w:t>
      </w:r>
      <w:r>
        <w:rPr>
          <w:rFonts w:ascii="Arial" w:cs="Arial" w:eastAsia="Arial" w:hAnsi="Arial"/>
          <w:sz w:val="17"/>
          <w:szCs w:val="17"/>
          <w:color w:val="auto"/>
        </w:rPr>
        <w:t>–Pursuant to the Settlement Agreement (see “Significant Business Developments”), Uniti is required to make quarterly cash payments of $24.5 million to Windstream for 20 consecutive quarters beginning the first month after Windstream’s emergence. Uniti may prepay any installments falling due on or after the first anniversary of the Settlement’s effective date (discounted at a 9% rate). This obligation has been recorded at its initial fair value of $438.6 million and is reported as settlement payable on our Consolidated Balance Sheet at December 31, 2020. In determining the initial fair value, the Company performed a yield analysis for use in selecting the rate at which the obligation should be discounted. The yield analysis was performed using the notching and recovery rate methods and were impacted by assumptions with regard to the duration and secured nature of the obligation and estimates with respect to the Company’s credit ratings. The difference between the initial fair value of the obligation and total undiscounted cash payments, $490.1 million, will be recognized as interest expense within our Consolidated Statements of (Loss) Income at an effective rate of 4.7%, over 20 quarters beginning October 1, 2020.</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Settlement Agreement resolves any and all claims and causes of action that have been or may be asserted in the future by Uniti and Windstream regarding the Spin-off of Uniti and related sale-leaseback transaction, including all litigation brought against Uniti by Windstream and certain of its creditors during Windstream’s bankruptcy proceedings. The release from claims applies to any Windstream successor and is binding going forward, including in any future Windstream bankruptcy. The Company evaluated whether the release of claims is a distinct identifiable benefit, which should be recognized separate from the other elements of the Settlement, concluding that the release of claims was a distinct benefit. We estimated the fair value of the litigation settlement by analyzing the probability-weighted expected values derived from an estimate of various potential economic impacts on Uniti in relation to the different possible paths the litigation may have taken had it gone to trial. We analyzed scenarios that could have occurred if a settlement was not reached; the probability weighted financial damages of a hypothetical trial indicate the amount a party would be willing to pay to avoid a trial.</w:t>
      </w:r>
    </w:p>
    <w:p>
      <w:pPr>
        <w:spacing w:after="0" w:line="16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u w:val="single" w:color="auto"/>
          <w:color w:val="auto"/>
        </w:rPr>
        <w:t>Fair Value of Windstream Leases</w:t>
      </w:r>
      <w:r>
        <w:rPr>
          <w:rFonts w:ascii="Arial" w:cs="Arial" w:eastAsia="Arial" w:hAnsi="Arial"/>
          <w:sz w:val="17"/>
          <w:szCs w:val="17"/>
          <w:color w:val="auto"/>
        </w:rPr>
        <w:t xml:space="preserve">–In connection with Windstream’s emergence from bankruptcy and the implementation of the Settlement with Windstream, Uniti and Windstream entered into the Windstream Leases. The Company evaluated the classification of the Windstream Leases in accordance with the ASC 842, </w:t>
      </w:r>
      <w:r>
        <w:rPr>
          <w:rFonts w:ascii="Arial" w:cs="Arial" w:eastAsia="Arial" w:hAnsi="Arial"/>
          <w:sz w:val="17"/>
          <w:szCs w:val="17"/>
          <w:i w:val="1"/>
          <w:iCs w:val="1"/>
          <w:color w:val="auto"/>
        </w:rPr>
        <w:t>Leases</w:t>
      </w:r>
      <w:r>
        <w:rPr>
          <w:rFonts w:ascii="Arial" w:cs="Arial" w:eastAsia="Arial" w:hAnsi="Arial"/>
          <w:sz w:val="17"/>
          <w:szCs w:val="17"/>
          <w:color w:val="auto"/>
        </w:rPr>
        <w:t>, concluding that the Windstream Leases are operating leases. Furthermore, the Company concluded the Windstream Leases reflect fair market rental rates and terms. In reaching these conclusions, the Company estimated that fair value of the leased assets using the cost approach, and determined the rents under the Windstream Leases are fair market rents. The Company calculated the implied lease rate in the Windstream Leases, concluding that the lease rates represent fair market lease rates when compared to benchmark rates.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u w:val="single" w:color="auto"/>
          <w:color w:val="auto"/>
        </w:rPr>
        <w:t>Windstream Asset Purchase Agreement</w:t>
      </w:r>
      <w:r>
        <w:rPr>
          <w:rFonts w:ascii="Arial" w:cs="Arial" w:eastAsia="Arial" w:hAnsi="Arial"/>
          <w:sz w:val="16"/>
          <w:szCs w:val="16"/>
          <w:color w:val="auto"/>
        </w:rPr>
        <w:t>–We apply the acquisition method of accounting for acquisitions meeting the definition of a business combination or asset acquisition, where assets acquired and liabilities assumed are recorded at fair value at the date of each acquisition, and the results of operations are included with those of the Company from the dates of the respective acquisitions. The Asset Purchase Agreement (see “Significant Business Developments”) meets the definition of an asset acquisition under ASC 805, where the fair value of the consideration transferred, including transaction costs, is allocated to the assets acquired and liabilities assumed based on their relative fair values. No goodwill is recognized in an asset acquisition.</w:t>
      </w:r>
    </w:p>
    <w:p>
      <w:pPr>
        <w:spacing w:after="0" w:line="16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fair value of the acquired assets and liabilities have been estimated using a combination of the income and cost approach. The income approach utilizes the present value of future cash flows that the assets can be expected to generate, while under the cost approach, the fair value of the assets reflects the cost to acquire or construct a substitute asset of comparable utility in its current condition. Inherent in our preparation of cash flow projections are significant assumptions and estimates derived from a review of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cash flow projections, and therefore could affect the estimated fair value. Impacting these assumptions or estimates include customer retention, execution of our business plans, which impact growth, cost escalation impacting margin, the level of capital expenditures required to sustain our growth and market factors, including stock price fluctuations and increased rates, impacting our cost of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December 31, 2020 and 2019, all of our goodwill is included in our Fiber Infrastructure segment. Goodwill is recognized for the excess of purchase price over the fair value of net assets of businesses acquired. Goodwill is reviewed for impairment at least annually. In accordance with ASC 350-20, Intangibles-Goodwill and Other, we evaluate goodwill for impairment between annual impairment tests if an event occurs or circumstances change that would more likely than not reduce the fair value of a reporting unit below its carrying amount. Unless circumstances otherwise dictate, the annual impairment test is performed in the fourth quarter. Application of the goodwill impairment test requires significant judgment, including: the identification of reporting units; assignment of assets and liabilities to reporting units; and assignment of goodwill to reporting units. As a result of our 2019 annual goodwill impairment test, we concluded the implied fair value of our Fiber Infrastructure reporting unit was in excess of its carrying value by less than 2%.</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estimate the fair value of our reporting units (which are our segments) using a combination of an income approach based on the present value of estimated future cash flows and a market approach based on market data of comparable businesses and acquisition multiples paid in recent transactions. We evaluate the appropriateness of each valuation methodology in determining the weighting applied to each methodology in the determination of the concluded fair value. If the carrying value of a reporting unit's net assets is less than its fair value, no indication of impairment exists. If the carrying amount of the reporting unit is greater than the fair value of the reporting unit, an impairment loss must be recognized for the excess and recorded in the Consolidated Statements of Income not to exceed the carrying value of goodwill.</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performed our goodwill impairment analysis during the fourth quarter of 2020. As a result of increased capital expenditure investments in dark fiber and small cell projects and less than anticipated cash flow growth, we concluded that it was more likely than not that the fair value of the Fiber Infrastructure reporting unit, estimated using a combination of the income approach and market approach, is less that its carrying amount. Accordingly, we recorded a $71 million goodwill impairment in the Fiber Infrastructure reporting unit. During the years ended December 31, 2019 and 2018, no impairment losses were recognized.</w:t>
      </w:r>
    </w:p>
    <w:p>
      <w:pPr>
        <w:spacing w:after="0" w:line="18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Inherent in our preparation of cash flow projections are significant assumptions and estimates derived from a review of our operating results and business plans, which includes expected revenue and expense growth rates, capital expenditure plans and cost of capital. In determining these assumptions, we consider our ability to execute on our plans, future economic conditions, interest rates and other market data. Many of the factors used in assessing fair value are outside the control of management, and these assumptions and estimates may change in future periods. Small changes in these assumptions or estimates could materially affect our cash flow projections, and therefore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could affect the likelihood and amount of potential impairment in future periods. Potential events that could negatively impact these assumptions or estimates may include customer losses or poor execution of our business plans, which impact revenue growth, cost escalation impacting margin, the level of capital expenditures required to sustain our growth and market factors, including stock price fluctuations and increased rates, impacting our cost of capital. For example, if we were to experience a significant delay in our permitting process in the construction of our fiber networks, the timing of effected cash flows could impact long term growth rates and negatively impact the income approach, leading to potential impairment. As a result, should our expectations of average projected revenue growth percentage, average projected EBITDA margin percentage and/or average projected capital expenditures as a percentage of revenue change, we may experience future impairment to goodwill (while other assumptions remain constant). Furthermore, a deterioration in market factors such as stock prices or increased interest rates, and/or declines in acquisition multiples utilized in the market approach could affect the likelihood and amount of potential impairment.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Our principal liquidity needs are to fund operating expenses, meet debt service obligations, fund investment activities, including capital expenditures, and make dividend distributions. Furthermore, following consummation of our Settlement with Windstream, including entry into the Windstream Leases, we are obligated to make $490.1 million in cash payments to Windstream in equal installments over 20 consecutive quarters beginning the first month after Windstream’s emergence in accordance with the terms of the Settlement Agreement, and we have committed to reimburse Windstream for up to an aggregate of $1.75 billion for Growth Capital Improvements in long-term fiber and related assets made by Windstream through 2029.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are limited to $125 million in 2020; $225 million per year in 2021 through 2024; $175 million per year in 2025 and 2026; and $125 million per year in 2027 through 2029.</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primary sources of liquidity and capital resources are cash on hand, cash provided by operating activities (primarily from Windstream), available borrowings under our credit agreement by and among the Operating Partnership, CSL Capital, LLC and Uniti Group Finance 2019 Inc., the guarantors and lenders party thereto and Bank of America, N.A., as administrative agent and collateral agent (the “Credit Agreement”), and proceeds from the issuance of debt and equity securities.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December 31, 2020, we had cash and cash equivalents of $77.5 million and approximately $450.0 million of borrowing availability under our Revolving Credit Facility. Subsequent to December 31, 2020, other than the issuance of the 2029 Notes and repayment of a substantial portion of the 2023 Notes as described below, there have been no material outlays of funds outside of our scheduled interest and dividend payments. Availability under our Revolving Credit Facility is subject to various conditions, including a maximum secured leverage ratio of 5.0:1. In addition, if we incur debt under our Revolving Credit Facility or otherwise such that our total leverage ratio exceeds 6.5:1, our debt instruments would impose restrictions on our ability to pay dividends.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60" w:type="dxa"/>
            <w:vAlign w:val="bottom"/>
            <w:gridSpan w:val="5"/>
          </w:tcPr>
          <w:p>
            <w:pPr>
              <w:ind w:left="42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76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r>
      <w:tr>
        <w:trPr>
          <w:trHeight w:val="223"/>
        </w:trPr>
        <w:tc>
          <w:tcPr>
            <w:tcW w:w="7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157,233</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616,982</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Cash provided by operating activities totaled $157.2 million and $617.0 million for the years ended December 31, 2020 and 2019, respectively. Cash provided by operating activities is primarily attributable to our leasing activities, substantial portion of which is derived from the Windstream Leases.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7680" w:type="dxa"/>
            <w:vAlign w:val="bottom"/>
            <w:gridSpan w:val="2"/>
          </w:tcPr>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tc>
        <w:tc>
          <w:tcPr>
            <w:tcW w:w="300" w:type="dxa"/>
            <w:vAlign w:val="bottom"/>
          </w:tcPr>
          <w:p>
            <w:pPr>
              <w:spacing w:after="0"/>
              <w:rPr>
                <w:sz w:val="20"/>
                <w:szCs w:val="20"/>
                <w:color w:val="auto"/>
              </w:rPr>
            </w:pPr>
          </w:p>
        </w:tc>
        <w:tc>
          <w:tcPr>
            <w:tcW w:w="3260" w:type="dxa"/>
            <w:vAlign w:val="bottom"/>
            <w:gridSpan w:val="6"/>
            <w:vMerge w:val="restart"/>
          </w:tcPr>
          <w:p>
            <w:pPr>
              <w:jc w:val="right"/>
              <w:ind w:right="8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9"/>
        </w:trPr>
        <w:tc>
          <w:tcPr>
            <w:tcW w:w="7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ind w:left="260"/>
              <w:spacing w:after="0"/>
              <w:rPr>
                <w:sz w:val="20"/>
                <w:szCs w:val="20"/>
                <w:color w:val="auto"/>
              </w:rPr>
            </w:pPr>
            <w:r>
              <w:rPr>
                <w:rFonts w:ascii="Arial" w:cs="Arial" w:eastAsia="Arial" w:hAnsi="Arial"/>
                <w:sz w:val="16"/>
                <w:szCs w:val="16"/>
                <w:color w:val="auto"/>
              </w:rPr>
              <w:t>Acquisition of businesses, net of cash acquired</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(10,312)</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Bluebird asset acquisition</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(320,818)</w:t>
            </w:r>
          </w:p>
        </w:tc>
        <w:tc>
          <w:tcPr>
            <w:tcW w:w="0" w:type="dxa"/>
            <w:vAlign w:val="bottom"/>
          </w:tcPr>
          <w:p>
            <w:pPr>
              <w:spacing w:after="0"/>
              <w:rPr>
                <w:sz w:val="1"/>
                <w:szCs w:val="1"/>
                <w:color w:val="auto"/>
              </w:rPr>
            </w:pPr>
          </w:p>
        </w:tc>
      </w:tr>
      <w:tr>
        <w:trPr>
          <w:trHeight w:val="230"/>
        </w:trPr>
        <w:tc>
          <w:tcPr>
            <w:tcW w:w="7680" w:type="dxa"/>
            <w:vAlign w:val="bottom"/>
            <w:gridSpan w:val="2"/>
          </w:tcPr>
          <w:p>
            <w:pPr>
              <w:ind w:left="260"/>
              <w:spacing w:after="0"/>
              <w:rPr>
                <w:sz w:val="20"/>
                <w:szCs w:val="20"/>
                <w:color w:val="auto"/>
              </w:rPr>
            </w:pPr>
            <w:r>
              <w:rPr>
                <w:rFonts w:ascii="Arial" w:cs="Arial" w:eastAsia="Arial" w:hAnsi="Arial"/>
                <w:sz w:val="16"/>
                <w:szCs w:val="16"/>
                <w:color w:val="auto"/>
              </w:rPr>
              <w:t>Proceeds from sale of Uniti Fiber Midwest operations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Windstream asset acquisition</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(73,407)</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Other capital expenditures</w:t>
            </w:r>
          </w:p>
        </w:tc>
        <w:tc>
          <w:tcPr>
            <w:tcW w:w="3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(317,084)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(350,480)</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Proceeds from sale of real estate, net of cash</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391,885</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gridSpan w:val="2"/>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(544,781)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investing activities for the year ended December 31, 2020 was $1.4 million, which was driven by proceeds from the sale of our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tower business ($225.1 million), proceeds from the sale of our Midwest fiber network ($166.9 million), partially offset by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($317.1 million), which primarily related to our Uniti Fiber and Uniti Leasing businesses for the deployment of network assets but also includes $84.7</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million of Growth Capital Improvements, and expenditures of $73.4 million in connection with the Asset Purchase Agreement. Cash used in investing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activities was $544.8 million for the year ended December 31, 2019, which was driven by capital expenditures ($350.5 million) and the acquisition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Bluebird fiber network assets ($320.8 million), partially offset by proceeds related to the sale of Uniti Towers’ Latin American and ground lease businesses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sale of Uniti Fiber’s Midwest operations ($136.8 million).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76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r>
      <w:tr>
        <w:trPr>
          <w:trHeight w:val="223"/>
        </w:trPr>
        <w:tc>
          <w:tcPr>
            <w:tcW w:w="7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Repayment of senior secured term loan B</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(2,044,728)</w:t>
            </w: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Principal payments on debt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(21,080)</w:t>
            </w:r>
          </w:p>
        </w:tc>
      </w:tr>
      <w:tr>
        <w:trPr>
          <w:trHeight w:val="229"/>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(135,676)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(138,731)</w:t>
            </w: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Payments of contingent consideration</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(15,713)</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(32,253)</w:t>
            </w:r>
          </w:p>
        </w:tc>
      </w:tr>
      <w:tr>
        <w:trPr>
          <w:trHeight w:val="229"/>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Distributions paid to noncontrolling interests</w:t>
            </w:r>
          </w:p>
        </w:tc>
        <w:tc>
          <w:tcPr>
            <w:tcW w:w="3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(2,322)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(3,046)</w:t>
            </w: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Borrowings under revolving credit facility</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139,000</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Payments under revolving credit facility</w:t>
            </w:r>
          </w:p>
        </w:tc>
        <w:tc>
          <w:tcPr>
            <w:tcW w:w="3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(635,019)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(203,981)</w:t>
            </w: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Finance lease payments</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(3,702)</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(4,257)</w:t>
            </w:r>
          </w:p>
        </w:tc>
      </w:tr>
      <w:tr>
        <w:trPr>
          <w:trHeight w:val="229"/>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Payments for financing costs</w:t>
            </w:r>
          </w:p>
        </w:tc>
        <w:tc>
          <w:tcPr>
            <w:tcW w:w="3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(50,875)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(49,497)</w:t>
            </w: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Settlement Common Stock</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244,550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Common stock issuance, net of costs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21,641</w:t>
            </w:r>
          </w:p>
        </w:tc>
        <w:tc>
          <w:tcPr>
            <w:tcW w:w="120" w:type="dxa"/>
            <w:vAlign w:val="bottom"/>
          </w:tcPr>
          <w:p>
            <w:pPr>
              <w:spacing w:after="0"/>
              <w:rPr>
                <w:sz w:val="19"/>
                <w:szCs w:val="19"/>
                <w:color w:val="auto"/>
              </w:rPr>
            </w:pP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Proceeds from issuance of notes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2,250,000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345,000</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Proceeds from sale of warrants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50,819</w:t>
            </w:r>
          </w:p>
        </w:tc>
        <w:tc>
          <w:tcPr>
            <w:tcW w:w="120" w:type="dxa"/>
            <w:vAlign w:val="bottom"/>
          </w:tcPr>
          <w:p>
            <w:pPr>
              <w:spacing w:after="0"/>
              <w:rPr>
                <w:sz w:val="19"/>
                <w:szCs w:val="19"/>
                <w:color w:val="auto"/>
              </w:rPr>
            </w:pP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Payment for bond hedge option</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(70,035)</w:t>
            </w:r>
          </w:p>
        </w:tc>
      </w:tr>
      <w:tr>
        <w:trPr>
          <w:trHeight w:val="230"/>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Employee stock purchase program</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9"/>
                <w:szCs w:val="19"/>
                <w:color w:val="auto"/>
              </w:rPr>
            </w:pP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share settlement</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(1,097)</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(1,834)</w:t>
            </w:r>
          </w:p>
        </w:tc>
      </w:tr>
      <w:tr>
        <w:trPr>
          <w:trHeight w:val="223"/>
        </w:trPr>
        <w:tc>
          <w:tcPr>
            <w:tcW w:w="7680" w:type="dxa"/>
            <w:vAlign w:val="bottom"/>
            <w:gridSpan w:val="2"/>
          </w:tcPr>
          <w:p>
            <w:pPr>
              <w:ind w:left="38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(223,906)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32,629</w:t>
            </w:r>
          </w:p>
        </w:tc>
        <w:tc>
          <w:tcPr>
            <w:tcW w:w="12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Cash used in financing activities was $223.9 million for the year ended December 31, 2020, which was </w:t>
      </w:r>
      <w:r>
        <w:rPr>
          <w:rFonts w:ascii="Arial" w:cs="Arial" w:eastAsia="Arial" w:hAnsi="Arial"/>
          <w:sz w:val="17"/>
          <w:szCs w:val="17"/>
          <w:color w:val="212529"/>
        </w:rPr>
        <w:t>primarily driven by the repayment of senior secured</w:t>
      </w:r>
      <w:r>
        <w:rPr>
          <w:rFonts w:ascii="Arial" w:cs="Arial" w:eastAsia="Arial" w:hAnsi="Arial"/>
          <w:sz w:val="17"/>
          <w:szCs w:val="17"/>
          <w:color w:val="auto"/>
        </w:rPr>
        <w:t xml:space="preserve"> </w:t>
      </w:r>
      <w:r>
        <w:rPr>
          <w:rFonts w:ascii="Arial" w:cs="Arial" w:eastAsia="Arial" w:hAnsi="Arial"/>
          <w:sz w:val="17"/>
          <w:szCs w:val="17"/>
          <w:color w:val="212529"/>
        </w:rPr>
        <w:t>term loan B ($2.04 billion), net payments under the Revolving Credit Facility (</w:t>
      </w:r>
      <w:r>
        <w:rPr>
          <w:rFonts w:ascii="Arial" w:cs="Arial" w:eastAsia="Arial" w:hAnsi="Arial"/>
          <w:sz w:val="17"/>
          <w:szCs w:val="17"/>
          <w:color w:val="000000"/>
        </w:rPr>
        <w:t>$465.0 million</w:t>
      </w:r>
      <w:r>
        <w:rPr>
          <w:rFonts w:ascii="Arial" w:cs="Arial" w:eastAsia="Arial" w:hAnsi="Arial"/>
          <w:sz w:val="17"/>
          <w:szCs w:val="17"/>
          <w:color w:val="212529"/>
        </w:rPr>
        <w:t>), dividend payments (</w:t>
      </w:r>
      <w:r>
        <w:rPr>
          <w:rFonts w:ascii="Arial" w:cs="Arial" w:eastAsia="Arial" w:hAnsi="Arial"/>
          <w:sz w:val="17"/>
          <w:szCs w:val="17"/>
          <w:color w:val="000000"/>
        </w:rPr>
        <w:t>$135.7 million</w:t>
      </w:r>
      <w:r>
        <w:rPr>
          <w:rFonts w:ascii="Arial" w:cs="Arial" w:eastAsia="Arial" w:hAnsi="Arial"/>
          <w:sz w:val="17"/>
          <w:szCs w:val="17"/>
          <w:color w:val="212529"/>
        </w:rPr>
        <w:t>) and payments for financing costs ($</w:t>
      </w:r>
      <w:r>
        <w:rPr>
          <w:rFonts w:ascii="Arial" w:cs="Arial" w:eastAsia="Arial" w:hAnsi="Arial"/>
          <w:sz w:val="17"/>
          <w:szCs w:val="17"/>
          <w:color w:val="000000"/>
        </w:rPr>
        <w:t>50.9</w:t>
      </w:r>
      <w:r>
        <w:rPr>
          <w:rFonts w:ascii="Arial" w:cs="Arial" w:eastAsia="Arial" w:hAnsi="Arial"/>
          <w:sz w:val="17"/>
          <w:szCs w:val="17"/>
          <w:color w:val="212529"/>
        </w:rPr>
        <w:t xml:space="preserve"> million), contingent consideration payments (</w:t>
      </w:r>
      <w:r>
        <w:rPr>
          <w:rFonts w:ascii="Arial" w:cs="Arial" w:eastAsia="Arial" w:hAnsi="Arial"/>
          <w:sz w:val="17"/>
          <w:szCs w:val="17"/>
          <w:color w:val="000000"/>
        </w:rPr>
        <w:t>$15.7 million</w:t>
      </w:r>
      <w:r>
        <w:rPr>
          <w:rFonts w:ascii="Arial" w:cs="Arial" w:eastAsia="Arial" w:hAnsi="Arial"/>
          <w:sz w:val="17"/>
          <w:szCs w:val="17"/>
          <w:color w:val="212529"/>
        </w:rPr>
        <w:t>)</w:t>
      </w:r>
      <w:r>
        <w:rPr>
          <w:rFonts w:ascii="Arial" w:cs="Arial" w:eastAsia="Arial" w:hAnsi="Arial"/>
          <w:sz w:val="17"/>
          <w:szCs w:val="17"/>
          <w:color w:val="000000"/>
        </w:rPr>
        <w:t>, partially offset by</w:t>
      </w:r>
      <w:r>
        <w:rPr>
          <w:rFonts w:ascii="Arial" w:cs="Arial" w:eastAsia="Arial" w:hAnsi="Arial"/>
          <w:sz w:val="17"/>
          <w:szCs w:val="17"/>
          <w:color w:val="212529"/>
        </w:rPr>
        <w:t xml:space="preserve"> the proceeds from the issuance of the 2025 Secured Notes ($2.25 billion) and the issuance of the Settlement Common Stock ($244.6 million)</w:t>
      </w:r>
      <w:r>
        <w:rPr>
          <w:rFonts w:ascii="Arial" w:cs="Arial" w:eastAsia="Arial" w:hAnsi="Arial"/>
          <w:sz w:val="17"/>
          <w:szCs w:val="17"/>
          <w:color w:val="000000"/>
        </w:rPr>
        <w:t>. Cash provided by financing activities was $32.6 million for the</w:t>
      </w:r>
      <w:r>
        <w:rPr>
          <w:rFonts w:ascii="Arial" w:cs="Arial" w:eastAsia="Arial" w:hAnsi="Arial"/>
          <w:sz w:val="17"/>
          <w:szCs w:val="17"/>
          <w:color w:val="212529"/>
        </w:rPr>
        <w:t xml:space="preserve"> </w:t>
      </w:r>
      <w:r>
        <w:rPr>
          <w:rFonts w:ascii="Arial" w:cs="Arial" w:eastAsia="Arial" w:hAnsi="Arial"/>
          <w:sz w:val="17"/>
          <w:szCs w:val="17"/>
          <w:color w:val="000000"/>
        </w:rPr>
        <w:t>year ended December 31, 2019, which primarily represents the proceeds from issuance of notes ($345.0 million), proceeds from sale of the Warrants ($50.8 million) and net proceeds under our ATM Program ($21.6 million). This was mostly offset by dividend payments ($138.7 million), payment for bond hedge option ($70.0 million), net repayments under the Revolving Credit Facility ($65.0 million), payments for financing costs ($49.5 million), contingent consideration payments ($32.3 million), principal payments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related to the senior secured term loan ($21.1 million) and distributions paid to noncontrolling interests ($3.0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Windstream Master Lease and Windstream Leases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described in “Overview—Significant Business Developments—Windstream Leases” of this Part II, Item 7 above, on September 18, 2020, in connection with Windstream’s emergence from bankruptcy and the implementation of the Settlement, Uniti and Windstream bifurcated the Master Lease and entered into the Windstream Leases that each expire on April 30, 2030. The aggregate initial annual rent under the Windstream Leases is equal to the annual rent under the Master Lease previously in effect.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Pursuant to the Windstream Leases, Windstream (or any successor tenant under a Windstream Lease) has the right to cause Uniti to reimburse up to an aggregate $1.75 billion for certain growth capital improvements in long-term fiber and related assets made by Windstream (or the applicable tenant under the Windstream Lease) to certain ILEC and CLEC properties (the “Growth Capital Improvements”).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are limited to $125 million in 2020; $225 million per year in 2021 through 2024; $175 million per year in 2025 and 2026; and $125 million per year in 2027 through 2029.</w:t>
      </w:r>
    </w:p>
    <w:p>
      <w:pPr>
        <w:spacing w:after="0" w:line="19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6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Uniti and Windstream have entered into separate ILEC and CLEC Equipment Loan and Security Agreements (collectively “Equipment Loan Agreement”) in which Unit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Uniti’s combined total obligation to fund Growth Capital Improvements may exceed $250 million to the extent of any unfunded excess amounts from calendar year 2020.</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At-the-Market Common Stock Offering Program</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an effective shelf registration statement on file with the SEC (the “Registration Statement”) to offer and sell various securities from time to time. Under the registration statement, we have established the ATM Program to sell shares of common stock having an aggregate offering price of up to $250 million. The ATM Program supersedes and replaces the $250 million program we commenced on September 2, 2016, which had approximately $117.1 million available for issuance upon termination. During the year ended December 31, 2020, we did not make any sales under the refreshed ATM Program. This program is intended to provide additional financial flexibility and an alternative mechanism to access the capital markets at an efficient cost as and when we need financing, including for acquisitions.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UPREIT Operating Partnership Units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2017, the Company completed its reorganization (the “up-REIT Reorganization”) to operate through a customary “up-REIT” structure. Under this structure, the Operating Partnership now holds substantially all of the Company’s assets and is the direct or indirect parent company of, among others, CSL Capital, LLC, Uniti Group Finance 2019 Inc. and Uniti Fiber Holdings Inc.</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UPREIT structure, enables us to acquire properties by issuing to sellers, as a form of consideration, limited partnership interests in our operating partnership, (commonly called “OP Units”). The limited partner equity interests in the Operating Partnership are exchangeable on a one-for-one basis for shares of our common stock or, at our election, cash of equivalent value.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 We issued limited partnership interests as part of the acquisition consideration for the 2017 acquisitions of Hunt Telecommunications, LLC and Southern Light, LLC.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Notes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December 31, 2020, the Operating Partnership and certain of its subsidiaries had outstanding $550.0 million aggregate principal amount of 6.00% Senior Secured Notes due April 15, 2023 (the “2023 Secured Notes”), $2.25 billion aggregate principal amount of 7.875% Senior Secured Notes due February 15, 2025 (the “2025 Secured Notes” and, together with the 2023 Secured Notes, the “Secured Notes”), $1.11 billion aggregate principal amount of 8.25% Senior Notes due October 15, 2023 (the “2023 Notes”) and $600 million aggregate principal amount of 7.125% Senior Unsecured Notes due December 15, 2024 (the “2024 Notes”).</w:t>
      </w:r>
    </w:p>
    <w:p>
      <w:pPr>
        <w:spacing w:after="0" w:line="18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2025 Secured Notes presently limit our ability to our ability to make cash distributions to our shareholders in amounts exceeding 90% of our REIT taxable income, determined without regard to the dividends paid deduction and excluding any capital gains. See “—Dividends” below for additional information.</w:t>
      </w:r>
    </w:p>
    <w:p>
      <w:pPr>
        <w:spacing w:after="0" w:line="18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On February 2, 2021, the Operating Partnership and certain of its subsidiaries issued $1.11 billion aggregate principal amount of 6.50% Senior Notes due 2029. The net proceeds from the offering were used to fund the tender offer of substantially all outstanding 2023 Notes, of which $58.8 million remain outstanding. On February 16, 2021, we issued a notice of redemption to redeem all remaining principal amount of the 2023 Notes on April 15, 2021.</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up-REIT Reorganization, the Operating Partnership replaced the Company and assumed its obligations as an obligor under the 2023 Secured Notes, 2023 Notes and the 2024 Notes and Facilities. The Company subsequently became a guarantor of these series of notes and under the Credit Agreement. The Company also guarantees the Exchangeable Notes and the 2025 Secured Notes. Separate financial statements of the Operating Partnership have not been included since the Operating Partnership is not a registrant.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Exchangeable Notes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June 28, 2019, Uniti Fiber issued $345 million aggregate principal amount of 4.00% Exchangeable Senior Notes due June 15, 2024. The Exchangeable Notes bear interest at a fixed rate of 4.00% per year, payable semiannually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arrears on June 15 and December 15 of each year, beginning on December 15, 2019. The Exchangeable Notes are exchangeable into cash, shares of the Company’s common stock, or a combination thereof, at Uniti Fiber’s election.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Uniti Group LP, Uniti Group Finance 2019 Inc. and CSL Capital, LLC (the “Borrowers”) are party to the Credit Agreement, which as of December 31, 2020, provided for a $60.5 million non-extended revolving credit facility that matures on April 24, 2022 (the “Non-Extended Revolving Credit Facility”) and a $500 million revolving credit facility extended that, upon receipt of routine regulatory approvals, will mature on December 10, 2024 (the “Extended Revolving Credit Facility” and together with Non-Extended Revolving Credit facility, the “Revolving Credit Facility”), which provide us with the ability to obtain revolving loans as well as swingline loans and letters of credit from time to time. All obligations under the Credit Agreement are guaranteed by (i) the Company and (ii) certain of the Operating Partnership’s subsidiaries (the “Subsidiary Guarantors”) and are secured by substantially all of the assets of the Borrowers and the Subsidiary Guarantors.</w:t>
      </w:r>
    </w:p>
    <w:p>
      <w:pPr>
        <w:spacing w:after="0" w:line="1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Credit Agreement previously provided for a term loan facility, of which all $2.05 billion of outstanding loans was repaid in full in connection with the issuance of the 2025 Secured Notes in February 2020.</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December 31, 2020, the Borrowers were in compliance with all of the covenants under the Credit Agreement.</w:t>
      </w:r>
    </w:p>
    <w:p>
      <w:pPr>
        <w:spacing w:after="0" w:line="16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Borrowings under (a) the Non-Extended Revolving Credit Facility bear interest at a rate equal to either a base rate plus an applicable margin ranging from 3.75% to 4.25% or a eurodollar rate plus an applicable margin ranging from 4.75% to 5.25% and (b) the Extended Revolving Credit Facility, upon receipt of routine regulatory approvals, will bear interest at a rate equal to either a base rate plus an applicable margin ranging from 2.75% to 3.50% or a eurodollar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eurodollar borrowings and (B) the average amount available to be drawn under outstanding letters of credit during such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party to interest rate swap agreements that we entered into to mitigate interest rate risk associated with our now repaid variable rate term loan facility under the Credit Agreement. These interest rate swaps are designated as cash flow hedges and have a notional value of $2.02 billion and mature on October 24, 2022. The weighted average fixed rate paid is 2.105%, and the variable rate received resets monthly to the one-month LIBOR subject to a minimum rate of 1.0%.</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result of the repayment of the term loan facility in February of 2020 (discussed above), the Company entered into receive-fixed interest rate swaps (the “Replacement Swaps”) to offset its existing pay-fixed interest rate swaps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“Existing Swaps”) that were designated as cash flow hedges of interest payments initially associated with the term loan facility. On February 10, 2020, the Company discontinued hedge accounting on its Existing Swaps as the hedge accounting requirements were no longer met. Amounts in accumulated other comprehensive (loss) income associated with the Existing Swaps as of the date of dedesignation, will be reclassified to interest expense as the hedged interest payments impact earnings. The net effect of these offsetting interest rate swaps will result in a monthly cash outflow of approximately $1.1 million through October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anticipate continuing to invest in our network infrastructure across our Uniti Leasing and Uniti Fiber portfolios. We anticipate declaring dividends for the 2021 tax year to comply with our REIT distribution requirements. We anticipate that we will partially finance these needs, as well as operating expenses (including our debt service obligations), from our cash on hand and cash flows provided by operating activities. In December 2020, we amended the Credit Agreement to increase the commitments under our Revolving Credit Facility that mature on December 10, 2024 from $418 million to $500 million and extended the maturity date to December 10, 2024. We refinanced and extended the maturity of our 2023 Notes through the issuance of our 2029 Notes. We expect to access the capital markets to fund Growth Capital Improvements over the term of the Windstream Leases, business operations, announced investment activities, capital expenditures, debt service and distributions to our shareholders. We are closely monitoring the equity and debt markets and will seek to access them again promptly when we determine market conditions are appropriate. Our debt covenants currently do not permit us to incur material additional debt.</w:t>
      </w:r>
    </w:p>
    <w:p>
      <w:pPr>
        <w:spacing w:after="0" w:line="18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6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had contractual obligations and commitments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rPr>
              <w:t>Payments Due by Period</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9"/>
              </w:rPr>
              <w:t>Less than 1 Year</w:t>
            </w:r>
          </w:p>
        </w:tc>
        <w:tc>
          <w:tcPr>
            <w:tcW w:w="120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rPr>
              <w:t>1-3</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ind w:right="413"/>
              <w:spacing w:after="0" w:line="133" w:lineRule="exact"/>
              <w:rPr>
                <w:sz w:val="20"/>
                <w:szCs w:val="20"/>
                <w:color w:val="auto"/>
              </w:rPr>
            </w:pPr>
            <w:r>
              <w:rPr>
                <w:rFonts w:ascii="Arial" w:cs="Arial" w:eastAsia="Arial" w:hAnsi="Arial"/>
                <w:sz w:val="14"/>
                <w:szCs w:val="14"/>
                <w:b w:val="1"/>
                <w:bCs w:val="1"/>
                <w:color w:val="auto"/>
              </w:rPr>
              <w:t>3-5</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174"/>
              <w:spacing w:after="0" w:line="133" w:lineRule="exact"/>
              <w:rPr>
                <w:sz w:val="20"/>
                <w:szCs w:val="20"/>
                <w:color w:val="auto"/>
              </w:rPr>
            </w:pPr>
            <w:r>
              <w:rPr>
                <w:rFonts w:ascii="Arial" w:cs="Arial" w:eastAsia="Arial" w:hAnsi="Arial"/>
                <w:sz w:val="14"/>
                <w:szCs w:val="14"/>
                <w:b w:val="1"/>
                <w:bCs w:val="1"/>
                <w:color w:val="auto"/>
              </w:rPr>
              <w:t>More than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20"/>
                <w:szCs w:val="20"/>
                <w:color w:val="auto"/>
              </w:rPr>
            </w:pPr>
            <w:r>
              <w:rPr>
                <w:rFonts w:ascii="Arial" w:cs="Arial" w:eastAsia="Arial" w:hAnsi="Arial"/>
                <w:sz w:val="14"/>
                <w:szCs w:val="14"/>
                <w:color w:val="auto"/>
              </w:rPr>
              <w:t>(Millions)</w:t>
            </w: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33"/>
              <w:spacing w:after="0"/>
              <w:rPr>
                <w:sz w:val="20"/>
                <w:szCs w:val="20"/>
                <w:color w:val="auto"/>
              </w:rPr>
            </w:pPr>
            <w:r>
              <w:rPr>
                <w:rFonts w:ascii="Arial" w:cs="Arial" w:eastAsia="Arial" w:hAnsi="Arial"/>
                <w:sz w:val="14"/>
                <w:szCs w:val="14"/>
                <w:b w:val="1"/>
                <w:bCs w:val="1"/>
                <w:color w:val="auto"/>
              </w:rPr>
              <w:t>Years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74"/>
              <w:spacing w:after="0"/>
              <w:rPr>
                <w:sz w:val="20"/>
                <w:szCs w:val="20"/>
                <w:color w:val="auto"/>
              </w:rPr>
            </w:pPr>
            <w:r>
              <w:rPr>
                <w:rFonts w:ascii="Arial" w:cs="Arial" w:eastAsia="Arial" w:hAnsi="Arial"/>
                <w:sz w:val="14"/>
                <w:szCs w:val="14"/>
                <w:b w:val="1"/>
                <w:bCs w:val="1"/>
                <w:color w:val="auto"/>
              </w:rPr>
              <w:t>5 Years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15"/>
                <w:szCs w:val="15"/>
                <w:color w:val="auto"/>
              </w:rPr>
              <w:t>(a)</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1,770</w:t>
            </w:r>
          </w:p>
        </w:tc>
        <w:tc>
          <w:tcPr>
            <w:tcW w:w="4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3,195</w:t>
            </w:r>
          </w:p>
        </w:tc>
        <w:tc>
          <w:tcPr>
            <w:tcW w:w="4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4,965</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Interest payments on long-term debt obligations</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Finance leases</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Network deployment</w:t>
            </w:r>
            <w:r>
              <w:rPr>
                <w:rFonts w:ascii="Arial" w:cs="Arial" w:eastAsia="Arial" w:hAnsi="Arial"/>
                <w:sz w:val="15"/>
                <w:szCs w:val="15"/>
                <w:color w:val="auto"/>
              </w:rPr>
              <w:t>(b)</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Growth capital improvements</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450</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Settlement payable</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Contingent consideration</w:t>
            </w:r>
            <w:r>
              <w:rPr>
                <w:rFonts w:ascii="Arial" w:cs="Arial" w:eastAsia="Arial" w:hAnsi="Arial"/>
                <w:sz w:val="15"/>
                <w:szCs w:val="15"/>
                <w:color w:val="auto"/>
              </w:rPr>
              <w:t>(c)</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projected obligations and commitments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4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3,165</w:t>
            </w:r>
          </w:p>
        </w:tc>
        <w:tc>
          <w:tcPr>
            <w:tcW w:w="4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4,106</w:t>
            </w:r>
          </w:p>
        </w:tc>
        <w:tc>
          <w:tcPr>
            <w:tcW w:w="4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8,669</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jc w:val="right"/>
              <w:ind w:right="159"/>
              <w:spacing w:after="0"/>
              <w:rPr>
                <w:sz w:val="20"/>
                <w:szCs w:val="20"/>
                <w:color w:val="auto"/>
              </w:rPr>
            </w:pPr>
            <w:r>
              <w:rPr>
                <w:rFonts w:ascii="Arial" w:cs="Arial" w:eastAsia="Arial" w:hAnsi="Arial"/>
                <w:sz w:val="18"/>
                <w:szCs w:val="18"/>
                <w:color w:val="auto"/>
                <w:w w:val="89"/>
              </w:rPr>
              <w:t>56</w:t>
            </w: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$148.5 million of unamortized discounts on long-term debt and deferred financing costs.</w:t>
      </w:r>
    </w:p>
    <w:p>
      <w:pPr>
        <w:spacing w:after="0" w:line="23" w:lineRule="exact"/>
        <w:rPr>
          <w:rFonts w:ascii="Arial" w:cs="Arial" w:eastAsia="Arial" w:hAnsi="Arial"/>
          <w:sz w:val="18"/>
          <w:szCs w:val="18"/>
          <w:color w:val="auto"/>
        </w:rPr>
      </w:pPr>
    </w:p>
    <w:p>
      <w:pPr>
        <w:ind w:left="580" w:right="520" w:hanging="572"/>
        <w:spacing w:after="0" w:line="250"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Network deployment purchase commitments are for success-based projects for which we have a signed customer contract before we commit resources to expand our network.</w:t>
      </w: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settled contingent consideration related to the August 31, 2016 acquisition of Tower Cloud,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Subject to the restrictions imposed by our 7.875% senior secured notes due 2025,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below sets out details regarding our cash dividends on our common stock:</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Dividend Per Share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4"/>
              </w:rPr>
              <w:t>Record Date</w:t>
            </w:r>
          </w:p>
        </w:tc>
      </w:tr>
      <w:tr>
        <w:trPr>
          <w:trHeight w:val="223"/>
        </w:trPr>
        <w:tc>
          <w:tcPr>
            <w:tcW w:w="4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1, 2019 - December 31, 2019</w:t>
            </w:r>
          </w:p>
        </w:tc>
        <w:tc>
          <w:tcPr>
            <w:tcW w:w="200" w:type="dxa"/>
            <w:vAlign w:val="bottom"/>
            <w:tcBorders>
              <w:top w:val="single" w:sz="8" w:color="CFF0FC"/>
            </w:tcBorders>
            <w:shd w:val="clear" w:color="auto" w:fill="CFF0FC"/>
          </w:tcPr>
          <w:p>
            <w:pPr>
              <w:spacing w:after="0"/>
              <w:rPr>
                <w:sz w:val="19"/>
                <w:szCs w:val="19"/>
                <w:color w:val="auto"/>
              </w:rPr>
            </w:pPr>
          </w:p>
        </w:tc>
        <w:tc>
          <w:tcPr>
            <w:tcW w:w="2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January 15, 2020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280" w:type="dxa"/>
            <w:vAlign w:val="bottom"/>
            <w:tcBorders>
              <w:top w:val="single" w:sz="8" w:color="CFF0FC"/>
            </w:tcBorders>
            <w:shd w:val="clear" w:color="auto" w:fill="CFF0FC"/>
          </w:tcPr>
          <w:p>
            <w:pPr>
              <w:spacing w:after="0"/>
              <w:rPr>
                <w:sz w:val="19"/>
                <w:szCs w:val="19"/>
                <w:color w:val="auto"/>
              </w:rPr>
            </w:pPr>
          </w:p>
        </w:tc>
        <w:tc>
          <w:tcPr>
            <w:tcW w:w="2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December 31, 2019</w:t>
            </w:r>
          </w:p>
        </w:tc>
      </w:tr>
      <w:tr>
        <w:trPr>
          <w:trHeight w:val="229"/>
        </w:trPr>
        <w:tc>
          <w:tcPr>
            <w:tcW w:w="4780" w:type="dxa"/>
            <w:vAlign w:val="bottom"/>
            <w:gridSpan w:val="2"/>
          </w:tcPr>
          <w:p>
            <w:pPr>
              <w:spacing w:after="0"/>
              <w:rPr>
                <w:sz w:val="20"/>
                <w:szCs w:val="20"/>
                <w:color w:val="auto"/>
              </w:rPr>
            </w:pPr>
            <w:r>
              <w:rPr>
                <w:rFonts w:ascii="Arial" w:cs="Arial" w:eastAsia="Arial" w:hAnsi="Arial"/>
                <w:sz w:val="18"/>
                <w:szCs w:val="18"/>
                <w:color w:val="auto"/>
              </w:rPr>
              <w:t>January 1, 2020 - March 31, 2020</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April 15, 2020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March 31, 2020</w:t>
            </w:r>
          </w:p>
        </w:tc>
      </w:tr>
      <w:tr>
        <w:trPr>
          <w:trHeight w:val="230"/>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1, 2020 - June 30, 2020</w:t>
            </w:r>
          </w:p>
        </w:tc>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July 10, 2020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80" w:type="dxa"/>
            <w:vAlign w:val="bottom"/>
            <w:shd w:val="clear" w:color="auto" w:fill="CFF0FC"/>
          </w:tcPr>
          <w:p>
            <w:pPr>
              <w:spacing w:after="0"/>
              <w:rPr>
                <w:sz w:val="19"/>
                <w:szCs w:val="19"/>
                <w:color w:val="auto"/>
              </w:rPr>
            </w:pPr>
          </w:p>
        </w:tc>
        <w:tc>
          <w:tcPr>
            <w:tcW w:w="2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June 26, 2020</w:t>
            </w:r>
          </w:p>
        </w:tc>
      </w:tr>
      <w:tr>
        <w:trPr>
          <w:trHeight w:val="229"/>
        </w:trPr>
        <w:tc>
          <w:tcPr>
            <w:tcW w:w="4780" w:type="dxa"/>
            <w:vAlign w:val="bottom"/>
            <w:gridSpan w:val="2"/>
          </w:tcPr>
          <w:p>
            <w:pPr>
              <w:spacing w:after="0"/>
              <w:rPr>
                <w:sz w:val="20"/>
                <w:szCs w:val="20"/>
                <w:color w:val="auto"/>
              </w:rPr>
            </w:pPr>
            <w:r>
              <w:rPr>
                <w:rFonts w:ascii="Arial" w:cs="Arial" w:eastAsia="Arial" w:hAnsi="Arial"/>
                <w:sz w:val="18"/>
                <w:szCs w:val="18"/>
                <w:color w:val="auto"/>
              </w:rPr>
              <w:t>July 1, 2020 - September 30, 2020</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October 2, 2020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September 18, 2020</w:t>
            </w:r>
          </w:p>
        </w:tc>
      </w:tr>
      <w:tr>
        <w:trPr>
          <w:trHeight w:val="230"/>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1, 2020 - December 31, 2020</w:t>
            </w:r>
          </w:p>
        </w:tc>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January 4, 2021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80" w:type="dxa"/>
            <w:vAlign w:val="bottom"/>
            <w:shd w:val="clear" w:color="auto" w:fill="CFF0FC"/>
          </w:tcPr>
          <w:p>
            <w:pPr>
              <w:spacing w:after="0"/>
              <w:rPr>
                <w:sz w:val="19"/>
                <w:szCs w:val="19"/>
                <w:color w:val="auto"/>
              </w:rPr>
            </w:pPr>
          </w:p>
        </w:tc>
        <w:tc>
          <w:tcPr>
            <w:tcW w:w="2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15, 2020</w:t>
            </w:r>
          </w:p>
        </w:tc>
      </w:tr>
    </w:tbl>
    <w:p>
      <w:pPr>
        <w:spacing w:after="0" w:line="20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light of the ongoing COVID-19 pandemic, we may take further measures to conserve cash, which may include a suspension, delay or reduction in our dividend. In addition, until such time our consolidated net leverage ratio (as defined in the indenture governing the 2025 Secured Notes) is no greater than 5.75 to 1.0, our 2025 Secured Notes generally limit our ability to pay cash dividends in excess of 90% of our REIT taxable income, determined without regard to the dividends paid deduction and excluding any net capital gains.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40" w:type="dxa"/>
            <w:vAlign w:val="bottom"/>
            <w:gridSpan w:val="6"/>
            <w:vMerge w:val="restart"/>
          </w:tcPr>
          <w:p>
            <w:pPr>
              <w:ind w:left="300"/>
              <w:spacing w:after="0"/>
              <w:rPr>
                <w:sz w:val="20"/>
                <w:szCs w:val="20"/>
                <w:color w:val="auto"/>
              </w:rPr>
            </w:pPr>
            <w:r>
              <w:rPr>
                <w:rFonts w:ascii="Arial" w:cs="Arial" w:eastAsia="Arial" w:hAnsi="Arial"/>
                <w:sz w:val="18"/>
                <w:szCs w:val="18"/>
                <w:b w:val="1"/>
                <w:bCs w:val="1"/>
                <w:color w:val="auto"/>
                <w:w w:val="90"/>
              </w:rPr>
              <w:t>Year Ended December 31, 2020</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79"/>
              </w:rPr>
              <w:t>Success</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Based</w:t>
            </w: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Maintenance</w:t>
            </w:r>
          </w:p>
        </w:tc>
        <w:tc>
          <w:tcPr>
            <w:tcW w:w="24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Integration</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Non-Network</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18"/>
                <w:szCs w:val="18"/>
                <w:color w:val="auto"/>
              </w:rPr>
              <w:t>Leasing</w:t>
            </w:r>
            <w:r>
              <w:rPr>
                <w:rFonts w:ascii="Arial" w:cs="Arial" w:eastAsia="Arial" w:hAnsi="Arial"/>
                <w:sz w:val="15"/>
                <w:szCs w:val="15"/>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84,606</w:t>
            </w:r>
          </w:p>
        </w:tc>
        <w:tc>
          <w:tcPr>
            <w:tcW w:w="62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Growth capital improvements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84,700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184,944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7,143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2,840</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2,096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24,156</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380"/>
              <w:spacing w:after="0"/>
              <w:rPr>
                <w:sz w:val="20"/>
                <w:szCs w:val="20"/>
                <w:color w:val="auto"/>
              </w:rPr>
            </w:pPr>
            <w:r>
              <w:rPr>
                <w:rFonts w:ascii="Arial" w:cs="Arial" w:eastAsia="Arial" w:hAnsi="Arial"/>
                <w:sz w:val="18"/>
                <w:szCs w:val="18"/>
                <w:color w:val="auto"/>
              </w:rPr>
              <w:t>Total capital expenditures</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378,406</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98"/>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7,149</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w:t>
            </w:r>
          </w:p>
        </w:tc>
        <w:tc>
          <w:tcPr>
            <w:tcW w:w="240" w:type="dxa"/>
            <w:vAlign w:val="bottom"/>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2,096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hanging="432"/>
        <w:spacing w:after="0" w:line="219" w:lineRule="auto"/>
        <w:tabs>
          <w:tab w:leader="none" w:pos="440" w:val="left"/>
        </w:tabs>
        <w:numPr>
          <w:ilvl w:val="0"/>
          <w:numId w:val="16"/>
        </w:numPr>
        <w:rPr>
          <w:rFonts w:ascii="Arial" w:cs="Arial" w:eastAsia="Arial" w:hAnsi="Arial"/>
          <w:sz w:val="29"/>
          <w:szCs w:val="29"/>
          <w:color w:val="auto"/>
          <w:vertAlign w:val="superscript"/>
        </w:rPr>
      </w:pPr>
      <w:r>
        <w:rPr>
          <w:rFonts w:ascii="Arial" w:cs="Arial" w:eastAsia="Arial" w:hAnsi="Arial"/>
          <w:sz w:val="16"/>
          <w:szCs w:val="16"/>
          <w:color w:val="auto"/>
        </w:rPr>
        <w:t>Includes $73.4 million Windstream Asset Purchase Agreement.</w:t>
      </w:r>
    </w:p>
    <w:p>
      <w:pPr>
        <w:spacing w:after="0" w:line="2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categorize our capital expenditures as either (i) success-based, (ii) maintenance, (iii) integration or (iv) corporate and non-network. We define success-based capital expenditures as those related to installing existing or anticipated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contractual customer service orders. Maintenance capital expenditures are those necessary to keep existing network elements fully operational. Integration capital expenditures are those made specifically with respect to recent acquisitions that are essential to integrating acquired companies in our business. We anticipate continuing to invest in our network infrastructure across our Uniti Leasing and Uniti Fiber businesses and expect that cash on hand and cash flows provided by operating activities will be sufficient to support these investments. We have the right, but not the obligation (except for Growth Capital Improvements under the terms of the Windstream Leases), to reimburse growth capital expenditures in certain of our lease arrangements where we are the lessor.</w:t>
      </w:r>
    </w:p>
    <w:p>
      <w:pPr>
        <w:spacing w:after="0" w:line="1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Uniti’s total annual reimbursement commitments to Windstream for the Growth Capital Improvements under both Windstream Leases (and under separate equipment loan facilities) are limited to $125 million in 2020; $225 million per year in 2021 through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Uniti’s combined total obligation to fund Growth Capital Improvements may exceed $250 million to the extent of any unfunded excess amounts from calendar year 2020. Growth Capital Improvements are treated as success-based capital improvements based on the rents paid with respect to such amounts.</w:t>
      </w:r>
    </w:p>
    <w:p>
      <w:pPr>
        <w:spacing w:after="0" w:line="16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If circumstances warrant, we may need to take measures to conserve cash, which may include a suspension, delay or reduction in success-based capital expenditures. We continually assess our capital expenditure plans in light of developments the impact COVID-19 has on our business and that of our tenants and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Annual Report on Form 10-K, we do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Windstream Unaudited Financial Information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following table presents Windstream’s preliminary estimated unaudited pro forma adjusted results provided to us by Windstream as of and for the quarters and years ended December 31, 2020 and December 31, 2019, based upon information available to Windstream. This data is not a comprehensive statement of Windstream’s financial or operating results as of and for the years ended December 31, 2020 and December 31, 2019, and Windstream's actual results may differ materially from this preliminary estimated data. Windstream has not yet completed closing its accounting records for the year ended December 31, 2020, and the audit of its financial statements for such period has not been completed. During the course of the financial close, the preparation of financial statements and related notes for the year ended December 31, 2020, additional adjustments to the preliminary estimated financial information presented below may be necessary, including to present the information in accordance with GAAP. Any such adjustments may be material. Additionally, Windstream’s financial results remain subject to the finalization of their fresh start accounting adjustments. Therefore, this data represents estimates that are subject to risks and uncertainties.</w:t>
      </w:r>
    </w:p>
    <w:p>
      <w:pPr>
        <w:spacing w:after="0" w:line="181" w:lineRule="exact"/>
        <w:rPr>
          <w:sz w:val="20"/>
          <w:szCs w:val="20"/>
          <w:color w:val="auto"/>
        </w:rPr>
      </w:pPr>
    </w:p>
    <w:p>
      <w:pPr>
        <w:jc w:val="both"/>
        <w:ind w:right="260"/>
        <w:spacing w:after="0" w:line="287" w:lineRule="auto"/>
        <w:rPr>
          <w:sz w:val="20"/>
          <w:szCs w:val="20"/>
          <w:color w:val="auto"/>
        </w:rPr>
      </w:pPr>
      <w:r>
        <w:rPr>
          <w:rFonts w:ascii="Arial" w:cs="Arial" w:eastAsia="Arial" w:hAnsi="Arial"/>
          <w:sz w:val="16"/>
          <w:szCs w:val="16"/>
          <w:color w:val="auto"/>
        </w:rPr>
        <w:t>Windstream has provided the below preliminary estimated unaudited pro forma adjusted results, which excludes revenues from customers contracts and sales of fiber assets transferred to Uniti in conjunction with Windstream’s emergence from bankruptcy. Accordingly, Windstream revised for all periods presented their historical revenues and the computations of Adjusted EBITDAR to exclude the effects of revenues and sales transferred to</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Uniti. Windstream’s adjusted pro forma results also exclude depreciation and amortization, goodwill impairment charges, straight-line expense under the Windstream Leases, share-based compensation expense, restructuring and other charges, and certain other costs.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vMerge w:val="restart"/>
          </w:tcPr>
          <w:p>
            <w:pPr>
              <w:spacing w:after="0"/>
              <w:rPr>
                <w:sz w:val="20"/>
                <w:szCs w:val="20"/>
                <w:color w:val="auto"/>
              </w:rPr>
            </w:pPr>
            <w:r>
              <w:rPr>
                <w:rFonts w:ascii="Arial" w:cs="Arial" w:eastAsia="Arial" w:hAnsi="Arial"/>
                <w:sz w:val="18"/>
                <w:szCs w:val="18"/>
                <w:color w:val="auto"/>
              </w:rPr>
              <w:t>(Millions)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December 31,</w:t>
            </w:r>
          </w:p>
        </w:tc>
        <w:tc>
          <w:tcPr>
            <w:tcW w:w="240" w:type="dxa"/>
            <w:vAlign w:val="bottom"/>
          </w:tcPr>
          <w:p>
            <w:pPr>
              <w:spacing w:after="0"/>
              <w:rPr>
                <w:sz w:val="14"/>
                <w:szCs w:val="14"/>
                <w:color w:val="auto"/>
              </w:rPr>
            </w:pPr>
          </w:p>
        </w:tc>
        <w:tc>
          <w:tcPr>
            <w:tcW w:w="24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8"/>
              </w:rPr>
              <w:t>Windstream preliminary unaudited pro forma financial information</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Revenues and sales: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Kinetic</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504.8</w:t>
            </w:r>
          </w:p>
        </w:tc>
        <w:tc>
          <w:tcPr>
            <w:tcW w:w="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2,018.3</w:t>
            </w:r>
          </w:p>
        </w:tc>
        <w:tc>
          <w:tcPr>
            <w:tcW w:w="5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380"/>
              <w:spacing w:after="0"/>
              <w:rPr>
                <w:sz w:val="20"/>
                <w:szCs w:val="20"/>
                <w:color w:val="auto"/>
              </w:rPr>
            </w:pPr>
            <w:r>
              <w:rPr>
                <w:rFonts w:ascii="Arial" w:cs="Arial" w:eastAsia="Arial" w:hAnsi="Arial"/>
                <w:sz w:val="18"/>
                <w:szCs w:val="18"/>
                <w:color w:val="auto"/>
              </w:rPr>
              <w:t>Enterprise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622.9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2,262.8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Wholesale</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310.2</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500"/>
              <w:spacing w:after="0"/>
              <w:rPr>
                <w:sz w:val="20"/>
                <w:szCs w:val="20"/>
                <w:color w:val="auto"/>
              </w:rPr>
            </w:pPr>
            <w:r>
              <w:rPr>
                <w:rFonts w:ascii="Arial" w:cs="Arial" w:eastAsia="Arial" w:hAnsi="Arial"/>
                <w:sz w:val="18"/>
                <w:szCs w:val="18"/>
                <w:color w:val="auto"/>
              </w:rPr>
              <w:t>Segment service revenues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1,118.6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1,202.2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4,591.3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Product sales</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revenues and sales</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1,134.0</w:t>
            </w: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1,222.8</w:t>
            </w: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4,665.0</w:t>
            </w:r>
          </w:p>
        </w:tc>
        <w:tc>
          <w:tcPr>
            <w:tcW w:w="2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Contribution margin:</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380"/>
              <w:spacing w:after="0"/>
              <w:rPr>
                <w:sz w:val="20"/>
                <w:szCs w:val="20"/>
                <w:color w:val="auto"/>
              </w:rPr>
            </w:pPr>
            <w:r>
              <w:rPr>
                <w:rFonts w:ascii="Arial" w:cs="Arial" w:eastAsia="Arial" w:hAnsi="Arial"/>
                <w:sz w:val="18"/>
                <w:szCs w:val="18"/>
                <w:color w:val="auto"/>
              </w:rPr>
              <w:t>Kinetic</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295.7</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290.4</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1,176.5</w:t>
            </w:r>
          </w:p>
        </w:tc>
        <w:tc>
          <w:tcPr>
            <w:tcW w:w="5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Enterprise</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Wholesale</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Segment contribution margin</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Share expenses (A)</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Adjusted EBITDAR (B)</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407.1</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1,621.5</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capital expenditures (C)</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w:t>
            </w:r>
          </w:p>
        </w:tc>
        <w:tc>
          <w:tcPr>
            <w:tcW w:w="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1,001.1</w:t>
            </w:r>
          </w:p>
        </w:tc>
        <w:tc>
          <w:tcPr>
            <w:tcW w:w="5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 on long-term debt obligations</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5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debt (total principal outstanding)</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2,144.2</w:t>
            </w:r>
          </w:p>
        </w:tc>
        <w:tc>
          <w:tcPr>
            <w:tcW w:w="5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5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40" w:right="80" w:hanging="432"/>
        <w:spacing w:after="0" w:line="263"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expenses are not allocated to the segments and primarily consist of accounting and finance, information technology, engineering, network optimization, legal, human resources, investor relations, and outsourcing activities that are centrally managed and not monitored by management at a segment level.</w:t>
      </w:r>
    </w:p>
    <w:p>
      <w:pPr>
        <w:spacing w:after="0" w:line="183" w:lineRule="exact"/>
        <w:rPr>
          <w:rFonts w:ascii="Arial" w:cs="Arial" w:eastAsia="Arial" w:hAnsi="Arial"/>
          <w:sz w:val="18"/>
          <w:szCs w:val="18"/>
          <w:color w:val="auto"/>
        </w:rPr>
      </w:pPr>
    </w:p>
    <w:p>
      <w:pPr>
        <w:ind w:left="440" w:right="60" w:hanging="432"/>
        <w:spacing w:after="0" w:line="342" w:lineRule="auto"/>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EBITDAR is earnings before interest expense, income taxes and depreciation and amortization, and excludes goodwill impairment charges, straight-line expense under the Windstream Leases, share-based compensation expense, restructuring and other charges, and certain other costs.</w:t>
      </w:r>
    </w:p>
    <w:p>
      <w:pPr>
        <w:spacing w:after="0" w:line="123" w:lineRule="exact"/>
        <w:rPr>
          <w:rFonts w:ascii="Arial" w:cs="Arial" w:eastAsia="Arial" w:hAnsi="Arial"/>
          <w:sz w:val="16"/>
          <w:szCs w:val="16"/>
          <w:color w:val="auto"/>
        </w:rPr>
      </w:pPr>
    </w:p>
    <w:p>
      <w:pPr>
        <w:ind w:left="440" w:hanging="432"/>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year ended December 31, 2020, adjusted capital expenditures excludes $20.3 million of claims settlements at emergence.</w:t>
      </w:r>
    </w:p>
    <w:p>
      <w:pPr>
        <w:spacing w:after="0" w:line="33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September 21, 2020, Windstream emerged from bankruptcy pursuant to a court approved plan of reorganization. Although generally accepted accounting principles in the United States of America (“U.S. GAAP”) requires Windstream to present their operating results for periods prior to September 21, 2020 separate and apart from their operating results for periods subsequent to September 21, 2020, Windstream has provided Uniti with combined quarterly and year-to-date operating results in the presentation above. Windstream believes that this combined presentation provides more meaningful comparisons to historical periods for each of their key performance metrics of revenues and sales, contribution margin, Adjusted EBITDAR and Adjusted capital expenditures and is useful in identifying current business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fiscal 2020, our primary market risk exposure was interest rate risk with respect to our variable rate indebtedness under our now repaid term loan facility and our Revolving Credit Facility, which had an aggregate principal amount of $560.5 million as of December 31, 2020. We entered into interest rate swap agreements in order to mitigate the interest rate risk inherent in the variable rate term loan facility. As result of the full repayment of the Company’s term loan facility in February of 2020 (discussed above), the Company entered into receive-fixed interest rate swaps (the “Replacement Swaps”) to offset its existing pay-fixed interest rate swaps (the “Existing Swaps”) that were designated as cash flow hedges of interest payments initially associated with the term loan facility. On February 10, 2020, the Company discontinued hedge accounting on its Existing Swaps as the hedge accounting requirements were no longer met. Amounts in accumulated other comprehensive (loss) income associated with the Existing Swaps as of the date of dedesignation, will be reclassified to interest expense as the hedged interest payments impact earnings. The net effect of these offsetting interest rate swaps will result in a monthly cash outflow of approximately $1.1 million through October 2022. A hypothetical 10% change in interest rates effective at December 31, 2020, would have had a $1.5 million impact on Uniti’s results of operations for the year ended December 31, 2020.</w:t>
      </w:r>
    </w:p>
    <w:p>
      <w:pPr>
        <w:spacing w:after="0" w:line="16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An increase in interest rates could make the financing of any acquisition by us more costly. Rising interest rates could also limit our ability to refinance our debt when it matures or cause us to pay higher interest rates upon refinancing and increase interest expense on refinanced indebtedness.</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80" w:type="dxa"/>
            <w:vAlign w:val="bottom"/>
          </w:tcPr>
          <w:p>
            <w:pPr>
              <w:jc w:val="center"/>
              <w:ind w:left="270"/>
              <w:spacing w:after="0"/>
              <w:rPr>
                <w:sz w:val="20"/>
                <w:szCs w:val="20"/>
                <w:color w:val="auto"/>
              </w:rPr>
            </w:pPr>
            <w:r>
              <w:rPr>
                <w:rFonts w:ascii="Arial" w:cs="Arial" w:eastAsia="Arial" w:hAnsi="Arial"/>
                <w:sz w:val="18"/>
                <w:szCs w:val="18"/>
                <w:b w:val="1"/>
                <w:bCs w:val="1"/>
                <w:color w:val="auto"/>
                <w:w w:val="94"/>
              </w:rPr>
              <w:t>Uniti Group Inc.</w:t>
            </w:r>
          </w:p>
        </w:tc>
        <w:tc>
          <w:tcPr>
            <w:tcW w:w="96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8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Consolidated Financial Statements</w:t>
            </w:r>
          </w:p>
        </w:tc>
        <w:tc>
          <w:tcPr>
            <w:tcW w:w="96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8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Index to Financial Statements</w:t>
            </w:r>
          </w:p>
        </w:tc>
        <w:tc>
          <w:tcPr>
            <w:tcW w:w="960" w:type="dxa"/>
            <w:vAlign w:val="bottom"/>
          </w:tcPr>
          <w:p>
            <w:pPr>
              <w:spacing w:after="0"/>
              <w:rPr>
                <w:sz w:val="20"/>
                <w:szCs w:val="20"/>
                <w:color w:val="auto"/>
              </w:rPr>
            </w:pPr>
          </w:p>
        </w:tc>
      </w:tr>
      <w:tr>
        <w:trPr>
          <w:trHeight w:val="445"/>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Page</w:t>
            </w:r>
          </w:p>
        </w:tc>
      </w:tr>
      <w:tr>
        <w:trPr>
          <w:trHeight w:val="224"/>
        </w:trPr>
        <w:tc>
          <w:tcPr>
            <w:tcW w:w="10280" w:type="dxa"/>
            <w:vAlign w:val="bottom"/>
            <w:gridSpan w:val="3"/>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Report of Independent Registered Public Accounting Firm</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57"/>
        </w:trPr>
        <w:tc>
          <w:tcPr>
            <w:tcW w:w="10280" w:type="dxa"/>
            <w:vAlign w:val="bottom"/>
            <w:gridSpan w:val="3"/>
          </w:tcPr>
          <w:p>
            <w:pPr>
              <w:spacing w:after="0"/>
              <w:rPr>
                <w:sz w:val="20"/>
                <w:szCs w:val="20"/>
                <w:color w:val="auto"/>
              </w:rPr>
            </w:pPr>
            <w:r>
              <w:rPr>
                <w:rFonts w:ascii="Arial" w:cs="Arial" w:eastAsia="Arial" w:hAnsi="Arial"/>
                <w:sz w:val="18"/>
                <w:szCs w:val="18"/>
                <w:b w:val="1"/>
                <w:bCs w:val="1"/>
                <w:color w:val="auto"/>
              </w:rPr>
              <w:t>Uniti Group Inc.</w:t>
            </w:r>
          </w:p>
        </w:tc>
        <w:tc>
          <w:tcPr>
            <w:tcW w:w="960" w:type="dxa"/>
            <w:vAlign w:val="bottom"/>
          </w:tcPr>
          <w:p>
            <w:pPr>
              <w:spacing w:after="0"/>
              <w:rPr>
                <w:sz w:val="24"/>
                <w:szCs w:val="24"/>
                <w:color w:val="auto"/>
              </w:rPr>
            </w:pPr>
          </w:p>
        </w:tc>
      </w:tr>
      <w:tr>
        <w:trPr>
          <w:trHeight w:val="229"/>
        </w:trPr>
        <w:tc>
          <w:tcPr>
            <w:tcW w:w="10280" w:type="dxa"/>
            <w:vAlign w:val="bottom"/>
            <w:gridSpan w:val="3"/>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Consolidated Balance Sheets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0280" w:type="dxa"/>
            <w:vAlign w:val="bottom"/>
            <w:gridSpan w:val="3"/>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Statements of Income</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10280" w:type="dxa"/>
            <w:vAlign w:val="bottom"/>
            <w:gridSpan w:val="3"/>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Consolidated Statements of Comprehensive Income (Loss)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10280" w:type="dxa"/>
            <w:vAlign w:val="bottom"/>
            <w:gridSpan w:val="3"/>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Consolidated Statements of Shareholders’ Deficit</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0280" w:type="dxa"/>
            <w:vAlign w:val="bottom"/>
            <w:gridSpan w:val="3"/>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Consolidated Statements of Cash Flows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10280" w:type="dxa"/>
            <w:vAlign w:val="bottom"/>
            <w:gridSpan w:val="3"/>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Notes to Consolidated Financial Statements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560" w:type="dxa"/>
            <w:vAlign w:val="bottom"/>
          </w:tcPr>
          <w:p>
            <w:pPr>
              <w:ind w:left="3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1.</w:t>
              </w:r>
            </w:hyperlink>
          </w:p>
        </w:tc>
        <w:tc>
          <w:tcPr>
            <w:tcW w:w="9720" w:type="dxa"/>
            <w:vAlign w:val="bottom"/>
            <w:gridSpan w:val="2"/>
          </w:tcPr>
          <w:p>
            <w:pPr>
              <w:ind w:left="8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Organization and Description of Business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560" w:type="dxa"/>
            <w:vAlign w:val="bottom"/>
          </w:tcPr>
          <w:p>
            <w:pPr>
              <w:ind w:left="3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2.</w:t>
              </w:r>
            </w:hyperlink>
          </w:p>
        </w:tc>
        <w:tc>
          <w:tcPr>
            <w:tcW w:w="40" w:type="dxa"/>
            <w:vAlign w:val="bottom"/>
          </w:tcPr>
          <w:p>
            <w:pPr>
              <w:spacing w:after="0"/>
              <w:rPr>
                <w:sz w:val="19"/>
                <w:szCs w:val="19"/>
                <w:color w:val="auto"/>
              </w:rPr>
            </w:pPr>
          </w:p>
        </w:tc>
        <w:tc>
          <w:tcPr>
            <w:tcW w:w="9680" w:type="dxa"/>
            <w:vAlign w:val="bottom"/>
          </w:tcPr>
          <w:p>
            <w:pPr>
              <w:ind w:left="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Basis of Presentation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560" w:type="dxa"/>
            <w:vAlign w:val="bottom"/>
          </w:tcPr>
          <w:p>
            <w:pPr>
              <w:ind w:left="34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3.</w:t>
              </w:r>
            </w:hyperlink>
          </w:p>
        </w:tc>
        <w:tc>
          <w:tcPr>
            <w:tcW w:w="9720" w:type="dxa"/>
            <w:vAlign w:val="bottom"/>
            <w:gridSpan w:val="2"/>
          </w:tcPr>
          <w:p>
            <w:pPr>
              <w:ind w:left="8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Summary of Significant Accounting Policies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560" w:type="dxa"/>
            <w:vAlign w:val="bottom"/>
          </w:tcPr>
          <w:p>
            <w:pPr>
              <w:ind w:left="34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4.</w:t>
              </w:r>
            </w:hyperlink>
          </w:p>
        </w:tc>
        <w:tc>
          <w:tcPr>
            <w:tcW w:w="40" w:type="dxa"/>
            <w:vAlign w:val="bottom"/>
          </w:tcPr>
          <w:p>
            <w:pPr>
              <w:spacing w:after="0"/>
              <w:rPr>
                <w:sz w:val="19"/>
                <w:szCs w:val="19"/>
                <w:color w:val="auto"/>
              </w:rPr>
            </w:pPr>
          </w:p>
        </w:tc>
        <w:tc>
          <w:tcPr>
            <w:tcW w:w="9680" w:type="dxa"/>
            <w:vAlign w:val="bottom"/>
          </w:tcPr>
          <w:p>
            <w:pPr>
              <w:ind w:left="4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Revenues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560" w:type="dxa"/>
            <w:vAlign w:val="bottom"/>
          </w:tcPr>
          <w:p>
            <w:pPr>
              <w:ind w:left="34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5.</w:t>
              </w:r>
            </w:hyperlink>
          </w:p>
        </w:tc>
        <w:tc>
          <w:tcPr>
            <w:tcW w:w="40" w:type="dxa"/>
            <w:vAlign w:val="bottom"/>
          </w:tcPr>
          <w:p>
            <w:pPr>
              <w:spacing w:after="0"/>
              <w:rPr>
                <w:sz w:val="19"/>
                <w:szCs w:val="19"/>
                <w:color w:val="auto"/>
              </w:rPr>
            </w:pPr>
          </w:p>
        </w:tc>
        <w:tc>
          <w:tcPr>
            <w:tcW w:w="9680" w:type="dxa"/>
            <w:vAlign w:val="bottom"/>
          </w:tcPr>
          <w:p>
            <w:pPr>
              <w:ind w:left="4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Leases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560" w:type="dxa"/>
            <w:vAlign w:val="bottom"/>
          </w:tcPr>
          <w:p>
            <w:pPr>
              <w:ind w:left="34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6.</w:t>
              </w:r>
            </w:hyperlink>
          </w:p>
        </w:tc>
        <w:tc>
          <w:tcPr>
            <w:tcW w:w="9720" w:type="dxa"/>
            <w:vAlign w:val="bottom"/>
            <w:gridSpan w:val="2"/>
          </w:tcPr>
          <w:p>
            <w:pPr>
              <w:ind w:left="8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Business Combinations, Asset Acquisitions and Dispositions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560" w:type="dxa"/>
            <w:vAlign w:val="bottom"/>
          </w:tcPr>
          <w:p>
            <w:pPr>
              <w:ind w:left="34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7.</w:t>
              </w:r>
            </w:hyperlink>
          </w:p>
        </w:tc>
        <w:tc>
          <w:tcPr>
            <w:tcW w:w="9720" w:type="dxa"/>
            <w:vAlign w:val="bottom"/>
            <w:gridSpan w:val="2"/>
          </w:tcPr>
          <w:p>
            <w:pPr>
              <w:ind w:left="8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Assets and Liabilities Held for Sale</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560" w:type="dxa"/>
            <w:vAlign w:val="bottom"/>
          </w:tcPr>
          <w:p>
            <w:pPr>
              <w:ind w:left="34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8.</w:t>
              </w:r>
            </w:hyperlink>
          </w:p>
        </w:tc>
        <w:tc>
          <w:tcPr>
            <w:tcW w:w="9720" w:type="dxa"/>
            <w:vAlign w:val="bottom"/>
            <w:gridSpan w:val="2"/>
          </w:tcPr>
          <w:p>
            <w:pPr>
              <w:ind w:left="8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Investment in Unconsolidated Entities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560" w:type="dxa"/>
            <w:vAlign w:val="bottom"/>
          </w:tcPr>
          <w:p>
            <w:pPr>
              <w:ind w:left="34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9.</w:t>
              </w:r>
            </w:hyperlink>
          </w:p>
        </w:tc>
        <w:tc>
          <w:tcPr>
            <w:tcW w:w="9720" w:type="dxa"/>
            <w:vAlign w:val="bottom"/>
            <w:gridSpan w:val="2"/>
          </w:tcPr>
          <w:p>
            <w:pPr>
              <w:ind w:left="8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Fair Value of Financial Instruments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600" w:type="dxa"/>
            <w:vAlign w:val="bottom"/>
            <w:gridSpan w:val="2"/>
          </w:tcPr>
          <w:p>
            <w:pPr>
              <w:ind w:left="340"/>
              <w:spacing w:after="0"/>
              <w:rPr>
                <w:rFonts w:ascii="Arial" w:cs="Arial" w:eastAsia="Arial" w:hAnsi="Arial"/>
                <w:sz w:val="18"/>
                <w:szCs w:val="18"/>
                <w:u w:val="single" w:color="auto"/>
                <w:color w:val="0000EE"/>
                <w:w w:val="95"/>
              </w:rPr>
            </w:pPr>
            <w:hyperlink w:anchor="page100">
              <w:r>
                <w:rPr>
                  <w:rFonts w:ascii="Arial" w:cs="Arial" w:eastAsia="Arial" w:hAnsi="Arial"/>
                  <w:sz w:val="18"/>
                  <w:szCs w:val="18"/>
                  <w:u w:val="single" w:color="auto"/>
                  <w:color w:val="0000EE"/>
                  <w:w w:val="95"/>
                </w:rPr>
                <w:t>10.</w:t>
              </w:r>
            </w:hyperlink>
          </w:p>
        </w:tc>
        <w:tc>
          <w:tcPr>
            <w:tcW w:w="9680" w:type="dxa"/>
            <w:vAlign w:val="bottom"/>
          </w:tcPr>
          <w:p>
            <w:pPr>
              <w:ind w:left="14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Property, Plant and Equipment</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10280" w:type="dxa"/>
            <w:vAlign w:val="bottom"/>
            <w:gridSpan w:val="3"/>
          </w:tcPr>
          <w:p>
            <w:pPr>
              <w:ind w:left="34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11.  Derivative Instruments and Hedging Activities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600" w:type="dxa"/>
            <w:vAlign w:val="bottom"/>
            <w:gridSpan w:val="2"/>
          </w:tcPr>
          <w:p>
            <w:pPr>
              <w:ind w:left="340"/>
              <w:spacing w:after="0"/>
              <w:rPr>
                <w:rFonts w:ascii="Arial" w:cs="Arial" w:eastAsia="Arial" w:hAnsi="Arial"/>
                <w:sz w:val="18"/>
                <w:szCs w:val="18"/>
                <w:u w:val="single" w:color="auto"/>
                <w:color w:val="0000EE"/>
                <w:w w:val="95"/>
              </w:rPr>
            </w:pPr>
            <w:hyperlink w:anchor="page102">
              <w:r>
                <w:rPr>
                  <w:rFonts w:ascii="Arial" w:cs="Arial" w:eastAsia="Arial" w:hAnsi="Arial"/>
                  <w:sz w:val="18"/>
                  <w:szCs w:val="18"/>
                  <w:u w:val="single" w:color="auto"/>
                  <w:color w:val="0000EE"/>
                  <w:w w:val="95"/>
                </w:rPr>
                <w:t>12.</w:t>
              </w:r>
            </w:hyperlink>
          </w:p>
        </w:tc>
        <w:tc>
          <w:tcPr>
            <w:tcW w:w="9680" w:type="dxa"/>
            <w:vAlign w:val="bottom"/>
          </w:tcPr>
          <w:p>
            <w:pPr>
              <w:ind w:left="14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Goodwill and Intangible Assets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600" w:type="dxa"/>
            <w:vAlign w:val="bottom"/>
            <w:gridSpan w:val="2"/>
          </w:tcPr>
          <w:p>
            <w:pPr>
              <w:ind w:left="340"/>
              <w:spacing w:after="0"/>
              <w:rPr>
                <w:rFonts w:ascii="Arial" w:cs="Arial" w:eastAsia="Arial" w:hAnsi="Arial"/>
                <w:sz w:val="18"/>
                <w:szCs w:val="18"/>
                <w:u w:val="single" w:color="auto"/>
                <w:color w:val="0000EE"/>
                <w:w w:val="95"/>
              </w:rPr>
            </w:pPr>
            <w:hyperlink w:anchor="page103">
              <w:r>
                <w:rPr>
                  <w:rFonts w:ascii="Arial" w:cs="Arial" w:eastAsia="Arial" w:hAnsi="Arial"/>
                  <w:sz w:val="18"/>
                  <w:szCs w:val="18"/>
                  <w:u w:val="single" w:color="auto"/>
                  <w:color w:val="0000EE"/>
                  <w:w w:val="95"/>
                </w:rPr>
                <w:t>13.</w:t>
              </w:r>
            </w:hyperlink>
          </w:p>
        </w:tc>
        <w:tc>
          <w:tcPr>
            <w:tcW w:w="9680" w:type="dxa"/>
            <w:vAlign w:val="bottom"/>
          </w:tcPr>
          <w:p>
            <w:pPr>
              <w:ind w:left="14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Notes and Other Debt</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600" w:type="dxa"/>
            <w:vAlign w:val="bottom"/>
            <w:gridSpan w:val="2"/>
          </w:tcPr>
          <w:p>
            <w:pPr>
              <w:ind w:left="340"/>
              <w:spacing w:after="0"/>
              <w:rPr>
                <w:rFonts w:ascii="Arial" w:cs="Arial" w:eastAsia="Arial" w:hAnsi="Arial"/>
                <w:sz w:val="18"/>
                <w:szCs w:val="18"/>
                <w:u w:val="single" w:color="auto"/>
                <w:color w:val="0000EE"/>
                <w:w w:val="95"/>
              </w:rPr>
            </w:pPr>
            <w:hyperlink w:anchor="page108">
              <w:r>
                <w:rPr>
                  <w:rFonts w:ascii="Arial" w:cs="Arial" w:eastAsia="Arial" w:hAnsi="Arial"/>
                  <w:sz w:val="18"/>
                  <w:szCs w:val="18"/>
                  <w:u w:val="single" w:color="auto"/>
                  <w:color w:val="0000EE"/>
                  <w:w w:val="95"/>
                </w:rPr>
                <w:t>14.</w:t>
              </w:r>
            </w:hyperlink>
          </w:p>
        </w:tc>
        <w:tc>
          <w:tcPr>
            <w:tcW w:w="9680" w:type="dxa"/>
            <w:vAlign w:val="bottom"/>
          </w:tcPr>
          <w:p>
            <w:pPr>
              <w:ind w:left="14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Stock-Based Compensation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600" w:type="dxa"/>
            <w:vAlign w:val="bottom"/>
            <w:gridSpan w:val="2"/>
          </w:tcPr>
          <w:p>
            <w:pPr>
              <w:ind w:left="340"/>
              <w:spacing w:after="0"/>
              <w:rPr>
                <w:rFonts w:ascii="Arial" w:cs="Arial" w:eastAsia="Arial" w:hAnsi="Arial"/>
                <w:sz w:val="18"/>
                <w:szCs w:val="18"/>
                <w:u w:val="single" w:color="auto"/>
                <w:color w:val="0000EE"/>
                <w:w w:val="95"/>
              </w:rPr>
            </w:pPr>
            <w:hyperlink w:anchor="page110">
              <w:r>
                <w:rPr>
                  <w:rFonts w:ascii="Arial" w:cs="Arial" w:eastAsia="Arial" w:hAnsi="Arial"/>
                  <w:sz w:val="18"/>
                  <w:szCs w:val="18"/>
                  <w:u w:val="single" w:color="auto"/>
                  <w:color w:val="0000EE"/>
                  <w:w w:val="95"/>
                </w:rPr>
                <w:t>15.</w:t>
              </w:r>
            </w:hyperlink>
          </w:p>
        </w:tc>
        <w:tc>
          <w:tcPr>
            <w:tcW w:w="9680" w:type="dxa"/>
            <w:vAlign w:val="bottom"/>
          </w:tcPr>
          <w:p>
            <w:pPr>
              <w:ind w:left="14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Earnings Per Share</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600" w:type="dxa"/>
            <w:vAlign w:val="bottom"/>
            <w:gridSpan w:val="2"/>
          </w:tcPr>
          <w:p>
            <w:pPr>
              <w:ind w:left="340"/>
              <w:spacing w:after="0"/>
              <w:rPr>
                <w:rFonts w:ascii="Arial" w:cs="Arial" w:eastAsia="Arial" w:hAnsi="Arial"/>
                <w:sz w:val="18"/>
                <w:szCs w:val="18"/>
                <w:u w:val="single" w:color="auto"/>
                <w:color w:val="0000EE"/>
                <w:w w:val="95"/>
              </w:rPr>
            </w:pPr>
            <w:hyperlink w:anchor="page112">
              <w:r>
                <w:rPr>
                  <w:rFonts w:ascii="Arial" w:cs="Arial" w:eastAsia="Arial" w:hAnsi="Arial"/>
                  <w:sz w:val="18"/>
                  <w:szCs w:val="18"/>
                  <w:u w:val="single" w:color="auto"/>
                  <w:color w:val="0000EE"/>
                  <w:w w:val="95"/>
                </w:rPr>
                <w:t>16.</w:t>
              </w:r>
            </w:hyperlink>
          </w:p>
        </w:tc>
        <w:tc>
          <w:tcPr>
            <w:tcW w:w="9680" w:type="dxa"/>
            <w:vAlign w:val="bottom"/>
          </w:tcPr>
          <w:p>
            <w:pPr>
              <w:ind w:left="14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Segment Information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600" w:type="dxa"/>
            <w:vAlign w:val="bottom"/>
            <w:gridSpan w:val="2"/>
          </w:tcPr>
          <w:p>
            <w:pPr>
              <w:ind w:left="340"/>
              <w:spacing w:after="0"/>
              <w:rPr>
                <w:rFonts w:ascii="Arial" w:cs="Arial" w:eastAsia="Arial" w:hAnsi="Arial"/>
                <w:sz w:val="18"/>
                <w:szCs w:val="18"/>
                <w:u w:val="single" w:color="auto"/>
                <w:color w:val="0000EE"/>
                <w:w w:val="95"/>
              </w:rPr>
            </w:pPr>
            <w:hyperlink w:anchor="page115">
              <w:r>
                <w:rPr>
                  <w:rFonts w:ascii="Arial" w:cs="Arial" w:eastAsia="Arial" w:hAnsi="Arial"/>
                  <w:sz w:val="18"/>
                  <w:szCs w:val="18"/>
                  <w:u w:val="single" w:color="auto"/>
                  <w:color w:val="0000EE"/>
                  <w:w w:val="95"/>
                </w:rPr>
                <w:t>17.</w:t>
              </w:r>
            </w:hyperlink>
          </w:p>
        </w:tc>
        <w:tc>
          <w:tcPr>
            <w:tcW w:w="9680" w:type="dxa"/>
            <w:vAlign w:val="bottom"/>
          </w:tcPr>
          <w:p>
            <w:pPr>
              <w:ind w:left="140"/>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Commitments and Contingencies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600" w:type="dxa"/>
            <w:vAlign w:val="bottom"/>
            <w:gridSpan w:val="2"/>
          </w:tcPr>
          <w:p>
            <w:pPr>
              <w:ind w:left="340"/>
              <w:spacing w:after="0"/>
              <w:rPr>
                <w:rFonts w:ascii="Arial" w:cs="Arial" w:eastAsia="Arial" w:hAnsi="Arial"/>
                <w:sz w:val="18"/>
                <w:szCs w:val="18"/>
                <w:u w:val="single" w:color="auto"/>
                <w:color w:val="0000EE"/>
                <w:w w:val="95"/>
              </w:rPr>
            </w:pPr>
            <w:hyperlink w:anchor="page118">
              <w:r>
                <w:rPr>
                  <w:rFonts w:ascii="Arial" w:cs="Arial" w:eastAsia="Arial" w:hAnsi="Arial"/>
                  <w:sz w:val="18"/>
                  <w:szCs w:val="18"/>
                  <w:u w:val="single" w:color="auto"/>
                  <w:color w:val="0000EE"/>
                  <w:w w:val="95"/>
                </w:rPr>
                <w:t>18.</w:t>
              </w:r>
            </w:hyperlink>
          </w:p>
        </w:tc>
        <w:tc>
          <w:tcPr>
            <w:tcW w:w="9680" w:type="dxa"/>
            <w:vAlign w:val="bottom"/>
          </w:tcPr>
          <w:p>
            <w:pPr>
              <w:ind w:left="12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Accumulated Other Comprehensive Income</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600" w:type="dxa"/>
            <w:vAlign w:val="bottom"/>
            <w:gridSpan w:val="2"/>
          </w:tcPr>
          <w:p>
            <w:pPr>
              <w:ind w:left="340"/>
              <w:spacing w:after="0"/>
              <w:rPr>
                <w:rFonts w:ascii="Arial" w:cs="Arial" w:eastAsia="Arial" w:hAnsi="Arial"/>
                <w:sz w:val="18"/>
                <w:szCs w:val="18"/>
                <w:u w:val="single" w:color="auto"/>
                <w:color w:val="0000EE"/>
                <w:w w:val="95"/>
              </w:rPr>
            </w:pPr>
            <w:hyperlink w:anchor="page118">
              <w:r>
                <w:rPr>
                  <w:rFonts w:ascii="Arial" w:cs="Arial" w:eastAsia="Arial" w:hAnsi="Arial"/>
                  <w:sz w:val="18"/>
                  <w:szCs w:val="18"/>
                  <w:u w:val="single" w:color="auto"/>
                  <w:color w:val="0000EE"/>
                  <w:w w:val="95"/>
                </w:rPr>
                <w:t>19.</w:t>
              </w:r>
            </w:hyperlink>
          </w:p>
        </w:tc>
        <w:tc>
          <w:tcPr>
            <w:tcW w:w="9680" w:type="dxa"/>
            <w:vAlign w:val="bottom"/>
          </w:tcPr>
          <w:p>
            <w:pPr>
              <w:ind w:left="14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Income Taxes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600" w:type="dxa"/>
            <w:vAlign w:val="bottom"/>
            <w:gridSpan w:val="2"/>
          </w:tcPr>
          <w:p>
            <w:pPr>
              <w:ind w:left="340"/>
              <w:spacing w:after="0"/>
              <w:rPr>
                <w:rFonts w:ascii="Arial" w:cs="Arial" w:eastAsia="Arial" w:hAnsi="Arial"/>
                <w:sz w:val="18"/>
                <w:szCs w:val="18"/>
                <w:u w:val="single" w:color="auto"/>
                <w:color w:val="0000EE"/>
                <w:w w:val="95"/>
              </w:rPr>
            </w:pPr>
            <w:hyperlink w:anchor="page121">
              <w:r>
                <w:rPr>
                  <w:rFonts w:ascii="Arial" w:cs="Arial" w:eastAsia="Arial" w:hAnsi="Arial"/>
                  <w:sz w:val="18"/>
                  <w:szCs w:val="18"/>
                  <w:u w:val="single" w:color="auto"/>
                  <w:color w:val="0000EE"/>
                  <w:w w:val="95"/>
                </w:rPr>
                <w:t>20.</w:t>
              </w:r>
            </w:hyperlink>
          </w:p>
        </w:tc>
        <w:tc>
          <w:tcPr>
            <w:tcW w:w="9680" w:type="dxa"/>
            <w:vAlign w:val="bottom"/>
          </w:tcPr>
          <w:p>
            <w:pPr>
              <w:ind w:left="140"/>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Supplemental Cash Flow Information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600" w:type="dxa"/>
            <w:vAlign w:val="bottom"/>
            <w:gridSpan w:val="2"/>
          </w:tcPr>
          <w:p>
            <w:pPr>
              <w:ind w:left="340"/>
              <w:spacing w:after="0"/>
              <w:rPr>
                <w:rFonts w:ascii="Arial" w:cs="Arial" w:eastAsia="Arial" w:hAnsi="Arial"/>
                <w:sz w:val="18"/>
                <w:szCs w:val="18"/>
                <w:u w:val="single" w:color="auto"/>
                <w:color w:val="0000EE"/>
                <w:w w:val="95"/>
              </w:rPr>
            </w:pPr>
            <w:hyperlink w:anchor="page121">
              <w:r>
                <w:rPr>
                  <w:rFonts w:ascii="Arial" w:cs="Arial" w:eastAsia="Arial" w:hAnsi="Arial"/>
                  <w:sz w:val="18"/>
                  <w:szCs w:val="18"/>
                  <w:u w:val="single" w:color="auto"/>
                  <w:color w:val="0000EE"/>
                  <w:w w:val="95"/>
                </w:rPr>
                <w:t>21.</w:t>
              </w:r>
            </w:hyperlink>
          </w:p>
        </w:tc>
        <w:tc>
          <w:tcPr>
            <w:tcW w:w="9680" w:type="dxa"/>
            <w:vAlign w:val="bottom"/>
          </w:tcPr>
          <w:p>
            <w:pPr>
              <w:ind w:left="140"/>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Capital Stock</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600" w:type="dxa"/>
            <w:vAlign w:val="bottom"/>
            <w:gridSpan w:val="2"/>
          </w:tcPr>
          <w:p>
            <w:pPr>
              <w:ind w:left="340"/>
              <w:spacing w:after="0"/>
              <w:rPr>
                <w:rFonts w:ascii="Arial" w:cs="Arial" w:eastAsia="Arial" w:hAnsi="Arial"/>
                <w:sz w:val="18"/>
                <w:szCs w:val="18"/>
                <w:u w:val="single" w:color="auto"/>
                <w:color w:val="0000EE"/>
                <w:w w:val="95"/>
              </w:rPr>
            </w:pPr>
            <w:hyperlink w:anchor="page122">
              <w:r>
                <w:rPr>
                  <w:rFonts w:ascii="Arial" w:cs="Arial" w:eastAsia="Arial" w:hAnsi="Arial"/>
                  <w:sz w:val="18"/>
                  <w:szCs w:val="18"/>
                  <w:u w:val="single" w:color="auto"/>
                  <w:color w:val="0000EE"/>
                  <w:w w:val="95"/>
                </w:rPr>
                <w:t>22.</w:t>
              </w:r>
            </w:hyperlink>
          </w:p>
        </w:tc>
        <w:tc>
          <w:tcPr>
            <w:tcW w:w="9680" w:type="dxa"/>
            <w:vAlign w:val="bottom"/>
          </w:tcPr>
          <w:p>
            <w:pPr>
              <w:ind w:left="14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Dividends (Distributions)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600" w:type="dxa"/>
            <w:vAlign w:val="bottom"/>
            <w:gridSpan w:val="2"/>
          </w:tcPr>
          <w:p>
            <w:pPr>
              <w:ind w:left="340"/>
              <w:spacing w:after="0"/>
              <w:rPr>
                <w:rFonts w:ascii="Arial" w:cs="Arial" w:eastAsia="Arial" w:hAnsi="Arial"/>
                <w:sz w:val="18"/>
                <w:szCs w:val="18"/>
                <w:u w:val="single" w:color="auto"/>
                <w:color w:val="0000EE"/>
                <w:w w:val="95"/>
              </w:rPr>
            </w:pPr>
            <w:hyperlink w:anchor="page122">
              <w:r>
                <w:rPr>
                  <w:rFonts w:ascii="Arial" w:cs="Arial" w:eastAsia="Arial" w:hAnsi="Arial"/>
                  <w:sz w:val="18"/>
                  <w:szCs w:val="18"/>
                  <w:u w:val="single" w:color="auto"/>
                  <w:color w:val="0000EE"/>
                  <w:w w:val="95"/>
                </w:rPr>
                <w:t>23.</w:t>
              </w:r>
            </w:hyperlink>
          </w:p>
        </w:tc>
        <w:tc>
          <w:tcPr>
            <w:tcW w:w="9680" w:type="dxa"/>
            <w:vAlign w:val="bottom"/>
          </w:tcPr>
          <w:p>
            <w:pPr>
              <w:ind w:left="14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Employee Benefit Plan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600" w:type="dxa"/>
            <w:vAlign w:val="bottom"/>
            <w:gridSpan w:val="2"/>
          </w:tcPr>
          <w:p>
            <w:pPr>
              <w:ind w:left="340"/>
              <w:spacing w:after="0"/>
              <w:rPr>
                <w:rFonts w:ascii="Arial" w:cs="Arial" w:eastAsia="Arial" w:hAnsi="Arial"/>
                <w:sz w:val="18"/>
                <w:szCs w:val="18"/>
                <w:u w:val="single" w:color="auto"/>
                <w:color w:val="0000EE"/>
                <w:w w:val="95"/>
              </w:rPr>
            </w:pPr>
            <w:hyperlink w:anchor="page123">
              <w:r>
                <w:rPr>
                  <w:rFonts w:ascii="Arial" w:cs="Arial" w:eastAsia="Arial" w:hAnsi="Arial"/>
                  <w:sz w:val="18"/>
                  <w:szCs w:val="18"/>
                  <w:u w:val="single" w:color="auto"/>
                  <w:color w:val="0000EE"/>
                  <w:w w:val="95"/>
                </w:rPr>
                <w:t>24.</w:t>
              </w:r>
            </w:hyperlink>
          </w:p>
        </w:tc>
        <w:tc>
          <w:tcPr>
            <w:tcW w:w="9680" w:type="dxa"/>
            <w:vAlign w:val="bottom"/>
          </w:tcPr>
          <w:p>
            <w:pPr>
              <w:ind w:left="140"/>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Subsequent Events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864"/>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80" w:type="dxa"/>
            <w:vAlign w:val="bottom"/>
          </w:tcPr>
          <w:p>
            <w:pPr>
              <w:jc w:val="center"/>
              <w:ind w:left="290"/>
              <w:spacing w:after="0"/>
              <w:rPr>
                <w:sz w:val="20"/>
                <w:szCs w:val="20"/>
                <w:color w:val="auto"/>
              </w:rPr>
            </w:pPr>
            <w:r>
              <w:rPr>
                <w:rFonts w:ascii="Arial" w:cs="Arial" w:eastAsia="Arial" w:hAnsi="Arial"/>
                <w:sz w:val="18"/>
                <w:szCs w:val="18"/>
                <w:color w:val="auto"/>
                <w:w w:val="89"/>
              </w:rPr>
              <w:t>61</w:t>
            </w:r>
          </w:p>
        </w:tc>
        <w:tc>
          <w:tcPr>
            <w:tcW w:w="960" w:type="dxa"/>
            <w:vAlign w:val="bottom"/>
          </w:tcPr>
          <w:p>
            <w:pPr>
              <w:spacing w:after="0"/>
              <w:rPr>
                <w:sz w:val="24"/>
                <w:szCs w:val="24"/>
                <w:color w:val="auto"/>
              </w:rPr>
            </w:pPr>
          </w:p>
        </w:tc>
      </w:tr>
      <w:tr>
        <w:trPr>
          <w:trHeight w:val="115"/>
        </w:trPr>
        <w:tc>
          <w:tcPr>
            <w:tcW w:w="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6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Uniti Group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We have audited the accompanying consolidated balance sheet of Uniti Group Inc. and subsidiaries (the Company) as of December 31, 2020, the related consolidated statements of income, comprehensive income (loss), shareholders’ deficit, and cash flows for the year ended December 31, 2020, and the related notes and financial statement schedules I to III (collectively, the consolidated financial statements). In our opinion, the consolidated financial statements present fairly, in all material respects, the financial position of the Company as of December 31, 2020, and the results of its operations and its cash flows for the year ended December 31, 2020, in conformity with U.S. generally accepted accounting principles.</w:t>
      </w:r>
    </w:p>
    <w:p>
      <w:pPr>
        <w:spacing w:after="0" w:line="1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5, 2021 expressed an adverse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the Fiber Infrastructure reporting unit</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discussed in Notes 3 and 12 to the consolidated financial statements, the Company’s consolidated goodwill balance was $601.9 million as of December 31, 2020, all of which is associated with the Fiber Infrastructure segment. The Company performs goodwill impairment testing on an annual basis and whenever events or changes in circumstances occur that would more likely than not reduce the fair value of the reporting unit below its carrying amount. The Company estimated the fair value of the Fiber Infrastructure reporting unit using a combination of an income approach based on the present value of estimated future cash flows and a market approach based on acquisition multiples paid for fiber companies in recent market transactions. The Company recorded impairment of goodwill for the Fiber Infrastructure reporting unit of $71.0 million during the year ended December 31, 2020 to reduce the carrying amount of the reporting unit to estimated fair value.</w:t>
      </w:r>
    </w:p>
    <w:p>
      <w:pPr>
        <w:spacing w:after="0" w:line="17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identified the evaluation of the fair value of the Fiber Infrastructure reporting unit as a critical audit matter. We performed a sensitivity analysis to determine the significant assumptions used to estimate the fair value of the reporting unit, which required challenging auditor judgment. Specifically, forecasted revenue, profit margin, and capital expenditures were challenging to test as they represent subjective estimates of future operations in uncertain market and economic conditions. The discount rate and acquisition multiple were also challenging to test as they represent subjective judgments about the investment market for infrastructure operations and assets. Minor changes to these assumptions, either individually or in aggregate, could have a significant effect on the Company’s assessment of the fair value of the reporting unit and the amount of goodwill impairment. Additionally, the audit effort associated with the evaluation of the fair value of the reporting unit required specialized skills and knowledge.</w:t>
      </w:r>
    </w:p>
    <w:p>
      <w:pPr>
        <w:spacing w:after="0" w:line="17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following are the primary procedures we performed to address this critical audit matter. We evaluated the design and tested the operating effectiveness of certain internal controls related to the Company’s reporting unit fair value determination. This included controls related to forecasted revenue, profit margin, capital expenditures, discount rate, and acquisition multiple. We evaluated the forecasted revenue and profit margins by comparing them to peer company analyst reports. We also obtained an understanding of the Company’s intent to carry out particular courses of action by inspecting their written plans and other relevant documentation, and assessed how the Company incorporated those planned actions into forecasted revenue, profit margins and capital expenditures. We compared the Company’s historical revenue, profit margin and capital expenditure forecasts to actual results to assess the Company’s ability to accurately forecast. We also compared historical actual revenue, profit margin, and capital expenditures to the forecasted revenue, profit margin, and capital expenditures. We also evaluated whether the information used in the determination of the fair value of the reporting unit was consistent with other information used internally, presented to the Board of Directors, and used to develop other externally presented financial information. In addition, we involved a valuation professional with specialized skills and knowledge, who assisted in:</w:t>
      </w:r>
    </w:p>
    <w:p>
      <w:pPr>
        <w:spacing w:after="0" w:line="168" w:lineRule="exact"/>
        <w:rPr>
          <w:sz w:val="20"/>
          <w:szCs w:val="20"/>
          <w:color w:val="auto"/>
        </w:rPr>
      </w:pPr>
    </w:p>
    <w:p>
      <w:pPr>
        <w:ind w:left="880" w:right="260" w:hanging="440"/>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evaluating the Company’s discount rate by comparing it to a discount rate range that was developed using publicly available market data for comparable entities</w:t>
      </w:r>
    </w:p>
    <w:p>
      <w:pPr>
        <w:spacing w:after="0" w:line="170" w:lineRule="exact"/>
        <w:rPr>
          <w:rFonts w:ascii="Arial" w:cs="Arial" w:eastAsia="Arial" w:hAnsi="Arial"/>
          <w:sz w:val="18"/>
          <w:szCs w:val="18"/>
          <w:color w:val="auto"/>
        </w:rPr>
      </w:pPr>
    </w:p>
    <w:p>
      <w:pPr>
        <w:ind w:left="880" w:right="280" w:hanging="440"/>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assessing the comparable transactions used by management to develop the acquisition multiple, and the selection of the acquisition multiple used to determine the fair value of the Fiber Infrastructure reporting unit.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Windstream settlement agreement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discussed in Notes 3, 5, 6 and 17 to the consolidated financial statements, the Company settled its litigation with Windstream Holdings and Windstream Services, LLC (Windstream) and certain of their creditors effective September 21, 2020 pursuant to an agreement (the Settlement Agreement), which included modifying and bifurcating the Master Lease Agreement with Windstream into two separate leases (New Leases). The Settlement Agreement also included an Asset Purchase Agreement, in which the Company acquired property, plant and equipment, intangible assets related to contracts and underlying rights agreements, an intangible liability related to a below market lease, and other assets. Management allocated the total consideration in the arrangement to the components of the lease modification, litigation settlement, and asset purchase based on their estimated fair values. The Company determined that a separately identifiable benefit existed for the litigation settlement as it can be valued independently from the other components of the arrangement. The Company recognized a $650.0 million settlement expense in the Consolidated Statement of Income for the year ended December 31, 2020 and recognized property plant and equipment of $170.8 million, intangible assets related to contracts of $59.3 million, and a liability related to a below-market lease of $195.1 million. Management determined that the terms of the New Leases were at market terms. This background paragraph relates to the following three critical audit matters.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Separately identifiable benefit of settlement of litigation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identified the evaluation of whether the settlement of litigation pursuant to the Settlement Agreement is a separately identifiable benefit, which is distinct from the assets acquired and future lease payments to be made under the New Leases, as a critical audit matter. Challenging auditor judgment, including specialized skills and knowledge, was required to evaluate the appropriateness of the methodology and significant assumptions used in determining that the settlement of litigation is a separately identifiable benefit and should be allocated a portion of the Settlement Agreement consideration. Specifically, management valued the litigation settlement using an expected value model with unobservable assumptions regarding potential litigation outcomes.</w:t>
      </w:r>
    </w:p>
    <w:p>
      <w:pPr>
        <w:spacing w:after="0" w:line="19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process to develop and review the expected value model, including those related to the development of the key assumptions for the potential litigation outcomes. We evaluated the potential litigation outcomes through discussion with management and management’s specialists, and inspection of supporting documents. In addition, we involved valuation professionals with specialized skills and knowledge, who assisted in evaluating the reasonableness of valuation methodology used by management.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assets and liability acquired in the Asset Purchase Agreement</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identified the evaluation of the fair value of property, plant and equipment, intangible assets related to contracts, and the liability related to a below-market lease assumed in the Asset Purchase Agreement as a critical audit matter. Subjective auditor judgment was required to evaluate the significant assumptions regarding (1) the replacement cost assumptions used to value the property, plant and equipment, and (2) the discount rate assumptions used to value the contracts intangible asset and below-market lease liability, due to limited observable market information. In addition, the fair value of these assets and the liability were sensitive to possible changes to the significant assumptions noted above.</w:t>
      </w:r>
    </w:p>
    <w:p>
      <w:pPr>
        <w:spacing w:after="0" w:line="17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acquisition-date valuation process, including those related to the development of the significant assumptions noted above. We evaluated the Company’s replacement cost estimate by comparing it to relevant supporting documentation including, where applicable, engineering records to validate relevant attributes of the assets. We also compared attributes used in the valuation models to the underlying contracts. In addition, we involved valuation professionals with specialized skills and knowledge, who assisted 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comparing the cost estimates used in the valuation to available market data for comparable assets</w:t>
      </w:r>
    </w:p>
    <w:p>
      <w:pPr>
        <w:spacing w:after="0" w:line="225" w:lineRule="exact"/>
        <w:rPr>
          <w:rFonts w:ascii="Arial" w:cs="Arial" w:eastAsia="Arial" w:hAnsi="Arial"/>
          <w:sz w:val="18"/>
          <w:szCs w:val="18"/>
          <w:color w:val="auto"/>
        </w:rPr>
      </w:pPr>
    </w:p>
    <w:p>
      <w:pPr>
        <w:ind w:left="880" w:right="16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evaluating the Company’s discount rates by comparing them to a discount rate range that was developed using publicly available market data for comparable entities.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leased assets</w:t>
      </w:r>
    </w:p>
    <w:p>
      <w:pPr>
        <w:spacing w:after="0" w:line="225"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color w:val="auto"/>
        </w:rPr>
        <w:t>We identified the evaluation of the fair value of assets leased to Windstream, including whether the New Leases were on market terms, as a critical audit matter. Challenging auditor judgment, including specialized skills and knowledge, was required to evaluate whether the fair value of the assets leased to Windstream used in determining the lease classification test for the New Leases were reasonable and whether the New Leases reflected fair market rental rates and terms. Specifically, the replacement cost assumption used to value the assets underlying the New Leases and for determining whether the terms were at market was challenging to test given its subjectivity and sensitivity to variation.</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over the Company’s leased assets valuation process, including those related to the development of the replacement cost. We evaluated the Company’s replacement cost by comparing to relevant support including, where applicable, engineering records to validate relevant attributes of the assets and to evaluate whether the leases were at market terms. In addition, we involved valuation professionals with specialized skills and knowledge, who assisted in:</w:t>
      </w:r>
    </w:p>
    <w:p>
      <w:pPr>
        <w:spacing w:after="0" w:line="188" w:lineRule="exact"/>
        <w:rPr>
          <w:sz w:val="20"/>
          <w:szCs w:val="20"/>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comparing the cost estimates used in the valuation to available market data for comparable assets</w:t>
      </w:r>
    </w:p>
    <w:p>
      <w:pPr>
        <w:spacing w:after="0" w:line="225" w:lineRule="exact"/>
        <w:rPr>
          <w:rFonts w:ascii="Arial" w:cs="Arial" w:eastAsia="Arial" w:hAnsi="Arial"/>
          <w:sz w:val="18"/>
          <w:szCs w:val="18"/>
          <w:color w:val="auto"/>
        </w:rPr>
      </w:pPr>
    </w:p>
    <w:p>
      <w:pPr>
        <w:ind w:left="880" w:right="200" w:hanging="440"/>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evaluating the implied lease rates of the New Leases by comparing them to a discount rate range that was developed using publicly available market data for comparable entities.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Uniti Group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We have audited Uniti Group Inc. and subsidiaries’ (the Company) internal control over financial reporting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In our opinion, because of the effect of the material weakness, described below, on the achievement of the objectives of the control criteria, the Company has not maintained effective internal control over financial reporting as of December 31, 2020,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(2013) </w:t>
      </w:r>
      <w:r>
        <w:rPr>
          <w:rFonts w:ascii="Arial" w:cs="Arial" w:eastAsia="Arial" w:hAnsi="Arial"/>
          <w:sz w:val="17"/>
          <w:szCs w:val="17"/>
          <w:color w:val="auto"/>
        </w:rPr>
        <w:t>issued by the Committee of Sponsoring Organizations of the Treadway Commission.</w:t>
      </w:r>
    </w:p>
    <w:p>
      <w:pPr>
        <w:spacing w:after="0" w:line="17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 of the Company as of December 31, 2020, the related consolidated statements of income, comprehensive income (loss), shareholders’ deficit, and cash flows for the year ended December 31, 2020, and the related notes and financial statement schedules I to III (collectively, the consolidated financial statements), and our report dated March 5, 2021 expressed an unqualified opinion on those consolidated financial statements.</w:t>
      </w:r>
    </w:p>
    <w:p>
      <w:pPr>
        <w:spacing w:after="0" w:line="1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ineffective controls over the annual goodwill impairment assessment, specifically, the control activities over the calculation of the carrying value to be used in the assessment of goodwill impairment did not operate effectively due to an insufficient complement of qualified personnel, has been identified and included in management’s assessment. The material weakness was considered in determining the nature, timing, and extent of audit tests applied in our audit of the 2020 consolidated financial statements, and this report does not affect our report on those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Uniti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audited the consolidated balance sheet of Uniti Group Inc. and its subsidiaries (the “Company”) as of December 31, 2019, and the related consolidated statements of income, of comprehensive income (loss), of shareholders’ deficit and of cash flows for each of the two years in the period ended December 31, 2019, including the related notes and schedule of condensed financial information of the Registrant as of December 31, 2019 and for each of the two years in the period ended December 31, 2019, schedule of valuation and qualifying accounts for each of the two years in the period ended December 31, 2019, and schedule of real estate investments and accumulated depreciation for the year ended December 31, 2019 listed in the index appearing under Item 15 (collectively referred to as the “consolidated financial statements”). In our opinion, the consolidated financial statements present fairly, in all material respects, the financial position of the Company as of December 31, 2019, and the results of its operations and its cash flows for each of the two years in the period ended December 31, 2019 in conformity with accounting principles generally accepted in the United States of America.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7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consolidated financial statements have been prepared assuming that the Company will continue as a going concern. As discussed in Note 2 (not presented herein) to the consolidated financial statements, the Company’s most significant customer, Windstream Holdings, Inc., which accounts for approximately 65.0% of consolidated total revenues for the year ended December 31, 2019, filed a voluntary petition for relief under Chapter 11 of the Bankruptcy Code, and uncertainties surrounding potential impacts to the Company resulting from Windstream Holdings, Inc.’s bankruptcy filing raise substantial doubt about the Company’s ability to continue as a going concern. Management's plans in regard to these matters are also described in Note 2 (not presented herein). The consolidated financial statements do not include any adjustments that might result from the outcome of this uncertainty.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3 to the consolidated financial statements, the Company changed the manner in which it accounts for leases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3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Little Rock, Arkansas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2014 to 2020.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gridSpan w:val="2"/>
          </w:tcPr>
          <w:p>
            <w:pPr>
              <w:spacing w:after="0"/>
              <w:rPr>
                <w:sz w:val="20"/>
                <w:szCs w:val="20"/>
                <w:color w:val="auto"/>
              </w:rPr>
            </w:pPr>
            <w:r>
              <w:rPr>
                <w:rFonts w:ascii="Arial" w:cs="Arial" w:eastAsia="Arial" w:hAnsi="Arial"/>
                <w:sz w:val="14"/>
                <w:szCs w:val="14"/>
                <w:color w:val="auto"/>
              </w:rPr>
              <w:t>(Thousands, except par value)</w:t>
            </w:r>
          </w:p>
        </w:tc>
        <w:tc>
          <w:tcPr>
            <w:tcW w:w="180" w:type="dxa"/>
            <w:vAlign w:val="bottom"/>
          </w:tcPr>
          <w:p>
            <w:pPr>
              <w:spacing w:after="0"/>
              <w:rPr>
                <w:sz w:val="14"/>
                <w:szCs w:val="14"/>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December 31, 2020</w:t>
            </w:r>
          </w:p>
        </w:tc>
        <w:tc>
          <w:tcPr>
            <w:tcW w:w="160" w:type="dxa"/>
            <w:vAlign w:val="bottom"/>
          </w:tcPr>
          <w:p>
            <w:pPr>
              <w:spacing w:after="0"/>
              <w:rPr>
                <w:sz w:val="14"/>
                <w:szCs w:val="14"/>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30"/>
        </w:trPr>
        <w:tc>
          <w:tcPr>
            <w:tcW w:w="734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CFF0FC"/>
            </w:tcBorders>
            <w:shd w:val="clear" w:color="auto" w:fill="CFF0FC"/>
          </w:tcPr>
          <w:p>
            <w:pPr>
              <w:spacing w:after="0"/>
              <w:rPr>
                <w:sz w:val="20"/>
                <w:szCs w:val="20"/>
                <w:color w:val="auto"/>
              </w:rPr>
            </w:pPr>
          </w:p>
        </w:tc>
        <w:tc>
          <w:tcPr>
            <w:tcW w:w="1520" w:type="dxa"/>
            <w:vAlign w:val="bottom"/>
            <w:tcBorders>
              <w:top w:val="single" w:sz="8" w:color="auto"/>
              <w:bottom w:val="single" w:sz="8" w:color="CFF0FC"/>
            </w:tcBorders>
            <w:shd w:val="clear" w:color="auto" w:fill="CFF0FC"/>
          </w:tcPr>
          <w:p>
            <w:pPr>
              <w:spacing w:after="0"/>
              <w:rPr>
                <w:sz w:val="20"/>
                <w:szCs w:val="20"/>
                <w:color w:val="auto"/>
              </w:rPr>
            </w:pP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CFF0FC"/>
            </w:tcBorders>
            <w:shd w:val="clear" w:color="auto" w:fill="CFF0FC"/>
          </w:tcPr>
          <w:p>
            <w:pPr>
              <w:spacing w:after="0"/>
              <w:rPr>
                <w:sz w:val="20"/>
                <w:szCs w:val="20"/>
                <w:color w:val="auto"/>
              </w:rPr>
            </w:pPr>
          </w:p>
        </w:tc>
        <w:tc>
          <w:tcPr>
            <w:tcW w:w="154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3,273,353</w:t>
            </w:r>
          </w:p>
        </w:tc>
        <w:tc>
          <w:tcPr>
            <w:tcW w:w="2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3,409,945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77,534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ind w:left="2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62,952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601,878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690,672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26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390,725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531,979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Straight-line revenue receivable</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ind w:left="260"/>
              <w:spacing w:after="0"/>
              <w:rPr>
                <w:sz w:val="20"/>
                <w:szCs w:val="20"/>
                <w:color w:val="auto"/>
              </w:rPr>
            </w:pPr>
            <w:r>
              <w:rPr>
                <w:rFonts w:ascii="Arial" w:cs="Arial" w:eastAsia="Arial" w:hAnsi="Arial"/>
                <w:sz w:val="18"/>
                <w:szCs w:val="18"/>
                <w:color w:val="auto"/>
              </w:rPr>
              <w:t>Other assets, net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152,883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161,560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Investments in unconsolidated entities</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66,043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Assets held for sale</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93,343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4,731,818</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5,017,000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260"/>
              <w:spacing w:after="0"/>
              <w:rPr>
                <w:sz w:val="20"/>
                <w:szCs w:val="20"/>
                <w:color w:val="auto"/>
              </w:rPr>
            </w:pPr>
            <w:r>
              <w:rPr>
                <w:rFonts w:ascii="Arial" w:cs="Arial" w:eastAsia="Arial" w:hAnsi="Arial"/>
                <w:sz w:val="18"/>
                <w:szCs w:val="18"/>
                <w:color w:val="auto"/>
              </w:rPr>
              <w:t>Accounts payable, accrued expenses and other liabilities,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146,144</w:t>
            </w:r>
          </w:p>
        </w:tc>
        <w:tc>
          <w:tcPr>
            <w:tcW w:w="2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227,121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Settlement payable (Note 17)</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418,840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ind w:left="260"/>
              <w:spacing w:after="0"/>
              <w:rPr>
                <w:sz w:val="20"/>
                <w:szCs w:val="20"/>
                <w:color w:val="auto"/>
              </w:rPr>
            </w:pPr>
            <w:r>
              <w:rPr>
                <w:rFonts w:ascii="Arial" w:cs="Arial" w:eastAsia="Arial" w:hAnsi="Arial"/>
                <w:sz w:val="18"/>
                <w:szCs w:val="18"/>
                <w:color w:val="auto"/>
              </w:rPr>
              <w:t>Intangible liabilities, net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187,886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95,338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ind w:left="26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995,123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1,070,671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Derivative liability, net</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ind w:left="260"/>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36,725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260"/>
              <w:spacing w:after="0"/>
              <w:rPr>
                <w:sz w:val="20"/>
                <w:szCs w:val="20"/>
                <w:color w:val="auto"/>
              </w:rPr>
            </w:pPr>
            <w:r>
              <w:rPr>
                <w:rFonts w:ascii="Arial" w:cs="Arial" w:eastAsia="Arial" w:hAnsi="Arial"/>
                <w:sz w:val="18"/>
                <w:szCs w:val="18"/>
                <w:color w:val="auto"/>
              </w:rPr>
              <w:t>Finance lease obligations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15,468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260"/>
              <w:spacing w:after="0"/>
              <w:rPr>
                <w:sz w:val="20"/>
                <w:szCs w:val="20"/>
                <w:color w:val="auto"/>
              </w:rPr>
            </w:pPr>
            <w:r>
              <w:rPr>
                <w:rFonts w:ascii="Arial" w:cs="Arial" w:eastAsia="Arial" w:hAnsi="Arial"/>
                <w:sz w:val="18"/>
                <w:szCs w:val="18"/>
                <w:color w:val="auto"/>
              </w:rPr>
              <w:t>Notes and other debt, net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4,816,524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5,017,679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Liabilities held for sale</w:t>
            </w: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55,752</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CFF0FC"/>
            </w:tcBorders>
            <w:gridSpan w:val="2"/>
          </w:tcPr>
          <w:p>
            <w:pPr>
              <w:ind w:left="5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6,804,194</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6,500,164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Commitments and contingencies (Note 17)</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Shareholders' Deficit:</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3"/>
              </w:rPr>
              <w:t>Preferred stock, $0.0001 par value, 50,000 shares authorized, no shares issued and outstanding</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80" w:type="dxa"/>
            <w:vAlign w:val="bottom"/>
            <w:gridSpan w:val="2"/>
          </w:tcPr>
          <w:p>
            <w:pPr>
              <w:ind w:left="260"/>
              <w:spacing w:after="0"/>
              <w:rPr>
                <w:sz w:val="20"/>
                <w:szCs w:val="20"/>
                <w:color w:val="auto"/>
              </w:rPr>
            </w:pPr>
            <w:r>
              <w:rPr>
                <w:rFonts w:ascii="Arial" w:cs="Arial" w:eastAsia="Arial" w:hAnsi="Arial"/>
                <w:sz w:val="18"/>
                <w:szCs w:val="18"/>
                <w:color w:val="auto"/>
                <w:w w:val="93"/>
              </w:rPr>
              <w:t>Common stock, $0.0001 par value, 500,000 shares authorized, issued and outstanding: 231,262</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260"/>
              <w:spacing w:after="0"/>
              <w:rPr>
                <w:sz w:val="20"/>
                <w:szCs w:val="20"/>
                <w:color w:val="auto"/>
              </w:rPr>
            </w:pPr>
            <w:r>
              <w:rPr>
                <w:rFonts w:ascii="Arial" w:cs="Arial" w:eastAsia="Arial" w:hAnsi="Arial"/>
                <w:sz w:val="18"/>
                <w:szCs w:val="18"/>
                <w:color w:val="auto"/>
              </w:rPr>
              <w:t>shares at December 31, 2020 and 192,142 at December 31, 2019</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1,209,141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2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(20,367)</w:t>
            </w:r>
          </w:p>
        </w:tc>
        <w:tc>
          <w:tcPr>
            <w:tcW w:w="16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(23,442)</w:t>
            </w:r>
          </w:p>
        </w:tc>
        <w:tc>
          <w:tcPr>
            <w:tcW w:w="0" w:type="dxa"/>
            <w:vAlign w:val="bottom"/>
          </w:tcPr>
          <w:p>
            <w:pPr>
              <w:spacing w:after="0"/>
              <w:rPr>
                <w:sz w:val="1"/>
                <w:szCs w:val="1"/>
                <w:color w:val="auto"/>
              </w:rPr>
            </w:pPr>
          </w:p>
        </w:tc>
      </w:tr>
      <w:tr>
        <w:trPr>
          <w:trHeight w:val="229"/>
        </w:trPr>
        <w:tc>
          <w:tcPr>
            <w:tcW w:w="7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Distributions in excess of accumulated earnings</w:t>
            </w:r>
          </w:p>
        </w:tc>
        <w:tc>
          <w:tcPr>
            <w:tcW w:w="1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(3,330,455)</w:t>
            </w: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(2,494,740)</w:t>
            </w:r>
          </w:p>
        </w:tc>
        <w:tc>
          <w:tcPr>
            <w:tcW w:w="0" w:type="dxa"/>
            <w:vAlign w:val="bottom"/>
          </w:tcPr>
          <w:p>
            <w:pPr>
              <w:spacing w:after="0"/>
              <w:rPr>
                <w:sz w:val="1"/>
                <w:szCs w:val="1"/>
                <w:color w:val="auto"/>
              </w:rPr>
            </w:pPr>
          </w:p>
        </w:tc>
      </w:tr>
      <w:tr>
        <w:trPr>
          <w:trHeight w:val="223"/>
        </w:trPr>
        <w:tc>
          <w:tcPr>
            <w:tcW w:w="7480" w:type="dxa"/>
            <w:vAlign w:val="bottom"/>
            <w:gridSpan w:val="2"/>
          </w:tcPr>
          <w:p>
            <w:pPr>
              <w:ind w:left="260"/>
              <w:spacing w:after="0"/>
              <w:rPr>
                <w:sz w:val="20"/>
                <w:szCs w:val="20"/>
                <w:color w:val="auto"/>
              </w:rPr>
            </w:pPr>
            <w:r>
              <w:rPr>
                <w:rFonts w:ascii="Arial" w:cs="Arial" w:eastAsia="Arial" w:hAnsi="Arial"/>
                <w:sz w:val="18"/>
                <w:szCs w:val="18"/>
                <w:color w:val="auto"/>
              </w:rPr>
              <w:t>Total Uniti shareholders' deficit</w:t>
            </w: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(2,141,658)</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(1,566,868)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380"/>
              <w:spacing w:after="0"/>
              <w:rPr>
                <w:sz w:val="20"/>
                <w:szCs w:val="20"/>
                <w:color w:val="auto"/>
              </w:rPr>
            </w:pPr>
            <w:r>
              <w:rPr>
                <w:rFonts w:ascii="Arial" w:cs="Arial" w:eastAsia="Arial" w:hAnsi="Arial"/>
                <w:sz w:val="18"/>
                <w:szCs w:val="18"/>
                <w:color w:val="auto"/>
              </w:rPr>
              <w:t>Operating partnership units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69,157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83,704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98"/>
              </w:rPr>
              <w:t>Cumulative non-voting convertible preferred stock, $0.01 par value, 3 shares authorized, 1</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issued and outstanding</w:t>
            </w:r>
          </w:p>
        </w:tc>
        <w:tc>
          <w:tcPr>
            <w:tcW w:w="18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CFF0FC"/>
            </w:tcBorders>
            <w:gridSpan w:val="2"/>
          </w:tcPr>
          <w:p>
            <w:pPr>
              <w:ind w:left="520"/>
              <w:spacing w:after="0"/>
              <w:rPr>
                <w:sz w:val="20"/>
                <w:szCs w:val="20"/>
                <w:color w:val="auto"/>
              </w:rPr>
            </w:pPr>
            <w:r>
              <w:rPr>
                <w:rFonts w:ascii="Arial" w:cs="Arial" w:eastAsia="Arial" w:hAnsi="Arial"/>
                <w:sz w:val="18"/>
                <w:szCs w:val="18"/>
                <w:color w:val="auto"/>
              </w:rPr>
              <w:t>Total shareholders' deficit</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(2,072,376)</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(1,483,164)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4,731,818</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5,017,000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1"/>
              </w:rPr>
              <w:t>Year Ended December 31,</w:t>
            </w: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60" w:type="dxa"/>
            <w:vAlign w:val="bottom"/>
            <w:gridSpan w:val="2"/>
          </w:tcPr>
          <w:p>
            <w:pPr>
              <w:spacing w:after="0"/>
              <w:rPr>
                <w:sz w:val="20"/>
                <w:szCs w:val="20"/>
                <w:color w:val="auto"/>
              </w:rPr>
            </w:pPr>
            <w:r>
              <w:rPr>
                <w:rFonts w:ascii="Arial" w:cs="Arial" w:eastAsia="Arial" w:hAnsi="Arial"/>
                <w:sz w:val="14"/>
                <w:szCs w:val="14"/>
                <w:color w:val="auto"/>
              </w:rPr>
              <w:t>(Thousands, except per share data)</w:t>
            </w:r>
          </w:p>
        </w:tc>
        <w:tc>
          <w:tcPr>
            <w:tcW w:w="440" w:type="dxa"/>
            <w:vAlign w:val="bottom"/>
          </w:tcPr>
          <w:p>
            <w:pPr>
              <w:spacing w:after="0"/>
              <w:rPr>
                <w:sz w:val="20"/>
                <w:szCs w:val="20"/>
                <w:color w:val="auto"/>
              </w:rPr>
            </w:pPr>
          </w:p>
        </w:tc>
        <w:tc>
          <w:tcPr>
            <w:tcW w:w="1400" w:type="dxa"/>
            <w:vAlign w:val="bottom"/>
          </w:tcPr>
          <w:p>
            <w:pPr>
              <w:jc w:val="right"/>
              <w:ind w:right="69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right"/>
              <w:ind w:right="69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745,915</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716,640</w:t>
            </w:r>
          </w:p>
        </w:tc>
        <w:tc>
          <w:tcPr>
            <w:tcW w:w="240" w:type="dxa"/>
            <w:vAlign w:val="bottom"/>
          </w:tcPr>
          <w:p>
            <w:pPr>
              <w:spacing w:after="0"/>
              <w:rPr>
                <w:sz w:val="19"/>
                <w:szCs w:val="19"/>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699,847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314,363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315,605</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Tower</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14,693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10,673</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ind w:left="500"/>
              <w:spacing w:after="0"/>
              <w:rPr>
                <w:sz w:val="20"/>
                <w:szCs w:val="20"/>
                <w:color w:val="auto"/>
              </w:rPr>
            </w:pPr>
            <w:r>
              <w:rPr>
                <w:rFonts w:ascii="Arial" w:cs="Arial" w:eastAsia="Arial" w:hAnsi="Arial"/>
                <w:sz w:val="18"/>
                <w:szCs w:val="18"/>
                <w:color w:val="auto"/>
              </w:rPr>
              <w:t>Total revenues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1,067,041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1,057,611</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1,017,634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44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Interest expense, net</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497,128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390,112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319,591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329,403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405,754</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 expense</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104,975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102,900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expense (exclusive of depreciation, accretion and</w:t>
            </w: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w:t>
            </w:r>
          </w:p>
        </w:tc>
        <w:tc>
          <w:tcPr>
            <w:tcW w:w="4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159,337</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160,024</w:t>
            </w: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Settlement expense (Note 17)</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Goodwill impairment (Note 3)</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Transaction related and other costs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63,875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43,708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 on sale of real estate (Note 6)</w:t>
            </w:r>
          </w:p>
        </w:tc>
        <w:tc>
          <w:tcPr>
            <w:tcW w:w="4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(86,267)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(28,995)</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(31,463)</w:t>
            </w:r>
          </w:p>
        </w:tc>
        <w:tc>
          <w:tcPr>
            <w:tcW w:w="4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(4,504)</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costs and expenses</w:t>
            </w: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1,801,154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1,042,040</w:t>
            </w: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1,006,510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w w:val="93"/>
              </w:rPr>
              <w:t>(Loss) income before income taxes and equity in earnings (loss)</w:t>
            </w: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from unconsolidated entities</w:t>
            </w:r>
          </w:p>
        </w:tc>
        <w:tc>
          <w:tcPr>
            <w:tcW w:w="4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(734,113)</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15,571</w:t>
            </w: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Income tax (benefit) expense</w:t>
            </w:r>
          </w:p>
        </w:tc>
        <w:tc>
          <w:tcPr>
            <w:tcW w:w="4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(15,203)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4,663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(5,421)</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in earnings (loss) from unconsolidated entities</w:t>
            </w: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Net (loss) income</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(718,812)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10,908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4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(12,511)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Net (loss) income attributable to shareholders</w:t>
            </w:r>
          </w:p>
        </w:tc>
        <w:tc>
          <w:tcPr>
            <w:tcW w:w="4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(706,301)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10,582</w:t>
            </w:r>
          </w:p>
        </w:tc>
        <w:tc>
          <w:tcPr>
            <w:tcW w:w="2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4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(549)</w:t>
            </w:r>
          </w:p>
        </w:tc>
        <w:tc>
          <w:tcPr>
            <w:tcW w:w="4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4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(656)</w:t>
            </w:r>
          </w:p>
        </w:tc>
        <w:tc>
          <w:tcPr>
            <w:tcW w:w="4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of discount on convertible preferred stock</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(993)</w:t>
            </w:r>
          </w:p>
        </w:tc>
        <w:tc>
          <w:tcPr>
            <w:tcW w:w="4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63"/>
        </w:trPr>
        <w:tc>
          <w:tcPr>
            <w:tcW w:w="5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(707,388)</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8,384</w:t>
            </w:r>
          </w:p>
        </w:tc>
        <w:tc>
          <w:tcPr>
            <w:tcW w:w="24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(Loss) earnings per common share (Note 15):</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gridSpan w:val="2"/>
            <w:vMerge w:val="restart"/>
          </w:tcPr>
          <w:p>
            <w:pPr>
              <w:ind w:left="260"/>
              <w:spacing w:after="0"/>
              <w:rPr>
                <w:sz w:val="20"/>
                <w:szCs w:val="20"/>
                <w:color w:val="auto"/>
              </w:rPr>
            </w:pPr>
            <w:r>
              <w:rPr>
                <w:rFonts w:ascii="Arial" w:cs="Arial" w:eastAsia="Arial" w:hAnsi="Arial"/>
                <w:sz w:val="18"/>
                <w:szCs w:val="18"/>
                <w:color w:val="auto"/>
              </w:rPr>
              <w:t>Diluted</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FF0FC"/>
            </w:tcBorders>
            <w:gridSpan w:val="2"/>
            <w:vMerge w:val="continue"/>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Weighted-average number of common shares outstanding</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4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203,600</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187,358</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176,169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260"/>
              <w:spacing w:after="0"/>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187,358</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4"/>
              </w:rPr>
              <w:t>Year Ended December 31,</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(718,812)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16,545</w:t>
            </w:r>
          </w:p>
        </w:tc>
        <w:tc>
          <w:tcPr>
            <w:tcW w:w="100" w:type="dxa"/>
            <w:vAlign w:val="bottom"/>
            <w:shd w:val="clear" w:color="auto" w:fill="CFF0FC"/>
          </w:tcPr>
          <w:p>
            <w:pPr>
              <w:spacing w:after="0"/>
              <w:rPr>
                <w:sz w:val="19"/>
                <w:szCs w:val="19"/>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gain on derivative contracts</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(7,036)</w:t>
            </w:r>
          </w:p>
        </w:tc>
        <w:tc>
          <w:tcPr>
            <w:tcW w:w="14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(54,612)</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24,251</w:t>
            </w:r>
          </w:p>
        </w:tc>
        <w:tc>
          <w:tcPr>
            <w:tcW w:w="100" w:type="dxa"/>
            <w:vAlign w:val="bottom"/>
            <w:shd w:val="clear" w:color="auto" w:fill="CFF0FC"/>
          </w:tcPr>
          <w:p>
            <w:pPr>
              <w:spacing w:after="0"/>
              <w:rPr>
                <w:sz w:val="19"/>
                <w:szCs w:val="19"/>
                <w:color w:val="auto"/>
              </w:rPr>
            </w:pPr>
          </w:p>
        </w:tc>
      </w:tr>
      <w:tr>
        <w:trPr>
          <w:trHeight w:val="229"/>
        </w:trPr>
        <w:tc>
          <w:tcPr>
            <w:tcW w:w="4560" w:type="dxa"/>
            <w:vAlign w:val="bottom"/>
          </w:tcPr>
          <w:p>
            <w:pPr>
              <w:ind w:left="260"/>
              <w:spacing w:after="0"/>
              <w:rPr>
                <w:sz w:val="20"/>
                <w:szCs w:val="20"/>
                <w:color w:val="auto"/>
              </w:rPr>
            </w:pPr>
            <w:r>
              <w:rPr>
                <w:rFonts w:ascii="Arial" w:cs="Arial" w:eastAsia="Arial" w:hAnsi="Arial"/>
                <w:sz w:val="18"/>
                <w:szCs w:val="18"/>
                <w:color w:val="auto"/>
              </w:rPr>
              <w:t>Changes in foreign currency translation</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(1,440)</w:t>
            </w: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termination</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10,155</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(54,675)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22,811</w:t>
            </w:r>
          </w:p>
        </w:tc>
        <w:tc>
          <w:tcPr>
            <w:tcW w:w="100" w:type="dxa"/>
            <w:vAlign w:val="bottom"/>
            <w:tcBorders>
              <w:bottom w:val="single" w:sz="8" w:color="CFF0FC"/>
            </w:tcBorders>
          </w:tcPr>
          <w:p>
            <w:pPr>
              <w:spacing w:after="0"/>
              <w:rPr>
                <w:sz w:val="19"/>
                <w:szCs w:val="19"/>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 income</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(715,693)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39,356</w:t>
            </w:r>
          </w:p>
        </w:tc>
        <w:tc>
          <w:tcPr>
            <w:tcW w:w="100" w:type="dxa"/>
            <w:vAlign w:val="bottom"/>
            <w:shd w:val="clear" w:color="auto" w:fill="CFF0FC"/>
          </w:tcPr>
          <w:p>
            <w:pPr>
              <w:spacing w:after="0"/>
              <w:rPr>
                <w:sz w:val="19"/>
                <w:szCs w:val="19"/>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8"/>
                <w:szCs w:val="18"/>
                <w:color w:val="auto"/>
                <w:w w:val="96"/>
              </w:rPr>
              <w:t>Comprehensive (loss) income attributable to noncontrolling</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(12,467)</w:t>
            </w:r>
          </w:p>
        </w:tc>
        <w:tc>
          <w:tcPr>
            <w:tcW w:w="140" w:type="dxa"/>
            <w:vAlign w:val="bottom"/>
          </w:tcPr>
          <w:p>
            <w:pPr>
              <w:spacing w:after="0"/>
              <w:rPr>
                <w:sz w:val="20"/>
                <w:szCs w:val="20"/>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(1,128)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0"/>
                <w:szCs w:val="20"/>
                <w:color w:val="auto"/>
              </w:rPr>
            </w:pPr>
          </w:p>
        </w:tc>
      </w:tr>
      <w:tr>
        <w:trPr>
          <w:trHeight w:val="205"/>
        </w:trPr>
        <w:tc>
          <w:tcPr>
            <w:tcW w:w="45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8"/>
              </w:rPr>
              <w:t>Comprehensive (loss) income attributable to common</w:t>
            </w:r>
          </w:p>
        </w:tc>
        <w:tc>
          <w:tcPr>
            <w:tcW w:w="14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8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shareholders</w:t>
            </w:r>
          </w:p>
        </w:tc>
        <w:tc>
          <w:tcPr>
            <w:tcW w:w="60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(703,226)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(42,639)</w:t>
            </w:r>
          </w:p>
        </w:tc>
        <w:tc>
          <w:tcPr>
            <w:tcW w:w="56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38,472</w:t>
            </w:r>
          </w:p>
        </w:tc>
        <w:tc>
          <w:tcPr>
            <w:tcW w:w="100" w:type="dxa"/>
            <w:vAlign w:val="bottom"/>
            <w:shd w:val="clear" w:color="auto" w:fill="CFF0FC"/>
          </w:tcPr>
          <w:p>
            <w:pPr>
              <w:spacing w:after="0"/>
              <w:rPr>
                <w:sz w:val="20"/>
                <w:szCs w:val="20"/>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Deficit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color w:val="auto"/>
                <w:w w:val="91"/>
              </w:rPr>
              <w:t>Noncontrolling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4"/>
          </w:tcPr>
          <w:p>
            <w:pPr>
              <w:jc w:val="center"/>
              <w:spacing w:after="0" w:line="135" w:lineRule="exact"/>
              <w:rPr>
                <w:sz w:val="20"/>
                <w:szCs w:val="20"/>
                <w:color w:val="auto"/>
              </w:rPr>
            </w:pPr>
            <w:r>
              <w:rPr>
                <w:rFonts w:ascii="Arial" w:cs="Arial" w:eastAsia="Arial" w:hAnsi="Arial"/>
                <w:sz w:val="12"/>
                <w:szCs w:val="12"/>
                <w:color w:val="auto"/>
                <w:w w:val="89"/>
              </w:rPr>
              <w:t>Accumulated</w:t>
            </w:r>
          </w:p>
        </w:tc>
        <w:tc>
          <w:tcPr>
            <w:tcW w:w="220" w:type="dxa"/>
            <w:vAlign w:val="bottom"/>
          </w:tcPr>
          <w:p>
            <w:pPr>
              <w:spacing w:after="0"/>
              <w:rPr>
                <w:sz w:val="11"/>
                <w:szCs w:val="11"/>
                <w:color w:val="auto"/>
              </w:rPr>
            </w:pPr>
          </w:p>
        </w:tc>
        <w:tc>
          <w:tcPr>
            <w:tcW w:w="720" w:type="dxa"/>
            <w:vAlign w:val="bottom"/>
            <w:gridSpan w:val="5"/>
          </w:tcPr>
          <w:p>
            <w:pPr>
              <w:spacing w:after="0" w:line="135" w:lineRule="exact"/>
              <w:rPr>
                <w:sz w:val="20"/>
                <w:szCs w:val="20"/>
                <w:color w:val="auto"/>
              </w:rPr>
            </w:pPr>
            <w:r>
              <w:rPr>
                <w:rFonts w:ascii="Arial" w:cs="Arial" w:eastAsia="Arial" w:hAnsi="Arial"/>
                <w:sz w:val="12"/>
                <w:szCs w:val="12"/>
                <w:color w:val="auto"/>
              </w:rPr>
              <w:t>Distributions</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color w:val="auto"/>
                <w:w w:val="88"/>
              </w:rPr>
              <w:t>Interest - Non-</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5"/>
          </w:tcPr>
          <w:p>
            <w:pPr>
              <w:jc w:val="right"/>
              <w:ind w:right="80"/>
              <w:spacing w:after="0" w:line="135" w:lineRule="exact"/>
              <w:rPr>
                <w:sz w:val="20"/>
                <w:szCs w:val="20"/>
                <w:color w:val="auto"/>
              </w:rPr>
            </w:pPr>
            <w:r>
              <w:rPr>
                <w:rFonts w:ascii="Arial" w:cs="Arial" w:eastAsia="Arial" w:hAnsi="Arial"/>
                <w:sz w:val="12"/>
                <w:szCs w:val="12"/>
                <w:color w:val="auto"/>
                <w:w w:val="98"/>
              </w:rPr>
              <w:t>Additional</w:t>
            </w:r>
          </w:p>
        </w:tc>
        <w:tc>
          <w:tcPr>
            <w:tcW w:w="180" w:type="dxa"/>
            <w:vAlign w:val="bottom"/>
          </w:tcPr>
          <w:p>
            <w:pPr>
              <w:spacing w:after="0"/>
              <w:rPr>
                <w:sz w:val="11"/>
                <w:szCs w:val="11"/>
                <w:color w:val="auto"/>
              </w:rPr>
            </w:pPr>
          </w:p>
        </w:tc>
        <w:tc>
          <w:tcPr>
            <w:tcW w:w="740" w:type="dxa"/>
            <w:vAlign w:val="bottom"/>
            <w:gridSpan w:val="4"/>
          </w:tcPr>
          <w:p>
            <w:pPr>
              <w:jc w:val="center"/>
              <w:spacing w:after="0" w:line="135" w:lineRule="exact"/>
              <w:rPr>
                <w:sz w:val="20"/>
                <w:szCs w:val="20"/>
                <w:color w:val="auto"/>
              </w:rPr>
            </w:pPr>
            <w:r>
              <w:rPr>
                <w:rFonts w:ascii="Arial" w:cs="Arial" w:eastAsia="Arial" w:hAnsi="Arial"/>
                <w:sz w:val="12"/>
                <w:szCs w:val="12"/>
                <w:color w:val="auto"/>
                <w:w w:val="93"/>
              </w:rPr>
              <w:t>Other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jc w:val="right"/>
              <w:ind w:right="120"/>
              <w:spacing w:after="0" w:line="135" w:lineRule="exact"/>
              <w:rPr>
                <w:sz w:val="20"/>
                <w:szCs w:val="20"/>
                <w:color w:val="auto"/>
              </w:rPr>
            </w:pPr>
            <w:r>
              <w:rPr>
                <w:rFonts w:ascii="Arial" w:cs="Arial" w:eastAsia="Arial" w:hAnsi="Arial"/>
                <w:sz w:val="12"/>
                <w:szCs w:val="12"/>
                <w:color w:val="auto"/>
                <w:w w:val="77"/>
              </w:rPr>
              <w:t>in Excess of</w:t>
            </w:r>
          </w:p>
        </w:tc>
        <w:tc>
          <w:tcPr>
            <w:tcW w:w="140" w:type="dxa"/>
            <w:vAlign w:val="bottom"/>
          </w:tcPr>
          <w:p>
            <w:pPr>
              <w:spacing w:after="0"/>
              <w:rPr>
                <w:sz w:val="11"/>
                <w:szCs w:val="11"/>
                <w:color w:val="auto"/>
              </w:rPr>
            </w:pPr>
          </w:p>
        </w:tc>
        <w:tc>
          <w:tcPr>
            <w:tcW w:w="900" w:type="dxa"/>
            <w:vAlign w:val="bottom"/>
            <w:gridSpan w:val="4"/>
          </w:tcPr>
          <w:p>
            <w:pPr>
              <w:spacing w:after="0" w:line="135" w:lineRule="exact"/>
              <w:rPr>
                <w:sz w:val="20"/>
                <w:szCs w:val="20"/>
                <w:color w:val="auto"/>
              </w:rPr>
            </w:pPr>
            <w:r>
              <w:rPr>
                <w:rFonts w:ascii="Arial" w:cs="Arial" w:eastAsia="Arial" w:hAnsi="Arial"/>
                <w:sz w:val="12"/>
                <w:szCs w:val="12"/>
                <w:color w:val="auto"/>
              </w:rPr>
              <w:t>Noncontrolling</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93"/>
              </w:rPr>
              <w:t>voting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tcPr>
          <w:p>
            <w:pPr>
              <w:jc w:val="center"/>
              <w:ind w:right="140"/>
              <w:spacing w:after="0" w:line="135" w:lineRule="exact"/>
              <w:rPr>
                <w:sz w:val="20"/>
                <w:szCs w:val="20"/>
                <w:color w:val="auto"/>
              </w:rPr>
            </w:pPr>
            <w:r>
              <w:rPr>
                <w:rFonts w:ascii="Arial" w:cs="Arial" w:eastAsia="Arial" w:hAnsi="Arial"/>
                <w:sz w:val="12"/>
                <w:szCs w:val="12"/>
                <w:color w:val="auto"/>
                <w:w w:val="89"/>
              </w:rPr>
              <w:t>Total</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5"/>
          </w:tcPr>
          <w:p>
            <w:pPr>
              <w:jc w:val="right"/>
              <w:ind w:right="160"/>
              <w:spacing w:after="0" w:line="135" w:lineRule="exact"/>
              <w:rPr>
                <w:sz w:val="20"/>
                <w:szCs w:val="20"/>
                <w:color w:val="auto"/>
              </w:rPr>
            </w:pPr>
            <w:r>
              <w:rPr>
                <w:rFonts w:ascii="Arial" w:cs="Arial" w:eastAsia="Arial" w:hAnsi="Arial"/>
                <w:sz w:val="12"/>
                <w:szCs w:val="12"/>
                <w:color w:val="auto"/>
              </w:rPr>
              <w:t>Paid-in</w:t>
            </w:r>
          </w:p>
        </w:tc>
        <w:tc>
          <w:tcPr>
            <w:tcW w:w="920" w:type="dxa"/>
            <w:vAlign w:val="bottom"/>
            <w:gridSpan w:val="5"/>
          </w:tcPr>
          <w:p>
            <w:pPr>
              <w:jc w:val="center"/>
              <w:ind w:left="102"/>
              <w:spacing w:after="0" w:line="135" w:lineRule="exact"/>
              <w:rPr>
                <w:sz w:val="20"/>
                <w:szCs w:val="20"/>
                <w:color w:val="auto"/>
              </w:rPr>
            </w:pPr>
            <w:r>
              <w:rPr>
                <w:rFonts w:ascii="Arial" w:cs="Arial" w:eastAsia="Arial" w:hAnsi="Arial"/>
                <w:sz w:val="12"/>
                <w:szCs w:val="12"/>
                <w:color w:val="auto"/>
                <w:w w:val="85"/>
              </w:rPr>
              <w:t>Comprehensive</w:t>
            </w:r>
          </w:p>
        </w:tc>
        <w:tc>
          <w:tcPr>
            <w:tcW w:w="220" w:type="dxa"/>
            <w:vAlign w:val="bottom"/>
          </w:tcPr>
          <w:p>
            <w:pPr>
              <w:spacing w:after="0"/>
              <w:rPr>
                <w:sz w:val="11"/>
                <w:szCs w:val="11"/>
                <w:color w:val="auto"/>
              </w:rPr>
            </w:pPr>
          </w:p>
        </w:tc>
        <w:tc>
          <w:tcPr>
            <w:tcW w:w="720" w:type="dxa"/>
            <w:vAlign w:val="bottom"/>
            <w:gridSpan w:val="5"/>
          </w:tcPr>
          <w:p>
            <w:pPr>
              <w:spacing w:after="0" w:line="135" w:lineRule="exact"/>
              <w:rPr>
                <w:sz w:val="20"/>
                <w:szCs w:val="20"/>
                <w:color w:val="auto"/>
              </w:rPr>
            </w:pPr>
            <w:r>
              <w:rPr>
                <w:rFonts w:ascii="Arial" w:cs="Arial" w:eastAsia="Arial" w:hAnsi="Arial"/>
                <w:sz w:val="12"/>
                <w:szCs w:val="12"/>
                <w:color w:val="auto"/>
              </w:rPr>
              <w:t>Accumulated</w:t>
            </w:r>
          </w:p>
        </w:tc>
        <w:tc>
          <w:tcPr>
            <w:tcW w:w="140" w:type="dxa"/>
            <w:vAlign w:val="bottom"/>
          </w:tcPr>
          <w:p>
            <w:pPr>
              <w:spacing w:after="0"/>
              <w:rPr>
                <w:sz w:val="11"/>
                <w:szCs w:val="11"/>
                <w:color w:val="auto"/>
              </w:rPr>
            </w:pPr>
          </w:p>
        </w:tc>
        <w:tc>
          <w:tcPr>
            <w:tcW w:w="900" w:type="dxa"/>
            <w:vAlign w:val="bottom"/>
            <w:gridSpan w:val="4"/>
          </w:tcPr>
          <w:p>
            <w:pPr>
              <w:jc w:val="right"/>
              <w:ind w:right="260"/>
              <w:spacing w:after="0" w:line="135" w:lineRule="exact"/>
              <w:rPr>
                <w:sz w:val="20"/>
                <w:szCs w:val="20"/>
                <w:color w:val="auto"/>
              </w:rPr>
            </w:pPr>
            <w:r>
              <w:rPr>
                <w:rFonts w:ascii="Arial" w:cs="Arial" w:eastAsia="Arial" w:hAnsi="Arial"/>
                <w:sz w:val="12"/>
                <w:szCs w:val="12"/>
                <w:color w:val="auto"/>
                <w:w w:val="91"/>
              </w:rPr>
              <w:t>Interest - OP</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7"/>
              </w:rPr>
              <w:t>Preferred</w:t>
            </w:r>
          </w:p>
        </w:tc>
        <w:tc>
          <w:tcPr>
            <w:tcW w:w="20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color w:val="auto"/>
                <w:w w:val="92"/>
              </w:rPr>
              <w:t>Shareholders'</w:t>
            </w:r>
          </w:p>
        </w:tc>
        <w:tc>
          <w:tcPr>
            <w:tcW w:w="0" w:type="dxa"/>
            <w:vAlign w:val="bottom"/>
          </w:tcPr>
          <w:p>
            <w:pPr>
              <w:spacing w:after="0"/>
              <w:rPr>
                <w:sz w:val="1"/>
                <w:szCs w:val="1"/>
                <w:color w:val="auto"/>
              </w:rPr>
            </w:pPr>
          </w:p>
        </w:tc>
      </w:tr>
      <w:tr>
        <w:trPr>
          <w:trHeight w:val="141"/>
        </w:trPr>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Preferred Stock</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2"/>
                <w:szCs w:val="12"/>
                <w:color w:val="auto"/>
                <w:w w:val="85"/>
              </w:rPr>
              <w:t>Common Stock</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auto"/>
            </w:tcBorders>
            <w:gridSpan w:val="4"/>
          </w:tcPr>
          <w:p>
            <w:pPr>
              <w:jc w:val="right"/>
              <w:ind w:right="63"/>
              <w:spacing w:after="0"/>
              <w:rPr>
                <w:sz w:val="20"/>
                <w:szCs w:val="20"/>
                <w:color w:val="auto"/>
              </w:rPr>
            </w:pPr>
            <w:r>
              <w:rPr>
                <w:rFonts w:ascii="Arial" w:cs="Arial" w:eastAsia="Arial" w:hAnsi="Arial"/>
                <w:sz w:val="12"/>
                <w:szCs w:val="12"/>
                <w:color w:val="auto"/>
              </w:rPr>
              <w:t>Capital</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color w:val="auto"/>
                <w:w w:val="89"/>
              </w:rPr>
              <w:t>(Loss) Income</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2"/>
                <w:szCs w:val="12"/>
                <w:color w:val="auto"/>
                <w:w w:val="88"/>
              </w:rPr>
              <w:t>Earnings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2"/>
                <w:szCs w:val="12"/>
                <w:color w:val="auto"/>
                <w:w w:val="72"/>
              </w:rPr>
              <w:t>Units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2"/>
                <w:szCs w:val="12"/>
                <w:color w:val="auto"/>
                <w:w w:val="84"/>
              </w:rPr>
              <w:t>Shares</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color w:val="auto"/>
                <w:w w:val="95"/>
              </w:rPr>
              <w:t>Deficit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(Thousands, except share data)</w:t>
            </w: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w w:val="78"/>
              </w:rPr>
              <w:t>Shares</w:t>
            </w:r>
          </w:p>
        </w:tc>
        <w:tc>
          <w:tcPr>
            <w:tcW w:w="20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2"/>
                <w:szCs w:val="12"/>
                <w:color w:val="auto"/>
                <w:w w:val="91"/>
              </w:rPr>
              <w:t>Amount</w:t>
            </w:r>
          </w:p>
        </w:tc>
        <w:tc>
          <w:tcPr>
            <w:tcW w:w="2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2"/>
                <w:szCs w:val="12"/>
                <w:color w:val="auto"/>
                <w:w w:val="73"/>
              </w:rPr>
              <w:t>Shares</w:t>
            </w:r>
          </w:p>
        </w:tc>
        <w:tc>
          <w:tcPr>
            <w:tcW w:w="22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color w:val="auto"/>
              </w:rPr>
              <w:t>Amount</w:t>
            </w: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38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56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Balance at December 31, 2017</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82"/>
              <w:spacing w:after="0"/>
              <w:rPr>
                <w:sz w:val="20"/>
                <w:szCs w:val="20"/>
                <w:color w:val="auto"/>
              </w:rPr>
            </w:pPr>
            <w:r>
              <w:rPr>
                <w:rFonts w:ascii="Arial" w:cs="Arial" w:eastAsia="Arial" w:hAnsi="Arial"/>
                <w:sz w:val="9"/>
                <w:szCs w:val="9"/>
                <w:color w:val="auto"/>
                <w:w w:val="78"/>
              </w:rPr>
              <w:t>$</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174,851,514</w:t>
            </w:r>
          </w:p>
        </w:tc>
        <w:tc>
          <w:tcPr>
            <w:tcW w:w="480" w:type="dxa"/>
            <w:vAlign w:val="bottom"/>
            <w:gridSpan w:val="2"/>
            <w:shd w:val="clear" w:color="auto" w:fill="CFF0FC"/>
          </w:tcPr>
          <w:p>
            <w:pPr>
              <w:jc w:val="right"/>
              <w:ind w:right="142"/>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9"/>
              </w:rPr>
              <w:t>17</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w w:val="82"/>
              </w:rPr>
              <w:t>644,328</w:t>
            </w:r>
          </w:p>
        </w:tc>
        <w:tc>
          <w:tcPr>
            <w:tcW w:w="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22"/>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9"/>
              </w:rPr>
              <w:t>7,821</w:t>
            </w:r>
          </w:p>
        </w:tc>
        <w:tc>
          <w:tcPr>
            <w:tcW w:w="300" w:type="dxa"/>
            <w:vAlign w:val="bottom"/>
            <w:tcBorders>
              <w:right w:val="single" w:sz="8" w:color="CFF0FC"/>
            </w:tcBorders>
            <w:gridSpan w:val="2"/>
            <w:shd w:val="clear" w:color="auto" w:fill="CFF0FC"/>
          </w:tcPr>
          <w:p>
            <w:pPr>
              <w:ind w:left="220"/>
              <w:spacing w:after="0"/>
              <w:rPr>
                <w:sz w:val="20"/>
                <w:szCs w:val="20"/>
                <w:color w:val="auto"/>
              </w:rPr>
            </w:pPr>
            <w:r>
              <w:rPr>
                <w:rFonts w:ascii="Arial" w:cs="Arial" w:eastAsia="Arial" w:hAnsi="Arial"/>
                <w:sz w:val="9"/>
                <w:szCs w:val="9"/>
                <w:color w:val="auto"/>
                <w:w w:val="78"/>
              </w:rPr>
              <w:t>$</w:t>
            </w:r>
          </w:p>
        </w:tc>
        <w:tc>
          <w:tcPr>
            <w:tcW w:w="640" w:type="dxa"/>
            <w:vAlign w:val="bottom"/>
            <w:gridSpan w:val="4"/>
            <w:shd w:val="clear" w:color="auto" w:fill="CFF0FC"/>
          </w:tcPr>
          <w:p>
            <w:pPr>
              <w:jc w:val="right"/>
              <w:ind w:right="40"/>
              <w:spacing w:after="0"/>
              <w:rPr>
                <w:sz w:val="20"/>
                <w:szCs w:val="20"/>
                <w:color w:val="auto"/>
              </w:rPr>
            </w:pPr>
            <w:r>
              <w:rPr>
                <w:rFonts w:ascii="Arial" w:cs="Arial" w:eastAsia="Arial" w:hAnsi="Arial"/>
                <w:sz w:val="12"/>
                <w:szCs w:val="12"/>
                <w:color w:val="auto"/>
                <w:w w:val="94"/>
              </w:rPr>
              <w:t>(1,960,715)</w:t>
            </w:r>
          </w:p>
        </w:tc>
        <w:tc>
          <w:tcPr>
            <w:tcW w:w="400" w:type="dxa"/>
            <w:vAlign w:val="bottom"/>
            <w:tcBorders>
              <w:right w:val="single" w:sz="8" w:color="CFF0FC"/>
            </w:tcBorders>
            <w:gridSpan w:val="2"/>
            <w:shd w:val="clear" w:color="auto" w:fill="CFF0FC"/>
          </w:tcPr>
          <w:p>
            <w:pPr>
              <w:ind w:left="14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96"/>
              </w:rPr>
              <w:t>101,407</w:t>
            </w:r>
          </w:p>
        </w:tc>
        <w:tc>
          <w:tcPr>
            <w:tcW w:w="18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6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20"/>
                <w:szCs w:val="20"/>
                <w:color w:val="auto"/>
              </w:rPr>
            </w:pPr>
            <w:r>
              <w:rPr>
                <w:rFonts w:ascii="Arial" w:cs="Arial" w:eastAsia="Arial" w:hAnsi="Arial"/>
                <w:sz w:val="12"/>
                <w:szCs w:val="12"/>
                <w:color w:val="auto"/>
                <w:w w:val="89"/>
              </w:rPr>
              <w:t>$</w:t>
            </w: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w w:val="94"/>
              </w:rPr>
              <w:t>(1,207,142)</w:t>
            </w:r>
          </w:p>
        </w:tc>
        <w:tc>
          <w:tcPr>
            <w:tcW w:w="0" w:type="dxa"/>
            <w:vAlign w:val="bottom"/>
          </w:tcPr>
          <w:p>
            <w:pPr>
              <w:spacing w:after="0"/>
              <w:rPr>
                <w:sz w:val="1"/>
                <w:szCs w:val="1"/>
                <w:color w:val="auto"/>
              </w:rPr>
            </w:pPr>
          </w:p>
        </w:tc>
      </w:tr>
      <w:tr>
        <w:trPr>
          <w:trHeight w:val="148"/>
        </w:trPr>
        <w:tc>
          <w:tcPr>
            <w:tcW w:w="2940" w:type="dxa"/>
            <w:vAlign w:val="bottom"/>
            <w:gridSpan w:val="3"/>
          </w:tcPr>
          <w:p>
            <w:pPr>
              <w:spacing w:after="0"/>
              <w:rPr>
                <w:sz w:val="20"/>
                <w:szCs w:val="20"/>
                <w:color w:val="auto"/>
              </w:rPr>
            </w:pPr>
            <w:r>
              <w:rPr>
                <w:rFonts w:ascii="Arial" w:cs="Arial" w:eastAsia="Arial" w:hAnsi="Arial"/>
                <w:sz w:val="12"/>
                <w:szCs w:val="12"/>
                <w:color w:val="auto"/>
              </w:rPr>
              <w:t>2018 Activity:</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Cumulative effect adjustment for adoption of new</w:t>
            </w:r>
          </w:p>
        </w:tc>
        <w:tc>
          <w:tcPr>
            <w:tcW w:w="4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accounting standard</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1,859</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1,859</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3"/>
          </w:tcPr>
          <w:p>
            <w:pPr>
              <w:spacing w:after="0"/>
              <w:rPr>
                <w:sz w:val="20"/>
                <w:szCs w:val="20"/>
                <w:color w:val="auto"/>
              </w:rPr>
            </w:pPr>
            <w:r>
              <w:rPr>
                <w:rFonts w:ascii="Arial" w:cs="Arial" w:eastAsia="Arial" w:hAnsi="Arial"/>
                <w:sz w:val="12"/>
                <w:szCs w:val="12"/>
                <w:color w:val="auto"/>
              </w:rPr>
              <w:t>Net income</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2"/>
              </w:rPr>
              <w:t>16,187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358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16,545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w w:val="98"/>
              </w:rPr>
              <w:t>At-the-market issuance of common stock, net of offering</w:t>
            </w:r>
          </w:p>
        </w:tc>
        <w:tc>
          <w:tcPr>
            <w:tcW w:w="4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costs</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89"/>
              </w:rPr>
              <w:t>5,496,763</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w w:val="82"/>
              </w:rPr>
              <w:t>109,441</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109,442</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gridSpan w:val="3"/>
          </w:tcPr>
          <w:p>
            <w:pPr>
              <w:spacing w:after="0"/>
              <w:rPr>
                <w:sz w:val="20"/>
                <w:szCs w:val="20"/>
                <w:color w:val="auto"/>
              </w:rPr>
            </w:pPr>
            <w:r>
              <w:rPr>
                <w:rFonts w:ascii="Arial" w:cs="Arial" w:eastAsia="Arial" w:hAnsi="Arial"/>
                <w:sz w:val="12"/>
                <w:szCs w:val="12"/>
                <w:color w:val="auto"/>
              </w:rPr>
              <w:t>Amortization of discount on convertible preferred stock</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4"/>
          </w:tcPr>
          <w:p>
            <w:pPr>
              <w:jc w:val="right"/>
              <w:spacing w:after="0"/>
              <w:rPr>
                <w:sz w:val="20"/>
                <w:szCs w:val="20"/>
                <w:color w:val="auto"/>
              </w:rPr>
            </w:pPr>
            <w:r>
              <w:rPr>
                <w:rFonts w:ascii="Arial" w:cs="Arial" w:eastAsia="Arial" w:hAnsi="Arial"/>
                <w:sz w:val="12"/>
                <w:szCs w:val="12"/>
                <w:color w:val="auto"/>
              </w:rPr>
              <w:t>(2,980)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2"/>
                <w:szCs w:val="12"/>
                <w:color w:val="auto"/>
              </w:rPr>
              <w:t>(2,980)</w:t>
            </w:r>
          </w:p>
        </w:tc>
        <w:tc>
          <w:tcPr>
            <w:tcW w:w="0" w:type="dxa"/>
            <w:vAlign w:val="bottom"/>
          </w:tcPr>
          <w:p>
            <w:pPr>
              <w:spacing w:after="0"/>
              <w:rPr>
                <w:sz w:val="1"/>
                <w:szCs w:val="1"/>
                <w:color w:val="auto"/>
              </w:rPr>
            </w:pPr>
          </w:p>
        </w:tc>
      </w:tr>
      <w:tr>
        <w:trPr>
          <w:trHeight w:val="148"/>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Other comprehensive income</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87"/>
              </w:rPr>
              <w:t>22,284</w:t>
            </w:r>
          </w:p>
        </w:tc>
        <w:tc>
          <w:tcPr>
            <w:tcW w:w="22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527</w:t>
            </w:r>
          </w:p>
        </w:tc>
        <w:tc>
          <w:tcPr>
            <w:tcW w:w="180" w:type="dxa"/>
            <w:vAlign w:val="bottom"/>
            <w:tcBorders>
              <w:righ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22,811</w:t>
            </w: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gridSpan w:val="3"/>
          </w:tcPr>
          <w:p>
            <w:pPr>
              <w:spacing w:after="0"/>
              <w:rPr>
                <w:sz w:val="20"/>
                <w:szCs w:val="20"/>
                <w:color w:val="auto"/>
              </w:rPr>
            </w:pPr>
            <w:r>
              <w:rPr>
                <w:rFonts w:ascii="Arial" w:cs="Arial" w:eastAsia="Arial" w:hAnsi="Arial"/>
                <w:sz w:val="12"/>
                <w:szCs w:val="12"/>
                <w:color w:val="auto"/>
              </w:rPr>
              <w:t>Common stock dividends</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2"/>
                <w:szCs w:val="12"/>
                <w:color w:val="auto"/>
              </w:rPr>
              <w:t>(427,656)</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2"/>
                <w:szCs w:val="12"/>
                <w:color w:val="auto"/>
              </w:rPr>
              <w:t>(427,656)</w:t>
            </w:r>
          </w:p>
        </w:tc>
        <w:tc>
          <w:tcPr>
            <w:tcW w:w="0" w:type="dxa"/>
            <w:vAlign w:val="bottom"/>
          </w:tcPr>
          <w:p>
            <w:pPr>
              <w:spacing w:after="0"/>
              <w:rPr>
                <w:sz w:val="1"/>
                <w:szCs w:val="1"/>
                <w:color w:val="auto"/>
              </w:rPr>
            </w:pPr>
          </w:p>
        </w:tc>
      </w:tr>
      <w:tr>
        <w:trPr>
          <w:trHeight w:val="148"/>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Distributions to noncontrolling interest</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2"/>
                <w:szCs w:val="12"/>
                <w:color w:val="auto"/>
                <w:w w:val="99"/>
              </w:rPr>
              <w:t>(9,917)</w:t>
            </w: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(9,917)</w:t>
            </w:r>
          </w:p>
        </w:tc>
        <w:tc>
          <w:tcPr>
            <w:tcW w:w="0" w:type="dxa"/>
            <w:vAlign w:val="bottom"/>
          </w:tcPr>
          <w:p>
            <w:pPr>
              <w:spacing w:after="0"/>
              <w:rPr>
                <w:sz w:val="1"/>
                <w:szCs w:val="1"/>
                <w:color w:val="auto"/>
              </w:rPr>
            </w:pPr>
          </w:p>
        </w:tc>
      </w:tr>
      <w:tr>
        <w:trPr>
          <w:trHeight w:val="149"/>
        </w:trPr>
        <w:tc>
          <w:tcPr>
            <w:tcW w:w="2940" w:type="dxa"/>
            <w:vAlign w:val="bottom"/>
            <w:gridSpan w:val="3"/>
          </w:tcPr>
          <w:p>
            <w:pPr>
              <w:spacing w:after="0"/>
              <w:rPr>
                <w:sz w:val="20"/>
                <w:szCs w:val="20"/>
                <w:color w:val="auto"/>
              </w:rPr>
            </w:pPr>
            <w:r>
              <w:rPr>
                <w:rFonts w:ascii="Arial" w:cs="Arial" w:eastAsia="Arial" w:hAnsi="Arial"/>
                <w:sz w:val="12"/>
                <w:szCs w:val="12"/>
                <w:color w:val="auto"/>
              </w:rPr>
              <w:t>Convertible preferred stock dividends</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(2,624)</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2"/>
                <w:szCs w:val="12"/>
                <w:color w:val="auto"/>
              </w:rPr>
              <w:t>(2,624)</w:t>
            </w:r>
          </w:p>
        </w:tc>
        <w:tc>
          <w:tcPr>
            <w:tcW w:w="0" w:type="dxa"/>
            <w:vAlign w:val="bottom"/>
          </w:tcPr>
          <w:p>
            <w:pPr>
              <w:spacing w:after="0"/>
              <w:rPr>
                <w:sz w:val="1"/>
                <w:szCs w:val="1"/>
                <w:color w:val="auto"/>
              </w:rPr>
            </w:pPr>
          </w:p>
        </w:tc>
      </w:tr>
      <w:tr>
        <w:trPr>
          <w:trHeight w:val="148"/>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Net share settlement</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gridSpan w:val="4"/>
            <w:shd w:val="clear" w:color="auto" w:fill="CFF0FC"/>
          </w:tcPr>
          <w:p>
            <w:pPr>
              <w:jc w:val="right"/>
              <w:spacing w:after="0"/>
              <w:rPr>
                <w:sz w:val="20"/>
                <w:szCs w:val="20"/>
                <w:color w:val="auto"/>
              </w:rPr>
            </w:pPr>
            <w:r>
              <w:rPr>
                <w:rFonts w:ascii="Arial" w:cs="Arial" w:eastAsia="Arial" w:hAnsi="Arial"/>
                <w:sz w:val="12"/>
                <w:szCs w:val="12"/>
                <w:color w:val="auto"/>
              </w:rPr>
              <w:t>(1,336)</w:t>
            </w: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(269)</w:t>
            </w:r>
          </w:p>
        </w:tc>
        <w:tc>
          <w:tcPr>
            <w:tcW w:w="14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6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(1,605)</w:t>
            </w:r>
          </w:p>
        </w:tc>
        <w:tc>
          <w:tcPr>
            <w:tcW w:w="0" w:type="dxa"/>
            <w:vAlign w:val="bottom"/>
          </w:tcPr>
          <w:p>
            <w:pPr>
              <w:spacing w:after="0"/>
              <w:rPr>
                <w:sz w:val="1"/>
                <w:szCs w:val="1"/>
                <w:color w:val="auto"/>
              </w:rPr>
            </w:pPr>
          </w:p>
        </w:tc>
      </w:tr>
      <w:tr>
        <w:trPr>
          <w:trHeight w:val="148"/>
        </w:trPr>
        <w:tc>
          <w:tcPr>
            <w:tcW w:w="284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Stock-based compensation</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187,694</w:t>
            </w:r>
          </w:p>
        </w:tc>
        <w:tc>
          <w:tcPr>
            <w:tcW w:w="2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8,064</w:t>
            </w:r>
          </w:p>
        </w:tc>
        <w:tc>
          <w:tcPr>
            <w:tcW w:w="4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8,064</w:t>
            </w:r>
          </w:p>
        </w:tc>
        <w:tc>
          <w:tcPr>
            <w:tcW w:w="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Balance at December 31, 2018</w:t>
            </w:r>
          </w:p>
        </w:tc>
        <w:tc>
          <w:tcPr>
            <w:tcW w:w="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82"/>
              <w:spacing w:after="0"/>
              <w:rPr>
                <w:sz w:val="20"/>
                <w:szCs w:val="20"/>
                <w:color w:val="auto"/>
              </w:rPr>
            </w:pPr>
            <w:r>
              <w:rPr>
                <w:rFonts w:ascii="Arial" w:cs="Arial" w:eastAsia="Arial" w:hAnsi="Arial"/>
                <w:sz w:val="9"/>
                <w:szCs w:val="9"/>
                <w:color w:val="auto"/>
                <w:w w:val="78"/>
              </w:rPr>
              <w:t>$</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180,535,971</w:t>
            </w:r>
          </w:p>
        </w:tc>
        <w:tc>
          <w:tcPr>
            <w:tcW w:w="480" w:type="dxa"/>
            <w:vAlign w:val="bottom"/>
            <w:gridSpan w:val="2"/>
            <w:shd w:val="clear" w:color="auto" w:fill="CFF0FC"/>
          </w:tcPr>
          <w:p>
            <w:pPr>
              <w:jc w:val="right"/>
              <w:ind w:right="142"/>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w w:val="89"/>
              </w:rPr>
              <w:t>18</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62"/>
              <w:spacing w:after="0"/>
              <w:rPr>
                <w:sz w:val="20"/>
                <w:szCs w:val="20"/>
                <w:color w:val="auto"/>
              </w:rPr>
            </w:pPr>
            <w:r>
              <w:rPr>
                <w:rFonts w:ascii="Arial" w:cs="Arial" w:eastAsia="Arial" w:hAnsi="Arial"/>
                <w:sz w:val="12"/>
                <w:szCs w:val="12"/>
                <w:color w:val="auto"/>
              </w:rPr>
              <w:t>$</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w w:val="82"/>
              </w:rPr>
              <w:t>757,517</w:t>
            </w:r>
          </w:p>
        </w:tc>
        <w:tc>
          <w:tcPr>
            <w:tcW w:w="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22"/>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87"/>
              </w:rPr>
              <w:t>30,105</w:t>
            </w:r>
          </w:p>
        </w:tc>
        <w:tc>
          <w:tcPr>
            <w:tcW w:w="300" w:type="dxa"/>
            <w:vAlign w:val="bottom"/>
            <w:tcBorders>
              <w:right w:val="single" w:sz="8" w:color="CFF0FC"/>
            </w:tcBorders>
            <w:gridSpan w:val="2"/>
            <w:shd w:val="clear" w:color="auto" w:fill="CFF0FC"/>
          </w:tcPr>
          <w:p>
            <w:pPr>
              <w:ind w:left="220"/>
              <w:spacing w:after="0"/>
              <w:rPr>
                <w:sz w:val="20"/>
                <w:szCs w:val="20"/>
                <w:color w:val="auto"/>
              </w:rPr>
            </w:pPr>
            <w:r>
              <w:rPr>
                <w:rFonts w:ascii="Arial" w:cs="Arial" w:eastAsia="Arial" w:hAnsi="Arial"/>
                <w:sz w:val="9"/>
                <w:szCs w:val="9"/>
                <w:color w:val="auto"/>
                <w:w w:val="78"/>
              </w:rPr>
              <w:t>$</w:t>
            </w:r>
          </w:p>
        </w:tc>
        <w:tc>
          <w:tcPr>
            <w:tcW w:w="640" w:type="dxa"/>
            <w:vAlign w:val="bottom"/>
            <w:gridSpan w:val="4"/>
            <w:shd w:val="clear" w:color="auto" w:fill="CFF0FC"/>
          </w:tcPr>
          <w:p>
            <w:pPr>
              <w:jc w:val="right"/>
              <w:ind w:right="40"/>
              <w:spacing w:after="0"/>
              <w:rPr>
                <w:sz w:val="20"/>
                <w:szCs w:val="20"/>
                <w:color w:val="auto"/>
              </w:rPr>
            </w:pPr>
            <w:r>
              <w:rPr>
                <w:rFonts w:ascii="Arial" w:cs="Arial" w:eastAsia="Arial" w:hAnsi="Arial"/>
                <w:sz w:val="12"/>
                <w:szCs w:val="12"/>
                <w:color w:val="auto"/>
                <w:w w:val="94"/>
              </w:rPr>
              <w:t>(2,373,218)</w:t>
            </w:r>
          </w:p>
        </w:tc>
        <w:tc>
          <w:tcPr>
            <w:tcW w:w="400" w:type="dxa"/>
            <w:vAlign w:val="bottom"/>
            <w:tcBorders>
              <w:right w:val="single" w:sz="8" w:color="CFF0FC"/>
            </w:tcBorders>
            <w:gridSpan w:val="2"/>
            <w:shd w:val="clear" w:color="auto" w:fill="CFF0FC"/>
          </w:tcPr>
          <w:p>
            <w:pPr>
              <w:ind w:lef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92,375</w:t>
            </w:r>
          </w:p>
        </w:tc>
        <w:tc>
          <w:tcPr>
            <w:tcW w:w="18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6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20"/>
                <w:szCs w:val="20"/>
                <w:color w:val="auto"/>
              </w:rPr>
            </w:pPr>
            <w:r>
              <w:rPr>
                <w:rFonts w:ascii="Arial" w:cs="Arial" w:eastAsia="Arial" w:hAnsi="Arial"/>
                <w:sz w:val="12"/>
                <w:szCs w:val="12"/>
                <w:color w:val="auto"/>
                <w:w w:val="89"/>
              </w:rPr>
              <w:t>$</w:t>
            </w: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w w:val="94"/>
              </w:rPr>
              <w:t>(1,493,203)</w:t>
            </w: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gridSpan w:val="3"/>
          </w:tcPr>
          <w:p>
            <w:pPr>
              <w:spacing w:after="0" w:line="129" w:lineRule="exact"/>
              <w:rPr>
                <w:sz w:val="20"/>
                <w:szCs w:val="20"/>
                <w:color w:val="auto"/>
              </w:rPr>
            </w:pPr>
            <w:r>
              <w:rPr>
                <w:rFonts w:ascii="Arial" w:cs="Arial" w:eastAsia="Arial" w:hAnsi="Arial"/>
                <w:sz w:val="12"/>
                <w:szCs w:val="12"/>
                <w:color w:val="auto"/>
              </w:rPr>
              <w:t>2019 Activity:</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w w:val="90"/>
              </w:rPr>
              <w:t>Cumulative effect adjustment for adoption of new accounting</w:t>
            </w:r>
          </w:p>
        </w:tc>
        <w:tc>
          <w:tcPr>
            <w:tcW w:w="4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standard</w:t>
            </w:r>
          </w:p>
        </w:tc>
        <w:tc>
          <w:tcPr>
            <w:tcW w:w="4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2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2"/>
                <w:szCs w:val="12"/>
                <w:color w:val="auto"/>
                <w:w w:val="98"/>
              </w:rPr>
              <w:t>-</w:t>
            </w: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tcBorders>
              <w:right w:val="single" w:sz="8" w:color="CFF0FC"/>
            </w:tcBorders>
            <w:gridSpan w:val="2"/>
            <w:shd w:val="clear" w:color="auto" w:fill="CFF0FC"/>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tcBorders>
              <w:right w:val="single" w:sz="8" w:color="CFF0FC"/>
            </w:tcBorders>
            <w:gridSpan w:val="4"/>
            <w:shd w:val="clear" w:color="auto" w:fill="CFF0FC"/>
          </w:tcPr>
          <w:p>
            <w:pPr>
              <w:jc w:val="right"/>
              <w:ind w:right="42"/>
              <w:spacing w:after="0"/>
              <w:rPr>
                <w:sz w:val="20"/>
                <w:szCs w:val="20"/>
                <w:color w:val="auto"/>
              </w:rPr>
            </w:pPr>
            <w:r>
              <w:rPr>
                <w:rFonts w:ascii="Arial" w:cs="Arial" w:eastAsia="Arial" w:hAnsi="Arial"/>
                <w:sz w:val="12"/>
                <w:szCs w:val="12"/>
                <w:color w:val="auto"/>
              </w:rPr>
              <w:t>(61,826)</w:t>
            </w:r>
          </w:p>
        </w:tc>
        <w:tc>
          <w:tcPr>
            <w:tcW w:w="80" w:type="dxa"/>
            <w:vAlign w:val="bottom"/>
            <w:shd w:val="clear" w:color="auto" w:fill="CFF0FC"/>
          </w:tcPr>
          <w:p>
            <w:pPr>
              <w:spacing w:after="0"/>
              <w:rPr>
                <w:sz w:val="12"/>
                <w:szCs w:val="12"/>
                <w:color w:val="auto"/>
              </w:rPr>
            </w:pPr>
          </w:p>
        </w:tc>
        <w:tc>
          <w:tcPr>
            <w:tcW w:w="5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(61,826)</w:t>
            </w:r>
          </w:p>
        </w:tc>
        <w:tc>
          <w:tcPr>
            <w:tcW w:w="0" w:type="dxa"/>
            <w:vAlign w:val="bottom"/>
          </w:tcPr>
          <w:p>
            <w:pPr>
              <w:spacing w:after="0"/>
              <w:rPr>
                <w:sz w:val="1"/>
                <w:szCs w:val="1"/>
                <w:color w:val="auto"/>
              </w:rPr>
            </w:pPr>
          </w:p>
        </w:tc>
      </w:tr>
      <w:tr>
        <w:trPr>
          <w:trHeight w:val="149"/>
        </w:trPr>
        <w:tc>
          <w:tcPr>
            <w:tcW w:w="2940" w:type="dxa"/>
            <w:vAlign w:val="bottom"/>
            <w:gridSpan w:val="3"/>
          </w:tcPr>
          <w:p>
            <w:pPr>
              <w:spacing w:after="0"/>
              <w:rPr>
                <w:sz w:val="20"/>
                <w:szCs w:val="20"/>
                <w:color w:val="auto"/>
              </w:rPr>
            </w:pPr>
            <w:r>
              <w:rPr>
                <w:rFonts w:ascii="Arial" w:cs="Arial" w:eastAsia="Arial" w:hAnsi="Arial"/>
                <w:sz w:val="12"/>
                <w:szCs w:val="12"/>
                <w:color w:val="auto"/>
              </w:rPr>
              <w:t>Net income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jc w:val="right"/>
              <w:ind w:right="2"/>
              <w:spacing w:after="0"/>
              <w:rPr>
                <w:sz w:val="20"/>
                <w:szCs w:val="20"/>
                <w:color w:val="auto"/>
              </w:rPr>
            </w:pPr>
            <w:r>
              <w:rPr>
                <w:rFonts w:ascii="Arial" w:cs="Arial" w:eastAsia="Arial" w:hAnsi="Arial"/>
                <w:sz w:val="12"/>
                <w:szCs w:val="12"/>
                <w:color w:val="auto"/>
                <w:w w:val="98"/>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right"/>
              <w:ind w:right="102"/>
              <w:spacing w:after="0"/>
              <w:rPr>
                <w:sz w:val="20"/>
                <w:szCs w:val="20"/>
                <w:color w:val="auto"/>
              </w:rPr>
            </w:pPr>
            <w:r>
              <w:rPr>
                <w:rFonts w:ascii="Arial" w:cs="Arial" w:eastAsia="Arial" w:hAnsi="Arial"/>
                <w:sz w:val="12"/>
                <w:szCs w:val="12"/>
                <w:color w:val="auto"/>
              </w:rPr>
              <w:t>10,582</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326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10,908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w w:val="88"/>
              </w:rPr>
              <w:t>At-the-market issuance of common stock, net of offering costs</w:t>
            </w:r>
          </w:p>
        </w:tc>
        <w:tc>
          <w:tcPr>
            <w:tcW w:w="4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2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2"/>
                <w:szCs w:val="12"/>
                <w:color w:val="auto"/>
                <w:w w:val="97"/>
              </w:rPr>
              <w:t>1,176,186</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2"/>
                <w:szCs w:val="12"/>
                <w:color w:val="auto"/>
                <w:w w:val="98"/>
              </w:rPr>
              <w:t>-</w:t>
            </w: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21,641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tcBorders>
              <w:right w:val="single" w:sz="8" w:color="CFF0FC"/>
            </w:tcBorders>
            <w:gridSpan w:val="2"/>
            <w:shd w:val="clear" w:color="auto" w:fill="CFF0FC"/>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tcBorders>
              <w:right w:val="single" w:sz="8" w:color="CFF0FC"/>
            </w:tcBorders>
            <w:gridSpan w:val="2"/>
            <w:shd w:val="clear" w:color="auto" w:fill="CFF0FC"/>
          </w:tcPr>
          <w:p>
            <w:pPr>
              <w:jc w:val="right"/>
              <w:ind w:right="10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21,641</w:t>
            </w: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gridSpan w:val="3"/>
          </w:tcPr>
          <w:p>
            <w:pPr>
              <w:spacing w:after="0"/>
              <w:rPr>
                <w:sz w:val="20"/>
                <w:szCs w:val="20"/>
                <w:color w:val="auto"/>
              </w:rPr>
            </w:pPr>
            <w:r>
              <w:rPr>
                <w:rFonts w:ascii="Arial" w:cs="Arial" w:eastAsia="Arial" w:hAnsi="Arial"/>
                <w:sz w:val="12"/>
                <w:szCs w:val="12"/>
                <w:color w:val="auto"/>
              </w:rPr>
              <w:t>Amortization of discount on convertible preferred stock</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jc w:val="right"/>
              <w:ind w:right="2"/>
              <w:spacing w:after="0"/>
              <w:rPr>
                <w:sz w:val="20"/>
                <w:szCs w:val="20"/>
                <w:color w:val="auto"/>
              </w:rPr>
            </w:pPr>
            <w:r>
              <w:rPr>
                <w:rFonts w:ascii="Arial" w:cs="Arial" w:eastAsia="Arial" w:hAnsi="Arial"/>
                <w:sz w:val="12"/>
                <w:szCs w:val="12"/>
                <w:color w:val="auto"/>
                <w:w w:val="98"/>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2"/>
                <w:szCs w:val="12"/>
                <w:color w:val="auto"/>
              </w:rPr>
              <w:t>(993)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0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2"/>
                <w:szCs w:val="12"/>
                <w:color w:val="auto"/>
              </w:rPr>
              <w:t>(993)</w:t>
            </w:r>
          </w:p>
        </w:tc>
        <w:tc>
          <w:tcPr>
            <w:tcW w:w="0" w:type="dxa"/>
            <w:vAlign w:val="bottom"/>
          </w:tcPr>
          <w:p>
            <w:pPr>
              <w:spacing w:after="0"/>
              <w:rPr>
                <w:sz w:val="1"/>
                <w:szCs w:val="1"/>
                <w:color w:val="auto"/>
              </w:rPr>
            </w:pPr>
          </w:p>
        </w:tc>
      </w:tr>
      <w:tr>
        <w:trPr>
          <w:trHeight w:val="148"/>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Other comprehensive income</w:t>
            </w:r>
          </w:p>
        </w:tc>
        <w:tc>
          <w:tcPr>
            <w:tcW w:w="4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2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2"/>
                <w:szCs w:val="12"/>
                <w:color w:val="auto"/>
                <w:w w:val="98"/>
              </w:rPr>
              <w:t>-</w:t>
            </w: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2"/>
                <w:szCs w:val="12"/>
                <w:color w:val="auto"/>
              </w:rPr>
              <w:t>(53,547)</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tcBorders>
              <w:right w:val="single" w:sz="8" w:color="CFF0FC"/>
            </w:tcBorders>
            <w:gridSpan w:val="2"/>
            <w:shd w:val="clear" w:color="auto" w:fill="CFF0FC"/>
          </w:tcPr>
          <w:p>
            <w:pPr>
              <w:jc w:val="right"/>
              <w:ind w:right="10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(1,128)</w:t>
            </w: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(54,675)</w:t>
            </w:r>
          </w:p>
        </w:tc>
        <w:tc>
          <w:tcPr>
            <w:tcW w:w="0" w:type="dxa"/>
            <w:vAlign w:val="bottom"/>
          </w:tcPr>
          <w:p>
            <w:pPr>
              <w:spacing w:after="0"/>
              <w:rPr>
                <w:sz w:val="1"/>
                <w:szCs w:val="1"/>
                <w:color w:val="auto"/>
              </w:rPr>
            </w:pPr>
          </w:p>
        </w:tc>
      </w:tr>
      <w:tr>
        <w:trPr>
          <w:trHeight w:val="148"/>
        </w:trPr>
        <w:tc>
          <w:tcPr>
            <w:tcW w:w="2940" w:type="dxa"/>
            <w:vAlign w:val="bottom"/>
            <w:gridSpan w:val="3"/>
          </w:tcPr>
          <w:p>
            <w:pPr>
              <w:spacing w:after="0"/>
              <w:rPr>
                <w:sz w:val="20"/>
                <w:szCs w:val="20"/>
                <w:color w:val="auto"/>
              </w:rPr>
            </w:pPr>
            <w:r>
              <w:rPr>
                <w:rFonts w:ascii="Arial" w:cs="Arial" w:eastAsia="Arial" w:hAnsi="Arial"/>
                <w:sz w:val="12"/>
                <w:szCs w:val="12"/>
                <w:color w:val="auto"/>
              </w:rPr>
              <w:t>Common stock dividends declared ($0.37 per share)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jc w:val="right"/>
              <w:ind w:right="2"/>
              <w:spacing w:after="0"/>
              <w:rPr>
                <w:sz w:val="20"/>
                <w:szCs w:val="20"/>
                <w:color w:val="auto"/>
              </w:rPr>
            </w:pPr>
            <w:r>
              <w:rPr>
                <w:rFonts w:ascii="Arial" w:cs="Arial" w:eastAsia="Arial" w:hAnsi="Arial"/>
                <w:sz w:val="12"/>
                <w:szCs w:val="12"/>
                <w:color w:val="auto"/>
                <w:w w:val="98"/>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right"/>
              <w:ind w:right="42"/>
              <w:spacing w:after="0"/>
              <w:rPr>
                <w:sz w:val="20"/>
                <w:szCs w:val="20"/>
                <w:color w:val="auto"/>
              </w:rPr>
            </w:pPr>
            <w:r>
              <w:rPr>
                <w:rFonts w:ascii="Arial" w:cs="Arial" w:eastAsia="Arial" w:hAnsi="Arial"/>
                <w:sz w:val="12"/>
                <w:szCs w:val="12"/>
                <w:color w:val="auto"/>
              </w:rPr>
              <w:t>(69,403)</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2"/>
                <w:szCs w:val="12"/>
                <w:color w:val="auto"/>
              </w:rPr>
              <w:t>(69,403)</w:t>
            </w:r>
          </w:p>
        </w:tc>
        <w:tc>
          <w:tcPr>
            <w:tcW w:w="0" w:type="dxa"/>
            <w:vAlign w:val="bottom"/>
          </w:tcPr>
          <w:p>
            <w:pPr>
              <w:spacing w:after="0"/>
              <w:rPr>
                <w:sz w:val="1"/>
                <w:szCs w:val="1"/>
                <w:color w:val="auto"/>
              </w:rPr>
            </w:pPr>
          </w:p>
        </w:tc>
      </w:tr>
      <w:tr>
        <w:trPr>
          <w:trHeight w:val="149"/>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Distributions to noncontrolling interest</w:t>
            </w:r>
          </w:p>
        </w:tc>
        <w:tc>
          <w:tcPr>
            <w:tcW w:w="4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2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2"/>
                <w:szCs w:val="12"/>
                <w:color w:val="auto"/>
                <w:w w:val="98"/>
              </w:rPr>
              <w:t>-</w:t>
            </w: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tcBorders>
              <w:right w:val="single" w:sz="8" w:color="CFF0FC"/>
            </w:tcBorders>
            <w:gridSpan w:val="2"/>
            <w:shd w:val="clear" w:color="auto" w:fill="CFF0FC"/>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tcBorders>
              <w:right w:val="single" w:sz="8" w:color="CFF0FC"/>
            </w:tcBorders>
            <w:gridSpan w:val="2"/>
            <w:shd w:val="clear" w:color="auto" w:fill="CFF0FC"/>
          </w:tcPr>
          <w:p>
            <w:pPr>
              <w:jc w:val="right"/>
              <w:ind w:right="10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(1,329)</w:t>
            </w: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(1,329)</w:t>
            </w:r>
          </w:p>
        </w:tc>
        <w:tc>
          <w:tcPr>
            <w:tcW w:w="0" w:type="dxa"/>
            <w:vAlign w:val="bottom"/>
          </w:tcPr>
          <w:p>
            <w:pPr>
              <w:spacing w:after="0"/>
              <w:rPr>
                <w:sz w:val="1"/>
                <w:szCs w:val="1"/>
                <w:color w:val="auto"/>
              </w:rPr>
            </w:pPr>
          </w:p>
        </w:tc>
      </w:tr>
      <w:tr>
        <w:trPr>
          <w:trHeight w:val="148"/>
        </w:trPr>
        <w:tc>
          <w:tcPr>
            <w:tcW w:w="2940" w:type="dxa"/>
            <w:vAlign w:val="bottom"/>
            <w:gridSpan w:val="3"/>
          </w:tcPr>
          <w:p>
            <w:pPr>
              <w:spacing w:after="0"/>
              <w:rPr>
                <w:sz w:val="20"/>
                <w:szCs w:val="20"/>
                <w:color w:val="auto"/>
              </w:rPr>
            </w:pPr>
            <w:r>
              <w:rPr>
                <w:rFonts w:ascii="Arial" w:cs="Arial" w:eastAsia="Arial" w:hAnsi="Arial"/>
                <w:sz w:val="12"/>
                <w:szCs w:val="12"/>
                <w:color w:val="auto"/>
              </w:rPr>
              <w:t>Exchange of noncontrolling interest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2"/>
                <w:szCs w:val="12"/>
                <w:color w:val="auto"/>
              </w:rPr>
              <w:t>666,576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jc w:val="right"/>
              <w:ind w:right="2"/>
              <w:spacing w:after="0"/>
              <w:rPr>
                <w:sz w:val="20"/>
                <w:szCs w:val="20"/>
                <w:color w:val="auto"/>
              </w:rPr>
            </w:pPr>
            <w:r>
              <w:rPr>
                <w:rFonts w:ascii="Arial" w:cs="Arial" w:eastAsia="Arial" w:hAnsi="Arial"/>
                <w:sz w:val="12"/>
                <w:szCs w:val="12"/>
                <w:color w:val="auto"/>
                <w:w w:val="98"/>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6,540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0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(6,540)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Convertible preferred stock dividends</w:t>
            </w:r>
          </w:p>
        </w:tc>
        <w:tc>
          <w:tcPr>
            <w:tcW w:w="4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2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2"/>
                <w:szCs w:val="12"/>
                <w:color w:val="auto"/>
                <w:w w:val="98"/>
              </w:rPr>
              <w:t>-</w:t>
            </w: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tcBorders>
              <w:right w:val="single" w:sz="8" w:color="CFF0FC"/>
            </w:tcBorders>
            <w:gridSpan w:val="2"/>
            <w:shd w:val="clear" w:color="auto" w:fill="CFF0FC"/>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tcBorders>
              <w:right w:val="single" w:sz="8" w:color="CFF0FC"/>
            </w:tcBorders>
            <w:gridSpan w:val="2"/>
            <w:shd w:val="clear" w:color="auto" w:fill="CFF0FC"/>
          </w:tcPr>
          <w:p>
            <w:pPr>
              <w:jc w:val="right"/>
              <w:ind w:right="42"/>
              <w:spacing w:after="0"/>
              <w:rPr>
                <w:sz w:val="20"/>
                <w:szCs w:val="20"/>
                <w:color w:val="auto"/>
              </w:rPr>
            </w:pPr>
            <w:r>
              <w:rPr>
                <w:rFonts w:ascii="Arial" w:cs="Arial" w:eastAsia="Arial" w:hAnsi="Arial"/>
                <w:sz w:val="12"/>
                <w:szCs w:val="12"/>
                <w:color w:val="auto"/>
                <w:w w:val="99"/>
              </w:rPr>
              <w:t>(875)</w:t>
            </w:r>
          </w:p>
        </w:tc>
        <w:tc>
          <w:tcPr>
            <w:tcW w:w="80" w:type="dxa"/>
            <w:vAlign w:val="bottom"/>
            <w:shd w:val="clear" w:color="auto" w:fill="CFF0FC"/>
          </w:tcPr>
          <w:p>
            <w:pPr>
              <w:spacing w:after="0"/>
              <w:rPr>
                <w:sz w:val="12"/>
                <w:szCs w:val="12"/>
                <w:color w:val="auto"/>
              </w:rPr>
            </w:pPr>
          </w:p>
        </w:tc>
        <w:tc>
          <w:tcPr>
            <w:tcW w:w="5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(875)</w:t>
            </w:r>
          </w:p>
        </w:tc>
        <w:tc>
          <w:tcPr>
            <w:tcW w:w="0" w:type="dxa"/>
            <w:vAlign w:val="bottom"/>
          </w:tcPr>
          <w:p>
            <w:pPr>
              <w:spacing w:after="0"/>
              <w:rPr>
                <w:sz w:val="1"/>
                <w:szCs w:val="1"/>
                <w:color w:val="auto"/>
              </w:rPr>
            </w:pPr>
          </w:p>
        </w:tc>
      </w:tr>
      <w:tr>
        <w:trPr>
          <w:trHeight w:val="148"/>
        </w:trPr>
        <w:tc>
          <w:tcPr>
            <w:tcW w:w="2940" w:type="dxa"/>
            <w:vAlign w:val="bottom"/>
            <w:gridSpan w:val="3"/>
          </w:tcPr>
          <w:p>
            <w:pPr>
              <w:spacing w:after="0"/>
              <w:rPr>
                <w:sz w:val="20"/>
                <w:szCs w:val="20"/>
                <w:color w:val="auto"/>
              </w:rPr>
            </w:pPr>
            <w:r>
              <w:rPr>
                <w:rFonts w:ascii="Arial" w:cs="Arial" w:eastAsia="Arial" w:hAnsi="Arial"/>
                <w:sz w:val="12"/>
                <w:szCs w:val="12"/>
                <w:color w:val="auto"/>
              </w:rPr>
              <w:t>Equity settlement convertible preferred stock</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2"/>
                <w:szCs w:val="12"/>
                <w:color w:val="auto"/>
                <w:w w:val="97"/>
              </w:rPr>
              <w:t>8,677,163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jc w:val="right"/>
              <w:ind w:right="2"/>
              <w:spacing w:after="0"/>
              <w:rPr>
                <w:sz w:val="20"/>
                <w:szCs w:val="20"/>
                <w:color w:val="auto"/>
              </w:rPr>
            </w:pPr>
            <w:r>
              <w:rPr>
                <w:rFonts w:ascii="Arial" w:cs="Arial" w:eastAsia="Arial" w:hAnsi="Arial"/>
                <w:sz w:val="9"/>
                <w:szCs w:val="9"/>
                <w:color w:val="auto"/>
                <w:w w:val="78"/>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87,499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0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87,500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Net share settlement</w:t>
            </w:r>
          </w:p>
        </w:tc>
        <w:tc>
          <w:tcPr>
            <w:tcW w:w="4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2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2"/>
                <w:szCs w:val="12"/>
                <w:color w:val="auto"/>
                <w:w w:val="98"/>
              </w:rPr>
              <w:t>-</w:t>
            </w: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60" w:type="dxa"/>
            <w:vAlign w:val="bottom"/>
            <w:gridSpan w:val="3"/>
            <w:shd w:val="clear" w:color="auto" w:fill="CFF0FC"/>
          </w:tcPr>
          <w:p>
            <w:pPr>
              <w:jc w:val="right"/>
              <w:ind w:right="100"/>
              <w:spacing w:after="0"/>
              <w:rPr>
                <w:sz w:val="20"/>
                <w:szCs w:val="20"/>
                <w:color w:val="auto"/>
              </w:rPr>
            </w:pPr>
            <w:r>
              <w:rPr>
                <w:rFonts w:ascii="Arial" w:cs="Arial" w:eastAsia="Arial" w:hAnsi="Arial"/>
                <w:sz w:val="12"/>
                <w:szCs w:val="12"/>
                <w:color w:val="auto"/>
              </w:rPr>
              <w:t>(1,834)</w:t>
            </w: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tcBorders>
              <w:right w:val="single" w:sz="8" w:color="CFF0FC"/>
            </w:tcBorders>
            <w:gridSpan w:val="2"/>
            <w:shd w:val="clear" w:color="auto" w:fill="CFF0FC"/>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tcBorders>
              <w:right w:val="single" w:sz="8" w:color="CFF0FC"/>
            </w:tcBorders>
            <w:gridSpan w:val="2"/>
            <w:shd w:val="clear" w:color="auto" w:fill="CFF0FC"/>
          </w:tcPr>
          <w:p>
            <w:pPr>
              <w:jc w:val="right"/>
              <w:ind w:right="10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(1,834)</w:t>
            </w:r>
          </w:p>
        </w:tc>
        <w:tc>
          <w:tcPr>
            <w:tcW w:w="0" w:type="dxa"/>
            <w:vAlign w:val="bottom"/>
          </w:tcPr>
          <w:p>
            <w:pPr>
              <w:spacing w:after="0"/>
              <w:rPr>
                <w:sz w:val="1"/>
                <w:szCs w:val="1"/>
                <w:color w:val="auto"/>
              </w:rPr>
            </w:pPr>
          </w:p>
        </w:tc>
      </w:tr>
      <w:tr>
        <w:trPr>
          <w:trHeight w:val="148"/>
        </w:trPr>
        <w:tc>
          <w:tcPr>
            <w:tcW w:w="2940" w:type="dxa"/>
            <w:vAlign w:val="bottom"/>
            <w:gridSpan w:val="3"/>
          </w:tcPr>
          <w:p>
            <w:pPr>
              <w:spacing w:after="0"/>
              <w:rPr>
                <w:sz w:val="20"/>
                <w:szCs w:val="20"/>
                <w:color w:val="auto"/>
              </w:rPr>
            </w:pPr>
            <w:r>
              <w:rPr>
                <w:rFonts w:ascii="Arial" w:cs="Arial" w:eastAsia="Arial" w:hAnsi="Arial"/>
                <w:sz w:val="12"/>
                <w:szCs w:val="12"/>
                <w:color w:val="auto"/>
              </w:rPr>
              <w:t>Stock-based compensation</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2"/>
                <w:szCs w:val="12"/>
                <w:color w:val="auto"/>
              </w:rPr>
              <w:t>357,066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jc w:val="right"/>
              <w:ind w:right="2"/>
              <w:spacing w:after="0"/>
              <w:rPr>
                <w:sz w:val="20"/>
                <w:szCs w:val="20"/>
                <w:color w:val="auto"/>
              </w:rPr>
            </w:pPr>
            <w:r>
              <w:rPr>
                <w:rFonts w:ascii="Arial" w:cs="Arial" w:eastAsia="Arial" w:hAnsi="Arial"/>
                <w:sz w:val="12"/>
                <w:szCs w:val="12"/>
                <w:color w:val="auto"/>
                <w:w w:val="98"/>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10,808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0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10,808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Equity settlement contingent consideration</w:t>
            </w:r>
          </w:p>
        </w:tc>
        <w:tc>
          <w:tcPr>
            <w:tcW w:w="4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2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645,385</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2"/>
                <w:szCs w:val="12"/>
                <w:color w:val="auto"/>
                <w:w w:val="98"/>
              </w:rPr>
              <w:t>-</w:t>
            </w: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11,178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tcBorders>
              <w:right w:val="single" w:sz="8" w:color="CFF0FC"/>
            </w:tcBorders>
            <w:gridSpan w:val="2"/>
            <w:shd w:val="clear" w:color="auto" w:fill="CFF0FC"/>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tcBorders>
              <w:right w:val="single" w:sz="8" w:color="CFF0FC"/>
            </w:tcBorders>
            <w:gridSpan w:val="2"/>
            <w:shd w:val="clear" w:color="auto" w:fill="CFF0FC"/>
          </w:tcPr>
          <w:p>
            <w:pPr>
              <w:jc w:val="right"/>
              <w:ind w:right="10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11,178</w:t>
            </w: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3"/>
          </w:tcPr>
          <w:p>
            <w:pPr>
              <w:spacing w:after="0"/>
              <w:rPr>
                <w:sz w:val="20"/>
                <w:szCs w:val="20"/>
                <w:color w:val="auto"/>
              </w:rPr>
            </w:pPr>
            <w:r>
              <w:rPr>
                <w:rFonts w:ascii="Arial" w:cs="Arial" w:eastAsia="Arial" w:hAnsi="Arial"/>
                <w:sz w:val="12"/>
                <w:szCs w:val="12"/>
                <w:color w:val="auto"/>
                <w:w w:val="92"/>
              </w:rPr>
              <w:t>Issuance of common stock - employee stock purchase plan</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2"/>
                <w:szCs w:val="12"/>
                <w:color w:val="auto"/>
              </w:rPr>
              <w:t>83,287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jc w:val="right"/>
              <w:ind w:right="2"/>
              <w:spacing w:after="0"/>
              <w:rPr>
                <w:sz w:val="20"/>
                <w:szCs w:val="20"/>
                <w:color w:val="auto"/>
              </w:rPr>
            </w:pPr>
            <w:r>
              <w:rPr>
                <w:rFonts w:ascii="Arial" w:cs="Arial" w:eastAsia="Arial" w:hAnsi="Arial"/>
                <w:sz w:val="12"/>
                <w:szCs w:val="12"/>
                <w:color w:val="auto"/>
                <w:w w:val="98"/>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884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0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884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w w:val="91"/>
              </w:rPr>
              <w:t>Equity component value of exchangeable note issuance, net</w:t>
            </w:r>
          </w:p>
        </w:tc>
        <w:tc>
          <w:tcPr>
            <w:tcW w:w="4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2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2"/>
                <w:szCs w:val="12"/>
                <w:color w:val="auto"/>
                <w:w w:val="98"/>
              </w:rPr>
              <w:t>-</w:t>
            </w: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80,770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tcBorders>
              <w:right w:val="single" w:sz="8" w:color="CFF0FC"/>
            </w:tcBorders>
            <w:gridSpan w:val="2"/>
            <w:shd w:val="clear" w:color="auto" w:fill="CFF0FC"/>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tcBorders>
              <w:right w:val="single" w:sz="8" w:color="CFF0FC"/>
            </w:tcBorders>
            <w:gridSpan w:val="2"/>
            <w:shd w:val="clear" w:color="auto" w:fill="CFF0FC"/>
          </w:tcPr>
          <w:p>
            <w:pPr>
              <w:jc w:val="right"/>
              <w:ind w:right="10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80,770</w:t>
            </w: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gridSpan w:val="3"/>
          </w:tcPr>
          <w:p>
            <w:pPr>
              <w:spacing w:after="0"/>
              <w:rPr>
                <w:sz w:val="20"/>
                <w:szCs w:val="20"/>
                <w:color w:val="auto"/>
              </w:rPr>
            </w:pPr>
            <w:r>
              <w:rPr>
                <w:rFonts w:ascii="Arial" w:cs="Arial" w:eastAsia="Arial" w:hAnsi="Arial"/>
                <w:sz w:val="12"/>
                <w:szCs w:val="12"/>
                <w:color w:val="auto"/>
                <w:w w:val="92"/>
              </w:rPr>
              <w:t>Deferred tax liability related to exchangeable note issuance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jc w:val="right"/>
              <w:ind w:right="2"/>
              <w:spacing w:after="0"/>
              <w:rPr>
                <w:sz w:val="20"/>
                <w:szCs w:val="20"/>
                <w:color w:val="auto"/>
              </w:rPr>
            </w:pPr>
            <w:r>
              <w:rPr>
                <w:rFonts w:ascii="Arial" w:cs="Arial" w:eastAsia="Arial" w:hAnsi="Arial"/>
                <w:sz w:val="12"/>
                <w:szCs w:val="12"/>
                <w:color w:val="auto"/>
                <w:w w:val="98"/>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2"/>
                <w:szCs w:val="12"/>
                <w:color w:val="auto"/>
              </w:rPr>
              <w:t>(3,499)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0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2"/>
                <w:szCs w:val="12"/>
                <w:color w:val="auto"/>
              </w:rPr>
              <w:t>(3,499)</w:t>
            </w:r>
          </w:p>
        </w:tc>
        <w:tc>
          <w:tcPr>
            <w:tcW w:w="0" w:type="dxa"/>
            <w:vAlign w:val="bottom"/>
          </w:tcPr>
          <w:p>
            <w:pPr>
              <w:spacing w:after="0"/>
              <w:rPr>
                <w:sz w:val="1"/>
                <w:szCs w:val="1"/>
                <w:color w:val="auto"/>
              </w:rPr>
            </w:pPr>
          </w:p>
        </w:tc>
      </w:tr>
      <w:tr>
        <w:trPr>
          <w:trHeight w:val="149"/>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Sale of common stock warrant</w:t>
            </w:r>
          </w:p>
        </w:tc>
        <w:tc>
          <w:tcPr>
            <w:tcW w:w="4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2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2"/>
                <w:szCs w:val="12"/>
                <w:color w:val="auto"/>
                <w:w w:val="98"/>
              </w:rPr>
              <w:t>-</w:t>
            </w: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50,819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tcBorders>
              <w:right w:val="single" w:sz="8" w:color="CFF0FC"/>
            </w:tcBorders>
            <w:gridSpan w:val="2"/>
            <w:shd w:val="clear" w:color="auto" w:fill="CFF0FC"/>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tcBorders>
              <w:right w:val="single" w:sz="8" w:color="CFF0FC"/>
            </w:tcBorders>
            <w:gridSpan w:val="2"/>
            <w:shd w:val="clear" w:color="auto" w:fill="CFF0FC"/>
          </w:tcPr>
          <w:p>
            <w:pPr>
              <w:jc w:val="right"/>
              <w:ind w:right="10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50,819</w:t>
            </w: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gridSpan w:val="3"/>
          </w:tcPr>
          <w:p>
            <w:pPr>
              <w:spacing w:after="0"/>
              <w:rPr>
                <w:sz w:val="20"/>
                <w:szCs w:val="20"/>
                <w:color w:val="auto"/>
              </w:rPr>
            </w:pPr>
            <w:r>
              <w:rPr>
                <w:rFonts w:ascii="Arial" w:cs="Arial" w:eastAsia="Arial" w:hAnsi="Arial"/>
                <w:sz w:val="12"/>
                <w:szCs w:val="12"/>
                <w:color w:val="auto"/>
              </w:rPr>
              <w:t>Payment for bond hedge option</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jc w:val="right"/>
              <w:ind w:right="2"/>
              <w:spacing w:after="0"/>
              <w:rPr>
                <w:sz w:val="20"/>
                <w:szCs w:val="20"/>
                <w:color w:val="auto"/>
              </w:rPr>
            </w:pPr>
            <w:r>
              <w:rPr>
                <w:rFonts w:ascii="Arial" w:cs="Arial" w:eastAsia="Arial" w:hAnsi="Arial"/>
                <w:sz w:val="12"/>
                <w:szCs w:val="12"/>
                <w:color w:val="auto"/>
                <w:w w:val="98"/>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2"/>
                <w:szCs w:val="12"/>
                <w:color w:val="auto"/>
                <w:w w:val="98"/>
              </w:rPr>
              <w:t>(70,035)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0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2"/>
                <w:szCs w:val="12"/>
                <w:color w:val="auto"/>
              </w:rPr>
              <w:t>(70,035)</w:t>
            </w:r>
          </w:p>
        </w:tc>
        <w:tc>
          <w:tcPr>
            <w:tcW w:w="0" w:type="dxa"/>
            <w:vAlign w:val="bottom"/>
          </w:tcPr>
          <w:p>
            <w:pPr>
              <w:spacing w:after="0"/>
              <w:rPr>
                <w:sz w:val="1"/>
                <w:szCs w:val="1"/>
                <w:color w:val="auto"/>
              </w:rPr>
            </w:pPr>
          </w:p>
        </w:tc>
      </w:tr>
      <w:tr>
        <w:trPr>
          <w:trHeight w:val="20"/>
        </w:trPr>
        <w:tc>
          <w:tcPr>
            <w:tcW w:w="2940" w:type="dxa"/>
            <w:vAlign w:val="bottom"/>
            <w:gridSpan w:val="3"/>
            <w:shd w:val="clear" w:color="auto" w:fill="CFF0FC"/>
          </w:tcPr>
          <w:p>
            <w:pPr>
              <w:spacing w:after="0" w:line="20" w:lineRule="exact"/>
              <w:rPr>
                <w:sz w:val="1"/>
                <w:szCs w:val="1"/>
                <w:color w:val="auto"/>
              </w:rPr>
            </w:pPr>
          </w:p>
        </w:tc>
        <w:tc>
          <w:tcPr>
            <w:tcW w:w="4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0" w:type="dxa"/>
            <w:vAlign w:val="bottom"/>
            <w:tcBorders>
              <w:right w:val="single" w:sz="8" w:color="CFF0FC"/>
            </w:tcBorders>
            <w:gridSpan w:val="3"/>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FF0FC"/>
            </w:tcBorders>
            <w:gridSpan w:val="3"/>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FF0FC"/>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CFF0FC"/>
          </w:tcPr>
          <w:p>
            <w:pPr>
              <w:spacing w:after="0" w:line="20" w:lineRule="exact"/>
              <w:rPr>
                <w:sz w:val="1"/>
                <w:szCs w:val="1"/>
                <w:color w:val="auto"/>
              </w:rPr>
            </w:pPr>
          </w:p>
        </w:tc>
        <w:tc>
          <w:tcPr>
            <w:tcW w:w="48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gridSpan w:val="2"/>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Balance at December 31, 2019</w:t>
            </w:r>
          </w:p>
        </w:tc>
        <w:tc>
          <w:tcPr>
            <w:tcW w:w="460" w:type="dxa"/>
            <w:vAlign w:val="bottom"/>
            <w:tcBorders>
              <w:right w:val="single" w:sz="8" w:color="CFF0FC"/>
            </w:tcBorders>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300" w:type="dxa"/>
            <w:vAlign w:val="bottom"/>
            <w:shd w:val="clear" w:color="auto" w:fill="CFF0FC"/>
          </w:tcPr>
          <w:p>
            <w:pPr>
              <w:jc w:val="center"/>
              <w:ind w:left="202"/>
              <w:spacing w:after="0"/>
              <w:rPr>
                <w:sz w:val="20"/>
                <w:szCs w:val="20"/>
                <w:color w:val="auto"/>
              </w:rPr>
            </w:pPr>
            <w:r>
              <w:rPr>
                <w:rFonts w:ascii="Arial" w:cs="Arial" w:eastAsia="Arial" w:hAnsi="Arial"/>
                <w:sz w:val="12"/>
                <w:szCs w:val="12"/>
                <w:color w:val="auto"/>
                <w:w w:val="98"/>
              </w:rPr>
              <w:t>-</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24"/>
                <w:szCs w:val="24"/>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CFF0FC"/>
            </w:tcBorders>
            <w:gridSpan w:val="5"/>
            <w:shd w:val="clear" w:color="auto" w:fill="CFF0FC"/>
          </w:tcPr>
          <w:p>
            <w:pPr>
              <w:jc w:val="right"/>
              <w:ind w:right="80"/>
              <w:spacing w:after="0"/>
              <w:rPr>
                <w:sz w:val="20"/>
                <w:szCs w:val="20"/>
                <w:color w:val="auto"/>
              </w:rPr>
            </w:pPr>
            <w:r>
              <w:rPr>
                <w:rFonts w:ascii="Arial" w:cs="Arial" w:eastAsia="Arial" w:hAnsi="Arial"/>
                <w:sz w:val="12"/>
                <w:szCs w:val="12"/>
                <w:color w:val="auto"/>
              </w:rPr>
              <w:t>192,141,634</w:t>
            </w:r>
          </w:p>
        </w:tc>
        <w:tc>
          <w:tcPr>
            <w:tcW w:w="260" w:type="dxa"/>
            <w:vAlign w:val="bottom"/>
            <w:gridSpan w:val="3"/>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tcBorders>
              <w:right w:val="single" w:sz="8" w:color="CFF0FC"/>
            </w:tcBorders>
            <w:gridSpan w:val="3"/>
            <w:shd w:val="clear" w:color="auto" w:fill="CFF0FC"/>
          </w:tcPr>
          <w:p>
            <w:pPr>
              <w:jc w:val="right"/>
              <w:ind w:right="2"/>
              <w:spacing w:after="0"/>
              <w:rPr>
                <w:sz w:val="20"/>
                <w:szCs w:val="20"/>
                <w:color w:val="auto"/>
              </w:rPr>
            </w:pPr>
            <w:r>
              <w:rPr>
                <w:rFonts w:ascii="Arial" w:cs="Arial" w:eastAsia="Arial" w:hAnsi="Arial"/>
                <w:sz w:val="12"/>
                <w:szCs w:val="12"/>
                <w:color w:val="auto"/>
              </w:rPr>
              <w:t>19</w:t>
            </w:r>
          </w:p>
        </w:tc>
        <w:tc>
          <w:tcPr>
            <w:tcW w:w="120" w:type="dxa"/>
            <w:vAlign w:val="bottom"/>
            <w:tcBorders>
              <w:right w:val="single" w:sz="8" w:color="CFF0FC"/>
            </w:tcBorders>
            <w:shd w:val="clear" w:color="auto" w:fill="CFF0FC"/>
          </w:tcPr>
          <w:p>
            <w:pPr>
              <w:spacing w:after="0"/>
              <w:rPr>
                <w:sz w:val="24"/>
                <w:szCs w:val="24"/>
                <w:color w:val="auto"/>
              </w:rPr>
            </w:pPr>
          </w:p>
        </w:tc>
        <w:tc>
          <w:tcPr>
            <w:tcW w:w="160" w:type="dxa"/>
            <w:vAlign w:val="bottom"/>
            <w:shd w:val="clear" w:color="auto" w:fill="CFF0FC"/>
          </w:tcPr>
          <w:p>
            <w:pPr>
              <w:jc w:val="right"/>
              <w:ind w:right="43"/>
              <w:spacing w:after="0"/>
              <w:rPr>
                <w:sz w:val="20"/>
                <w:szCs w:val="20"/>
                <w:color w:val="auto"/>
              </w:rPr>
            </w:pPr>
            <w:r>
              <w:rPr>
                <w:rFonts w:ascii="Arial" w:cs="Arial" w:eastAsia="Arial" w:hAnsi="Arial"/>
                <w:sz w:val="9"/>
                <w:szCs w:val="9"/>
                <w:color w:val="auto"/>
                <w:w w:val="78"/>
              </w:rPr>
              <w:t>$</w:t>
            </w:r>
          </w:p>
        </w:tc>
        <w:tc>
          <w:tcPr>
            <w:tcW w:w="40" w:type="dxa"/>
            <w:vAlign w:val="bottom"/>
            <w:shd w:val="clear" w:color="auto" w:fill="CFF0FC"/>
          </w:tcPr>
          <w:p>
            <w:pPr>
              <w:spacing w:after="0"/>
              <w:rPr>
                <w:sz w:val="24"/>
                <w:szCs w:val="24"/>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87"/>
              </w:rPr>
              <w:t>951,295</w:t>
            </w:r>
          </w:p>
        </w:tc>
        <w:tc>
          <w:tcPr>
            <w:tcW w:w="140" w:type="dxa"/>
            <w:vAlign w:val="bottom"/>
            <w:shd w:val="clear" w:color="auto" w:fill="CFF0FC"/>
          </w:tcPr>
          <w:p>
            <w:pPr>
              <w:spacing w:after="0"/>
              <w:rPr>
                <w:sz w:val="24"/>
                <w:szCs w:val="2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2"/>
                <w:szCs w:val="12"/>
                <w:color w:val="auto"/>
              </w:rPr>
              <w:t>(23,442)</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tcBorders>
              <w:right w:val="single" w:sz="8" w:color="CFF0FC"/>
            </w:tcBorders>
            <w:gridSpan w:val="4"/>
            <w:shd w:val="clear" w:color="auto" w:fill="CFF0FC"/>
          </w:tcPr>
          <w:p>
            <w:pPr>
              <w:jc w:val="right"/>
              <w:ind w:right="42"/>
              <w:spacing w:after="0"/>
              <w:rPr>
                <w:sz w:val="20"/>
                <w:szCs w:val="20"/>
                <w:color w:val="auto"/>
              </w:rPr>
            </w:pPr>
            <w:r>
              <w:rPr>
                <w:rFonts w:ascii="Arial" w:cs="Arial" w:eastAsia="Arial" w:hAnsi="Arial"/>
                <w:sz w:val="12"/>
                <w:szCs w:val="12"/>
                <w:color w:val="auto"/>
              </w:rPr>
              <w:t>(2,494,740)</w:t>
            </w: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83,704</w:t>
            </w:r>
          </w:p>
        </w:tc>
        <w:tc>
          <w:tcPr>
            <w:tcW w:w="1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24"/>
                <w:szCs w:val="24"/>
                <w:color w:val="auto"/>
              </w:rPr>
            </w:pPr>
          </w:p>
        </w:tc>
        <w:tc>
          <w:tcPr>
            <w:tcW w:w="200" w:type="dxa"/>
            <w:vAlign w:val="bottom"/>
            <w:shd w:val="clear" w:color="auto" w:fill="CFF0FC"/>
          </w:tcPr>
          <w:p>
            <w:pPr>
              <w:jc w:val="right"/>
              <w:ind w:right="93"/>
              <w:spacing w:after="0"/>
              <w:rPr>
                <w:sz w:val="20"/>
                <w:szCs w:val="20"/>
                <w:color w:val="auto"/>
              </w:rPr>
            </w:pPr>
            <w:r>
              <w:rPr>
                <w:rFonts w:ascii="Arial" w:cs="Arial" w:eastAsia="Arial" w:hAnsi="Arial"/>
                <w:sz w:val="9"/>
                <w:szCs w:val="9"/>
                <w:color w:val="auto"/>
                <w:w w:val="78"/>
              </w:rPr>
              <w:t>$</w:t>
            </w:r>
          </w:p>
        </w:tc>
        <w:tc>
          <w:tcPr>
            <w:tcW w:w="80" w:type="dxa"/>
            <w:vAlign w:val="bottom"/>
            <w:shd w:val="clear" w:color="auto" w:fill="CFF0FC"/>
          </w:tcPr>
          <w:p>
            <w:pPr>
              <w:spacing w:after="0"/>
              <w:rPr>
                <w:sz w:val="24"/>
                <w:szCs w:val="24"/>
                <w:color w:val="auto"/>
              </w:rPr>
            </w:pP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w w:val="94"/>
              </w:rPr>
              <w:t>(1,483,164)</w:t>
            </w:r>
          </w:p>
        </w:tc>
        <w:tc>
          <w:tcPr>
            <w:tcW w:w="0" w:type="dxa"/>
            <w:vAlign w:val="bottom"/>
          </w:tcPr>
          <w:p>
            <w:pPr>
              <w:spacing w:after="0"/>
              <w:rPr>
                <w:sz w:val="1"/>
                <w:szCs w:val="1"/>
                <w:color w:val="auto"/>
              </w:rPr>
            </w:pPr>
          </w:p>
        </w:tc>
      </w:tr>
      <w:tr>
        <w:trPr>
          <w:trHeight w:val="20"/>
        </w:trPr>
        <w:tc>
          <w:tcPr>
            <w:tcW w:w="294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2"/>
                <w:szCs w:val="12"/>
                <w:color w:val="auto"/>
              </w:rPr>
              <w:t>2020 Activity:</w:t>
            </w:r>
          </w:p>
        </w:tc>
        <w:tc>
          <w:tcPr>
            <w:tcW w:w="4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Net loss</w:t>
            </w:r>
          </w:p>
        </w:tc>
        <w:tc>
          <w:tcPr>
            <w:tcW w:w="4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tcBorders>
              <w:right w:val="single" w:sz="8" w:color="CFF0FC"/>
            </w:tcBorders>
            <w:gridSpan w:val="2"/>
            <w:shd w:val="clear" w:color="auto" w:fill="CFF0FC"/>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tcBorders>
              <w:right w:val="single" w:sz="8" w:color="CFF0FC"/>
            </w:tcBorders>
            <w:gridSpan w:val="4"/>
            <w:shd w:val="clear" w:color="auto" w:fill="CFF0FC"/>
          </w:tcPr>
          <w:p>
            <w:pPr>
              <w:jc w:val="right"/>
              <w:ind w:right="62"/>
              <w:spacing w:after="0"/>
              <w:rPr>
                <w:sz w:val="20"/>
                <w:szCs w:val="20"/>
                <w:color w:val="auto"/>
              </w:rPr>
            </w:pPr>
            <w:r>
              <w:rPr>
                <w:rFonts w:ascii="Arial" w:cs="Arial" w:eastAsia="Arial" w:hAnsi="Arial"/>
                <w:sz w:val="12"/>
                <w:szCs w:val="12"/>
                <w:color w:val="auto"/>
              </w:rPr>
              <w:t>(706,301)</w:t>
            </w:r>
          </w:p>
        </w:tc>
        <w:tc>
          <w:tcPr>
            <w:tcW w:w="80" w:type="dxa"/>
            <w:vAlign w:val="bottom"/>
            <w:shd w:val="clear" w:color="auto" w:fill="CFF0FC"/>
          </w:tcPr>
          <w:p>
            <w:pPr>
              <w:spacing w:after="0"/>
              <w:rPr>
                <w:sz w:val="12"/>
                <w:szCs w:val="12"/>
                <w:color w:val="auto"/>
              </w:rPr>
            </w:pPr>
          </w:p>
        </w:tc>
        <w:tc>
          <w:tcPr>
            <w:tcW w:w="56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(12,511)</w:t>
            </w: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(718,812)</w:t>
            </w:r>
          </w:p>
        </w:tc>
        <w:tc>
          <w:tcPr>
            <w:tcW w:w="0" w:type="dxa"/>
            <w:vAlign w:val="bottom"/>
          </w:tcPr>
          <w:p>
            <w:pPr>
              <w:spacing w:after="0"/>
              <w:rPr>
                <w:sz w:val="1"/>
                <w:szCs w:val="1"/>
                <w:color w:val="auto"/>
              </w:rPr>
            </w:pPr>
          </w:p>
        </w:tc>
      </w:tr>
      <w:tr>
        <w:trPr>
          <w:trHeight w:val="148"/>
        </w:trPr>
        <w:tc>
          <w:tcPr>
            <w:tcW w:w="2940" w:type="dxa"/>
            <w:vAlign w:val="bottom"/>
            <w:gridSpan w:val="3"/>
          </w:tcPr>
          <w:p>
            <w:pPr>
              <w:spacing w:after="0"/>
              <w:rPr>
                <w:sz w:val="20"/>
                <w:szCs w:val="20"/>
                <w:color w:val="auto"/>
              </w:rPr>
            </w:pPr>
            <w:r>
              <w:rPr>
                <w:rFonts w:ascii="Arial" w:cs="Arial" w:eastAsia="Arial" w:hAnsi="Arial"/>
                <w:sz w:val="12"/>
                <w:szCs w:val="12"/>
                <w:color w:val="auto"/>
              </w:rPr>
              <w:t>Other comprehensive income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22"/>
              <w:spacing w:after="0"/>
              <w:rPr>
                <w:sz w:val="20"/>
                <w:szCs w:val="20"/>
                <w:color w:val="auto"/>
              </w:rPr>
            </w:pPr>
            <w:r>
              <w:rPr>
                <w:rFonts w:ascii="Arial" w:cs="Arial" w:eastAsia="Arial" w:hAnsi="Arial"/>
                <w:sz w:val="12"/>
                <w:szCs w:val="12"/>
                <w:color w:val="auto"/>
              </w:rPr>
              <w:t>3,075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44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3,119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Common stock dividends declared ($0.60 per share)</w:t>
            </w:r>
          </w:p>
        </w:tc>
        <w:tc>
          <w:tcPr>
            <w:tcW w:w="4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tcBorders>
              <w:right w:val="single" w:sz="8" w:color="CFF0FC"/>
            </w:tcBorders>
            <w:gridSpan w:val="2"/>
            <w:shd w:val="clear" w:color="auto" w:fill="CFF0FC"/>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tcBorders>
              <w:right w:val="single" w:sz="8" w:color="CFF0FC"/>
            </w:tcBorders>
            <w:gridSpan w:val="4"/>
            <w:shd w:val="clear" w:color="auto" w:fill="CFF0FC"/>
          </w:tcPr>
          <w:p>
            <w:pPr>
              <w:jc w:val="right"/>
              <w:ind w:right="62"/>
              <w:spacing w:after="0"/>
              <w:rPr>
                <w:sz w:val="20"/>
                <w:szCs w:val="20"/>
                <w:color w:val="auto"/>
              </w:rPr>
            </w:pPr>
            <w:r>
              <w:rPr>
                <w:rFonts w:ascii="Arial" w:cs="Arial" w:eastAsia="Arial" w:hAnsi="Arial"/>
                <w:sz w:val="12"/>
                <w:szCs w:val="12"/>
                <w:color w:val="auto"/>
              </w:rPr>
              <w:t>(129,414)</w:t>
            </w:r>
          </w:p>
        </w:tc>
        <w:tc>
          <w:tcPr>
            <w:tcW w:w="80" w:type="dxa"/>
            <w:vAlign w:val="bottom"/>
            <w:shd w:val="clear" w:color="auto" w:fill="CFF0FC"/>
          </w:tcPr>
          <w:p>
            <w:pPr>
              <w:spacing w:after="0"/>
              <w:rPr>
                <w:sz w:val="12"/>
                <w:szCs w:val="12"/>
                <w:color w:val="auto"/>
              </w:rPr>
            </w:pPr>
          </w:p>
        </w:tc>
        <w:tc>
          <w:tcPr>
            <w:tcW w:w="56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(129,414)</w:t>
            </w:r>
          </w:p>
        </w:tc>
        <w:tc>
          <w:tcPr>
            <w:tcW w:w="0" w:type="dxa"/>
            <w:vAlign w:val="bottom"/>
          </w:tcPr>
          <w:p>
            <w:pPr>
              <w:spacing w:after="0"/>
              <w:rPr>
                <w:sz w:val="1"/>
                <w:szCs w:val="1"/>
                <w:color w:val="auto"/>
              </w:rPr>
            </w:pPr>
          </w:p>
        </w:tc>
      </w:tr>
      <w:tr>
        <w:trPr>
          <w:trHeight w:val="148"/>
        </w:trPr>
        <w:tc>
          <w:tcPr>
            <w:tcW w:w="2940" w:type="dxa"/>
            <w:vAlign w:val="bottom"/>
            <w:gridSpan w:val="3"/>
          </w:tcPr>
          <w:p>
            <w:pPr>
              <w:spacing w:after="0"/>
              <w:rPr>
                <w:sz w:val="20"/>
                <w:szCs w:val="20"/>
                <w:color w:val="auto"/>
              </w:rPr>
            </w:pPr>
            <w:r>
              <w:rPr>
                <w:rFonts w:ascii="Arial" w:cs="Arial" w:eastAsia="Arial" w:hAnsi="Arial"/>
                <w:sz w:val="12"/>
                <w:szCs w:val="12"/>
                <w:color w:val="auto"/>
              </w:rPr>
              <w:t>Distributions to noncontrolling interest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(2,080)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2"/>
                <w:szCs w:val="12"/>
                <w:color w:val="auto"/>
              </w:rPr>
              <w:t>(2,080)</w:t>
            </w:r>
          </w:p>
        </w:tc>
        <w:tc>
          <w:tcPr>
            <w:tcW w:w="0" w:type="dxa"/>
            <w:vAlign w:val="bottom"/>
          </w:tcPr>
          <w:p>
            <w:pPr>
              <w:spacing w:after="0"/>
              <w:rPr>
                <w:sz w:val="1"/>
                <w:szCs w:val="1"/>
                <w:color w:val="auto"/>
              </w:rPr>
            </w:pPr>
          </w:p>
        </w:tc>
      </w:tr>
      <w:tr>
        <w:trPr>
          <w:trHeight w:val="148"/>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Cumulative non-voting convertible preferred stock</w:t>
            </w:r>
          </w:p>
        </w:tc>
        <w:tc>
          <w:tcPr>
            <w:tcW w:w="4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tcBorders>
              <w:right w:val="single" w:sz="8" w:color="CFF0FC"/>
            </w:tcBorders>
            <w:gridSpan w:val="2"/>
            <w:shd w:val="clear" w:color="auto" w:fill="CFF0FC"/>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tcBorders>
              <w:right w:val="single" w:sz="8" w:color="CFF0FC"/>
            </w:tcBorders>
            <w:gridSpan w:val="2"/>
            <w:shd w:val="clear" w:color="auto" w:fill="CFF0FC"/>
          </w:tcPr>
          <w:p>
            <w:pPr>
              <w:jc w:val="right"/>
              <w:ind w:right="12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125</w:t>
            </w:r>
          </w:p>
        </w:tc>
        <w:tc>
          <w:tcPr>
            <w:tcW w:w="1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w:t>
            </w: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3"/>
          </w:tcPr>
          <w:p>
            <w:pPr>
              <w:spacing w:after="0"/>
              <w:rPr>
                <w:sz w:val="20"/>
                <w:szCs w:val="20"/>
                <w:color w:val="auto"/>
              </w:rPr>
            </w:pPr>
            <w:r>
              <w:rPr>
                <w:rFonts w:ascii="Arial" w:cs="Arial" w:eastAsia="Arial" w:hAnsi="Arial"/>
                <w:sz w:val="12"/>
                <w:szCs w:val="12"/>
                <w:color w:val="auto"/>
              </w:rPr>
              <w:t>Net share settlement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2"/>
                <w:szCs w:val="12"/>
                <w:color w:val="auto"/>
              </w:rPr>
              <w:t>(1,097)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2"/>
                <w:szCs w:val="12"/>
                <w:color w:val="auto"/>
              </w:rPr>
              <w:t>(1,097)</w:t>
            </w:r>
          </w:p>
        </w:tc>
        <w:tc>
          <w:tcPr>
            <w:tcW w:w="0" w:type="dxa"/>
            <w:vAlign w:val="bottom"/>
          </w:tcPr>
          <w:p>
            <w:pPr>
              <w:spacing w:after="0"/>
              <w:rPr>
                <w:sz w:val="1"/>
                <w:szCs w:val="1"/>
                <w:color w:val="auto"/>
              </w:rPr>
            </w:pPr>
          </w:p>
        </w:tc>
      </w:tr>
      <w:tr>
        <w:trPr>
          <w:trHeight w:val="148"/>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Stock-based compensation</w:t>
            </w:r>
          </w:p>
        </w:tc>
        <w:tc>
          <w:tcPr>
            <w:tcW w:w="4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390,066</w:t>
            </w: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13,721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tcBorders>
              <w:right w:val="single" w:sz="8" w:color="CFF0FC"/>
            </w:tcBorders>
            <w:gridSpan w:val="2"/>
            <w:shd w:val="clear" w:color="auto" w:fill="CFF0FC"/>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tcBorders>
              <w:right w:val="single" w:sz="8" w:color="CFF0FC"/>
            </w:tcBorders>
            <w:gridSpan w:val="2"/>
            <w:shd w:val="clear" w:color="auto" w:fill="CFF0FC"/>
          </w:tcPr>
          <w:p>
            <w:pPr>
              <w:jc w:val="right"/>
              <w:ind w:right="12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56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13,721</w:t>
            </w: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gridSpan w:val="3"/>
          </w:tcPr>
          <w:p>
            <w:pPr>
              <w:spacing w:after="0"/>
              <w:rPr>
                <w:sz w:val="20"/>
                <w:szCs w:val="20"/>
                <w:color w:val="auto"/>
              </w:rPr>
            </w:pPr>
            <w:r>
              <w:rPr>
                <w:rFonts w:ascii="Arial" w:cs="Arial" w:eastAsia="Arial" w:hAnsi="Arial"/>
                <w:sz w:val="12"/>
                <w:szCs w:val="12"/>
                <w:color w:val="auto"/>
                <w:w w:val="92"/>
              </w:rPr>
              <w:t>Issuance of common stock - employee stock purchase plan</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96,788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676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2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676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Settlement Common Stock (Note 17)</w:t>
            </w:r>
          </w:p>
        </w:tc>
        <w:tc>
          <w:tcPr>
            <w:tcW w:w="46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center"/>
              <w:ind w:left="202"/>
              <w:spacing w:after="0"/>
              <w:rPr>
                <w:sz w:val="20"/>
                <w:szCs w:val="20"/>
                <w:color w:val="auto"/>
              </w:rPr>
            </w:pPr>
            <w:r>
              <w:rPr>
                <w:rFonts w:ascii="Arial" w:cs="Arial" w:eastAsia="Arial" w:hAnsi="Arial"/>
                <w:sz w:val="12"/>
                <w:szCs w:val="12"/>
                <w:color w:val="auto"/>
                <w:w w:val="98"/>
              </w:rPr>
              <w:t>-</w:t>
            </w:r>
          </w:p>
        </w:tc>
        <w:tc>
          <w:tcPr>
            <w:tcW w:w="180" w:type="dxa"/>
            <w:vAlign w:val="bottom"/>
            <w:tcBorders>
              <w:right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8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2"/>
                <w:szCs w:val="12"/>
                <w:color w:val="auto"/>
              </w:rPr>
              <w:t>38,633,470</w:t>
            </w: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tcBorders>
              <w:bottom w:val="single" w:sz="8" w:color="auto"/>
              <w:right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4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w w:val="92"/>
              </w:rPr>
              <w:t>244,546</w:t>
            </w:r>
          </w:p>
        </w:tc>
        <w:tc>
          <w:tcPr>
            <w:tcW w:w="14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right w:val="single" w:sz="8" w:color="CFF0FC"/>
            </w:tcBorders>
            <w:gridSpan w:val="2"/>
            <w:shd w:val="clear" w:color="auto" w:fill="CFF0FC"/>
          </w:tcPr>
          <w:p>
            <w:pPr>
              <w:jc w:val="right"/>
              <w:ind w:right="22"/>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right w:val="single" w:sz="8" w:color="CFF0FC"/>
            </w:tcBorders>
            <w:gridSpan w:val="2"/>
            <w:shd w:val="clear" w:color="auto" w:fill="CFF0FC"/>
          </w:tcPr>
          <w:p>
            <w:pPr>
              <w:jc w:val="right"/>
              <w:ind w:right="12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244,550</w:t>
            </w: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gridSpan w:val="3"/>
          </w:tcPr>
          <w:p>
            <w:pPr>
              <w:spacing w:after="0"/>
              <w:rPr>
                <w:sz w:val="20"/>
                <w:szCs w:val="20"/>
                <w:color w:val="auto"/>
              </w:rPr>
            </w:pPr>
            <w:r>
              <w:rPr>
                <w:rFonts w:ascii="Arial" w:cs="Arial" w:eastAsia="Arial" w:hAnsi="Arial"/>
                <w:sz w:val="12"/>
                <w:szCs w:val="12"/>
                <w:color w:val="auto"/>
              </w:rPr>
              <w:t>Balance at December 31, 2020</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center"/>
              <w:ind w:left="202"/>
              <w:spacing w:after="0"/>
              <w:rPr>
                <w:sz w:val="20"/>
                <w:szCs w:val="20"/>
                <w:color w:val="auto"/>
              </w:rPr>
            </w:pPr>
            <w:r>
              <w:rPr>
                <w:rFonts w:ascii="Arial" w:cs="Arial" w:eastAsia="Arial" w:hAnsi="Arial"/>
                <w:sz w:val="12"/>
                <w:szCs w:val="12"/>
                <w:color w:val="auto"/>
                <w:w w:val="98"/>
              </w:rPr>
              <w:t>-</w:t>
            </w:r>
          </w:p>
        </w:tc>
        <w:tc>
          <w:tcPr>
            <w:tcW w:w="2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4"/>
          </w:tcPr>
          <w:p>
            <w:pPr>
              <w:jc w:val="right"/>
              <w:spacing w:after="0"/>
              <w:rPr>
                <w:sz w:val="20"/>
                <w:szCs w:val="20"/>
                <w:color w:val="auto"/>
              </w:rPr>
            </w:pPr>
            <w:r>
              <w:rPr>
                <w:rFonts w:ascii="Arial" w:cs="Arial" w:eastAsia="Arial" w:hAnsi="Arial"/>
                <w:sz w:val="12"/>
                <w:szCs w:val="12"/>
                <w:color w:val="auto"/>
              </w:rPr>
              <w:t>231,261,958</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23</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20" w:type="dxa"/>
            <w:vAlign w:val="bottom"/>
            <w:gridSpan w:val="4"/>
          </w:tcPr>
          <w:p>
            <w:pPr>
              <w:jc w:val="right"/>
              <w:spacing w:after="0"/>
              <w:rPr>
                <w:sz w:val="20"/>
                <w:szCs w:val="20"/>
                <w:color w:val="auto"/>
              </w:rPr>
            </w:pPr>
            <w:r>
              <w:rPr>
                <w:rFonts w:ascii="Arial" w:cs="Arial" w:eastAsia="Arial" w:hAnsi="Arial"/>
                <w:sz w:val="12"/>
                <w:szCs w:val="12"/>
                <w:color w:val="auto"/>
              </w:rPr>
              <w:t>1,209,141</w:t>
            </w: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3"/>
          </w:tcPr>
          <w:p>
            <w:pPr>
              <w:jc w:val="right"/>
              <w:spacing w:after="0"/>
              <w:rPr>
                <w:sz w:val="20"/>
                <w:szCs w:val="20"/>
                <w:color w:val="auto"/>
              </w:rPr>
            </w:pPr>
            <w:r>
              <w:rPr>
                <w:rFonts w:ascii="Arial" w:cs="Arial" w:eastAsia="Arial" w:hAnsi="Arial"/>
                <w:sz w:val="12"/>
                <w:szCs w:val="12"/>
                <w:color w:val="auto"/>
              </w:rPr>
              <w:t>(20,367)</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60" w:type="dxa"/>
            <w:vAlign w:val="bottom"/>
            <w:gridSpan w:val="4"/>
          </w:tcPr>
          <w:p>
            <w:pPr>
              <w:jc w:val="right"/>
              <w:ind w:right="62"/>
              <w:spacing w:after="0"/>
              <w:rPr>
                <w:sz w:val="20"/>
                <w:szCs w:val="20"/>
                <w:color w:val="auto"/>
              </w:rPr>
            </w:pPr>
            <w:r>
              <w:rPr>
                <w:rFonts w:ascii="Arial" w:cs="Arial" w:eastAsia="Arial" w:hAnsi="Arial"/>
                <w:sz w:val="12"/>
                <w:szCs w:val="12"/>
                <w:color w:val="auto"/>
              </w:rPr>
              <w:t>(3,330,455)</w:t>
            </w: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69,157</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125</w:t>
            </w:r>
          </w:p>
        </w:tc>
        <w:tc>
          <w:tcPr>
            <w:tcW w:w="140" w:type="dxa"/>
            <w:vAlign w:val="bottom"/>
          </w:tcPr>
          <w:p>
            <w:pPr>
              <w:spacing w:after="0"/>
              <w:rPr>
                <w:sz w:val="12"/>
                <w:szCs w:val="12"/>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0" w:type="dxa"/>
            <w:vAlign w:val="bottom"/>
          </w:tcPr>
          <w:p>
            <w:pPr>
              <w:spacing w:after="0"/>
              <w:rPr>
                <w:sz w:val="12"/>
                <w:szCs w:val="1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2"/>
                <w:szCs w:val="12"/>
                <w:color w:val="auto"/>
                <w:w w:val="94"/>
              </w:rPr>
              <w:t>(2,072,376)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w w:val="87"/>
              </w:rPr>
              <w:t>Year Ended December 31,</w:t>
            </w: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5760" w:type="dxa"/>
            <w:vAlign w:val="bottom"/>
            <w:gridSpan w:val="2"/>
          </w:tcPr>
          <w:p>
            <w:pPr>
              <w:spacing w:after="0" w:line="142" w:lineRule="exact"/>
              <w:rPr>
                <w:sz w:val="20"/>
                <w:szCs w:val="20"/>
                <w:color w:val="auto"/>
              </w:rPr>
            </w:pPr>
            <w:r>
              <w:rPr>
                <w:rFonts w:ascii="Arial" w:cs="Arial" w:eastAsia="Arial" w:hAnsi="Arial"/>
                <w:sz w:val="13"/>
                <w:szCs w:val="13"/>
                <w:color w:val="auto"/>
              </w:rPr>
              <w:t>(Thousands)</w:t>
            </w:r>
          </w:p>
        </w:tc>
        <w:tc>
          <w:tcPr>
            <w:tcW w:w="360" w:type="dxa"/>
            <w:vAlign w:val="bottom"/>
          </w:tcPr>
          <w:p>
            <w:pPr>
              <w:spacing w:after="0"/>
              <w:rPr>
                <w:sz w:val="12"/>
                <w:szCs w:val="12"/>
                <w:color w:val="auto"/>
              </w:rPr>
            </w:pPr>
          </w:p>
        </w:tc>
        <w:tc>
          <w:tcPr>
            <w:tcW w:w="1240" w:type="dxa"/>
            <w:vAlign w:val="bottom"/>
          </w:tcPr>
          <w:p>
            <w:pPr>
              <w:jc w:val="right"/>
              <w:ind w:right="617"/>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ind w:right="617"/>
              <w:spacing w:after="0" w:line="142" w:lineRule="exact"/>
              <w:rPr>
                <w:sz w:val="20"/>
                <w:szCs w:val="20"/>
                <w:color w:val="auto"/>
              </w:rPr>
            </w:pPr>
            <w:r>
              <w:rPr>
                <w:rFonts w:ascii="Arial" w:cs="Arial" w:eastAsia="Arial" w:hAnsi="Arial"/>
                <w:sz w:val="13"/>
                <w:szCs w:val="13"/>
                <w:b w:val="1"/>
                <w:bCs w:val="1"/>
                <w:color w:val="auto"/>
              </w:rPr>
              <w:t>2019</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ind w:right="617"/>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2"/>
                <w:szCs w:val="12"/>
                <w:color w:val="auto"/>
              </w:rPr>
            </w:pPr>
          </w:p>
        </w:tc>
      </w:tr>
      <w:tr>
        <w:trPr>
          <w:trHeight w:val="142"/>
        </w:trPr>
        <w:tc>
          <w:tcPr>
            <w:tcW w:w="560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flow from operating activities</w:t>
            </w:r>
          </w:p>
        </w:tc>
        <w:tc>
          <w:tcPr>
            <w:tcW w:w="16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5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49"/>
        </w:trPr>
        <w:tc>
          <w:tcPr>
            <w:tcW w:w="5760" w:type="dxa"/>
            <w:vAlign w:val="bottom"/>
            <w:gridSpan w:val="2"/>
          </w:tcPr>
          <w:p>
            <w:pPr>
              <w:spacing w:after="0"/>
              <w:rPr>
                <w:sz w:val="20"/>
                <w:szCs w:val="20"/>
                <w:color w:val="auto"/>
              </w:rPr>
            </w:pPr>
            <w:r>
              <w:rPr>
                <w:rFonts w:ascii="Arial" w:cs="Arial" w:eastAsia="Arial" w:hAnsi="Arial"/>
                <w:sz w:val="13"/>
                <w:szCs w:val="13"/>
                <w:color w:val="auto"/>
              </w:rPr>
              <w:t>Net (loss) income</w:t>
            </w: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3"/>
                <w:szCs w:val="13"/>
                <w:color w:val="auto"/>
              </w:rPr>
              <w:t>(718,812)</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10,908</w:t>
            </w:r>
          </w:p>
        </w:tc>
        <w:tc>
          <w:tcPr>
            <w:tcW w:w="280" w:type="dxa"/>
            <w:vAlign w:val="bottom"/>
          </w:tcPr>
          <w:p>
            <w:pPr>
              <w:spacing w:after="0"/>
              <w:rPr>
                <w:sz w:val="12"/>
                <w:szCs w:val="12"/>
                <w:color w:val="auto"/>
              </w:rPr>
            </w:pP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16,545</w:t>
            </w:r>
          </w:p>
        </w:tc>
        <w:tc>
          <w:tcPr>
            <w:tcW w:w="120" w:type="dxa"/>
            <w:vAlign w:val="bottom"/>
          </w:tcPr>
          <w:p>
            <w:pPr>
              <w:spacing w:after="0"/>
              <w:rPr>
                <w:sz w:val="12"/>
                <w:szCs w:val="12"/>
                <w:color w:val="auto"/>
              </w:rPr>
            </w:pPr>
          </w:p>
        </w:tc>
      </w:tr>
      <w:tr>
        <w:trPr>
          <w:trHeight w:val="148"/>
        </w:trPr>
        <w:tc>
          <w:tcPr>
            <w:tcW w:w="5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Depreciation and amortization</w:t>
            </w: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329,403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405,754</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451,750</w:t>
            </w:r>
          </w:p>
        </w:tc>
        <w:tc>
          <w:tcPr>
            <w:tcW w:w="120" w:type="dxa"/>
            <w:vAlign w:val="bottom"/>
          </w:tcPr>
          <w:p>
            <w:pPr>
              <w:spacing w:after="0"/>
              <w:rPr>
                <w:sz w:val="12"/>
                <w:szCs w:val="12"/>
                <w:color w:val="auto"/>
              </w:rPr>
            </w:pPr>
          </w:p>
        </w:tc>
      </w:tr>
      <w:tr>
        <w:trPr>
          <w:trHeight w:val="148"/>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Amortization of deferred financing costs and debt discount</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36,955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42,779</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24,614</w:t>
            </w:r>
          </w:p>
        </w:tc>
        <w:tc>
          <w:tcPr>
            <w:tcW w:w="120" w:type="dxa"/>
            <w:vAlign w:val="bottom"/>
            <w:shd w:val="clear" w:color="auto" w:fill="CFF0FC"/>
          </w:tcPr>
          <w:p>
            <w:pPr>
              <w:spacing w:after="0"/>
              <w:rPr>
                <w:sz w:val="12"/>
                <w:szCs w:val="12"/>
                <w:color w:val="auto"/>
              </w:rPr>
            </w:pPr>
          </w:p>
        </w:tc>
      </w:tr>
      <w:tr>
        <w:trPr>
          <w:trHeight w:val="148"/>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Write off of deferred financing costs and debt discount</w:t>
            </w: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73,952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r>
      <w:tr>
        <w:trPr>
          <w:trHeight w:val="148"/>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Interest rate swap termination</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10,155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9"/>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Deferred income taxes</w:t>
            </w:r>
          </w:p>
        </w:tc>
        <w:tc>
          <w:tcPr>
            <w:tcW w:w="36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color w:val="auto"/>
              </w:rPr>
              <w:t>(13,891)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3"/>
                <w:szCs w:val="13"/>
                <w:color w:val="auto"/>
              </w:rPr>
              <w:t>(11,428)</w:t>
            </w:r>
          </w:p>
        </w:tc>
        <w:tc>
          <w:tcPr>
            <w:tcW w:w="36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(7,385)</w:t>
            </w:r>
          </w:p>
        </w:tc>
      </w:tr>
      <w:tr>
        <w:trPr>
          <w:trHeight w:val="148"/>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Equity in (earnings) loss of unconsolidated entities</w:t>
            </w:r>
          </w:p>
        </w:tc>
        <w:tc>
          <w:tcPr>
            <w:tcW w:w="3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(98)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8"/>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Distributions of cumulative earnings from unconsolidated entities</w:t>
            </w: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1,960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r>
      <w:tr>
        <w:trPr>
          <w:trHeight w:val="148"/>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Cash paid for interest rate swap settlement</w:t>
            </w:r>
          </w:p>
        </w:tc>
        <w:tc>
          <w:tcPr>
            <w:tcW w:w="3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(7,818)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8"/>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Straight-line rental revenues</w:t>
            </w:r>
          </w:p>
        </w:tc>
        <w:tc>
          <w:tcPr>
            <w:tcW w:w="36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color w:val="auto"/>
              </w:rPr>
              <w:t>(6,872)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3"/>
                <w:szCs w:val="13"/>
                <w:color w:val="auto"/>
              </w:rPr>
              <w:t>(208)</w:t>
            </w:r>
          </w:p>
        </w:tc>
        <w:tc>
          <w:tcPr>
            <w:tcW w:w="36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(15,048)</w:t>
            </w:r>
          </w:p>
        </w:tc>
      </w:tr>
      <w:tr>
        <w:trPr>
          <w:trHeight w:val="149"/>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Stock-based compensation</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13,721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10,808</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8,064</w:t>
            </w:r>
          </w:p>
        </w:tc>
        <w:tc>
          <w:tcPr>
            <w:tcW w:w="120" w:type="dxa"/>
            <w:vAlign w:val="bottom"/>
            <w:shd w:val="clear" w:color="auto" w:fill="CFF0FC"/>
          </w:tcPr>
          <w:p>
            <w:pPr>
              <w:spacing w:after="0"/>
              <w:rPr>
                <w:sz w:val="12"/>
                <w:szCs w:val="12"/>
                <w:color w:val="auto"/>
              </w:rPr>
            </w:pPr>
          </w:p>
        </w:tc>
      </w:tr>
      <w:tr>
        <w:trPr>
          <w:trHeight w:val="148"/>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Change in fair value of contingent consideration</w:t>
            </w: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7,163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3"/>
                <w:szCs w:val="13"/>
                <w:color w:val="auto"/>
              </w:rPr>
              <w:t>(28,463)</w:t>
            </w:r>
          </w:p>
        </w:tc>
        <w:tc>
          <w:tcPr>
            <w:tcW w:w="36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(3,721)</w:t>
            </w:r>
          </w:p>
        </w:tc>
      </w:tr>
      <w:tr>
        <w:trPr>
          <w:trHeight w:val="148"/>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Goodwill impairment (Note 3)</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71,000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8"/>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Gain on sale of real estate</w:t>
            </w:r>
          </w:p>
        </w:tc>
        <w:tc>
          <w:tcPr>
            <w:tcW w:w="36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color w:val="auto"/>
              </w:rPr>
              <w:t>(86,267)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3"/>
                <w:szCs w:val="13"/>
                <w:color w:val="auto"/>
              </w:rPr>
              <w:t>(28,995)</w:t>
            </w: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r>
      <w:tr>
        <w:trPr>
          <w:trHeight w:val="148"/>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Loss on sale of Uniti Fiber Midwest operations</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2,242</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9"/>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Loss on asset disposal</w:t>
            </w: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1,796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6,891</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r>
      <w:tr>
        <w:trPr>
          <w:trHeight w:val="148"/>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Other</w:t>
            </w:r>
          </w:p>
        </w:tc>
        <w:tc>
          <w:tcPr>
            <w:tcW w:w="3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(297)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(435)</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7,818</w:t>
            </w:r>
          </w:p>
        </w:tc>
        <w:tc>
          <w:tcPr>
            <w:tcW w:w="120" w:type="dxa"/>
            <w:vAlign w:val="bottom"/>
            <w:shd w:val="clear" w:color="auto" w:fill="CFF0FC"/>
          </w:tcPr>
          <w:p>
            <w:pPr>
              <w:spacing w:after="0"/>
              <w:rPr>
                <w:sz w:val="12"/>
                <w:szCs w:val="12"/>
                <w:color w:val="auto"/>
              </w:rPr>
            </w:pPr>
          </w:p>
        </w:tc>
      </w:tr>
      <w:tr>
        <w:trPr>
          <w:trHeight w:val="148"/>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Changes in assets and liabilities, net of acquisitions:</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5760" w:type="dxa"/>
            <w:vAlign w:val="bottom"/>
            <w:gridSpan w:val="2"/>
            <w:shd w:val="clear" w:color="auto" w:fill="CFF0FC"/>
          </w:tcPr>
          <w:p>
            <w:pPr>
              <w:ind w:left="380"/>
              <w:spacing w:after="0"/>
              <w:rPr>
                <w:sz w:val="20"/>
                <w:szCs w:val="20"/>
                <w:color w:val="auto"/>
              </w:rPr>
            </w:pPr>
            <w:r>
              <w:rPr>
                <w:rFonts w:ascii="Arial" w:cs="Arial" w:eastAsia="Arial" w:hAnsi="Arial"/>
                <w:sz w:val="13"/>
                <w:szCs w:val="13"/>
                <w:color w:val="auto"/>
              </w:rPr>
              <w:t>Accounts receivable</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12,634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25,592</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(52,792)</w:t>
            </w:r>
          </w:p>
        </w:tc>
      </w:tr>
      <w:tr>
        <w:trPr>
          <w:trHeight w:val="148"/>
        </w:trPr>
        <w:tc>
          <w:tcPr>
            <w:tcW w:w="5760" w:type="dxa"/>
            <w:vAlign w:val="bottom"/>
            <w:gridSpan w:val="2"/>
          </w:tcPr>
          <w:p>
            <w:pPr>
              <w:ind w:left="380"/>
              <w:spacing w:after="0"/>
              <w:rPr>
                <w:sz w:val="20"/>
                <w:szCs w:val="20"/>
                <w:color w:val="auto"/>
              </w:rPr>
            </w:pPr>
            <w:r>
              <w:rPr>
                <w:rFonts w:ascii="Arial" w:cs="Arial" w:eastAsia="Arial" w:hAnsi="Arial"/>
                <w:sz w:val="13"/>
                <w:szCs w:val="13"/>
                <w:color w:val="auto"/>
              </w:rPr>
              <w:t>Other assets</w:t>
            </w:r>
          </w:p>
        </w:tc>
        <w:tc>
          <w:tcPr>
            <w:tcW w:w="36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color w:val="auto"/>
              </w:rPr>
              <w:t>(24,141)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10,297</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1,755</w:t>
            </w:r>
          </w:p>
        </w:tc>
        <w:tc>
          <w:tcPr>
            <w:tcW w:w="120" w:type="dxa"/>
            <w:vAlign w:val="bottom"/>
          </w:tcPr>
          <w:p>
            <w:pPr>
              <w:spacing w:after="0"/>
              <w:rPr>
                <w:sz w:val="12"/>
                <w:szCs w:val="12"/>
                <w:color w:val="auto"/>
              </w:rPr>
            </w:pPr>
          </w:p>
        </w:tc>
      </w:tr>
      <w:tr>
        <w:trPr>
          <w:trHeight w:val="148"/>
        </w:trPr>
        <w:tc>
          <w:tcPr>
            <w:tcW w:w="5760" w:type="dxa"/>
            <w:vAlign w:val="bottom"/>
            <w:gridSpan w:val="2"/>
            <w:shd w:val="clear" w:color="auto" w:fill="CFF0FC"/>
          </w:tcPr>
          <w:p>
            <w:pPr>
              <w:ind w:left="380"/>
              <w:spacing w:after="0"/>
              <w:rPr>
                <w:sz w:val="20"/>
                <w:szCs w:val="20"/>
                <w:color w:val="auto"/>
              </w:rPr>
            </w:pPr>
            <w:r>
              <w:rPr>
                <w:rFonts w:ascii="Arial" w:cs="Arial" w:eastAsia="Arial" w:hAnsi="Arial"/>
                <w:sz w:val="13"/>
                <w:szCs w:val="13"/>
                <w:color w:val="auto"/>
              </w:rPr>
              <w:t>Accounts payable, accrued expenses and other liabilities</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37,850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(3,260)</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41,218</w:t>
            </w:r>
          </w:p>
        </w:tc>
        <w:tc>
          <w:tcPr>
            <w:tcW w:w="120" w:type="dxa"/>
            <w:vAlign w:val="bottom"/>
            <w:shd w:val="clear" w:color="auto" w:fill="CFF0FC"/>
          </w:tcPr>
          <w:p>
            <w:pPr>
              <w:spacing w:after="0"/>
              <w:rPr>
                <w:sz w:val="12"/>
                <w:szCs w:val="12"/>
                <w:color w:val="auto"/>
              </w:rPr>
            </w:pPr>
          </w:p>
        </w:tc>
      </w:tr>
      <w:tr>
        <w:trPr>
          <w:trHeight w:val="149"/>
        </w:trPr>
        <w:tc>
          <w:tcPr>
            <w:tcW w:w="5760" w:type="dxa"/>
            <w:vAlign w:val="bottom"/>
            <w:gridSpan w:val="2"/>
          </w:tcPr>
          <w:p>
            <w:pPr>
              <w:ind w:left="380"/>
              <w:spacing w:after="0"/>
              <w:rPr>
                <w:sz w:val="20"/>
                <w:szCs w:val="20"/>
                <w:color w:val="auto"/>
              </w:rPr>
            </w:pPr>
            <w:r>
              <w:rPr>
                <w:rFonts w:ascii="Arial" w:cs="Arial" w:eastAsia="Arial" w:hAnsi="Arial"/>
                <w:sz w:val="13"/>
                <w:szCs w:val="13"/>
                <w:color w:val="auto"/>
              </w:rPr>
              <w:t>Deferred revenue from prepaid rent - Bluebird/Uniti Fiber Midwest networks (Note 6)</w:t>
            </w: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174,500</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r>
      <w:tr>
        <w:trPr>
          <w:trHeight w:val="148"/>
        </w:trPr>
        <w:tc>
          <w:tcPr>
            <w:tcW w:w="5760" w:type="dxa"/>
            <w:vAlign w:val="bottom"/>
            <w:gridSpan w:val="2"/>
            <w:shd w:val="clear" w:color="auto" w:fill="CFF0FC"/>
          </w:tcPr>
          <w:p>
            <w:pPr>
              <w:ind w:left="380"/>
              <w:spacing w:after="0"/>
              <w:rPr>
                <w:sz w:val="20"/>
                <w:szCs w:val="20"/>
                <w:color w:val="auto"/>
              </w:rPr>
            </w:pPr>
            <w:r>
              <w:rPr>
                <w:rFonts w:ascii="Arial" w:cs="Arial" w:eastAsia="Arial" w:hAnsi="Arial"/>
                <w:sz w:val="13"/>
                <w:szCs w:val="13"/>
                <w:color w:val="auto"/>
              </w:rPr>
              <w:t>Settlement payable (Note 17)</w:t>
            </w:r>
          </w:p>
        </w:tc>
        <w:tc>
          <w:tcPr>
            <w:tcW w:w="36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418,840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2"/>
        </w:trPr>
        <w:tc>
          <w:tcPr>
            <w:tcW w:w="5760" w:type="dxa"/>
            <w:vAlign w:val="bottom"/>
            <w:gridSpan w:val="2"/>
          </w:tcPr>
          <w:p>
            <w:pPr>
              <w:spacing w:after="0" w:line="142" w:lineRule="exact"/>
              <w:rPr>
                <w:sz w:val="20"/>
                <w:szCs w:val="20"/>
                <w:color w:val="auto"/>
              </w:rPr>
            </w:pPr>
            <w:r>
              <w:rPr>
                <w:rFonts w:ascii="Arial" w:cs="Arial" w:eastAsia="Arial" w:hAnsi="Arial"/>
                <w:sz w:val="13"/>
                <w:szCs w:val="13"/>
                <w:color w:val="auto"/>
              </w:rPr>
              <w:t>Net cash provided by operating activities</w:t>
            </w:r>
          </w:p>
        </w:tc>
        <w:tc>
          <w:tcPr>
            <w:tcW w:w="36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Arial" w:cs="Arial" w:eastAsia="Arial" w:hAnsi="Arial"/>
                <w:sz w:val="13"/>
                <w:szCs w:val="13"/>
                <w:color w:val="auto"/>
              </w:rPr>
              <w:t>157,233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spacing w:after="0" w:line="142" w:lineRule="exact"/>
              <w:rPr>
                <w:sz w:val="20"/>
                <w:szCs w:val="20"/>
                <w:color w:val="auto"/>
              </w:rPr>
            </w:pPr>
            <w:r>
              <w:rPr>
                <w:rFonts w:ascii="Arial" w:cs="Arial" w:eastAsia="Arial" w:hAnsi="Arial"/>
                <w:sz w:val="13"/>
                <w:szCs w:val="13"/>
                <w:color w:val="auto"/>
              </w:rPr>
              <w:t>616,982</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Arial" w:cs="Arial" w:eastAsia="Arial" w:hAnsi="Arial"/>
                <w:sz w:val="13"/>
                <w:szCs w:val="13"/>
                <w:color w:val="auto"/>
              </w:rPr>
              <w:t>472,818</w:t>
            </w:r>
          </w:p>
        </w:tc>
        <w:tc>
          <w:tcPr>
            <w:tcW w:w="120" w:type="dxa"/>
            <w:vAlign w:val="bottom"/>
          </w:tcPr>
          <w:p>
            <w:pPr>
              <w:spacing w:after="0"/>
              <w:rPr>
                <w:sz w:val="12"/>
                <w:szCs w:val="12"/>
                <w:color w:val="auto"/>
              </w:rPr>
            </w:pPr>
          </w:p>
        </w:tc>
      </w:tr>
      <w:tr>
        <w:trPr>
          <w:trHeight w:val="148"/>
        </w:trPr>
        <w:tc>
          <w:tcPr>
            <w:tcW w:w="576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Cash flow from investing activities</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Acquisition of businesses, net of cash acquired</w:t>
            </w: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3"/>
                <w:szCs w:val="13"/>
                <w:color w:val="auto"/>
              </w:rPr>
              <w:t>(10,312)</w:t>
            </w:r>
          </w:p>
        </w:tc>
        <w:tc>
          <w:tcPr>
            <w:tcW w:w="36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(53,669)</w:t>
            </w:r>
          </w:p>
        </w:tc>
      </w:tr>
      <w:tr>
        <w:trPr>
          <w:trHeight w:val="148"/>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Bluebird asset acquisition</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(320,818)</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8"/>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Proceeds from sale of Uniti Fiber Midwest operations</w:t>
            </w: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6,400</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r>
      <w:tr>
        <w:trPr>
          <w:trHeight w:val="148"/>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Windstream asset acquisition (Note 6)</w:t>
            </w:r>
          </w:p>
        </w:tc>
        <w:tc>
          <w:tcPr>
            <w:tcW w:w="3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(73,407)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8"/>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NMS asset acquisition</w:t>
            </w: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(3,299)</w:t>
            </w:r>
          </w:p>
        </w:tc>
      </w:tr>
      <w:tr>
        <w:trPr>
          <w:trHeight w:val="149"/>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Proceeds from sale of real estate, net of cash</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391,885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130,429</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8"/>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Capital expenditures - other</w:t>
            </w:r>
          </w:p>
        </w:tc>
        <w:tc>
          <w:tcPr>
            <w:tcW w:w="36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color w:val="auto"/>
              </w:rPr>
              <w:t>(317,084)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3"/>
                <w:szCs w:val="13"/>
                <w:color w:val="auto"/>
              </w:rPr>
              <w:t>(350,480)</w:t>
            </w:r>
          </w:p>
        </w:tc>
        <w:tc>
          <w:tcPr>
            <w:tcW w:w="36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(423,575)</w:t>
            </w:r>
          </w:p>
        </w:tc>
      </w:tr>
      <w:tr>
        <w:trPr>
          <w:trHeight w:val="142"/>
        </w:trPr>
        <w:tc>
          <w:tcPr>
            <w:tcW w:w="5760" w:type="dxa"/>
            <w:vAlign w:val="bottom"/>
            <w:tcBorders>
              <w:top w:val="single" w:sz="8" w:color="CFF0FC"/>
            </w:tcBorders>
            <w:gridSpan w:val="2"/>
            <w:shd w:val="clear" w:color="auto" w:fill="CFF0FC"/>
          </w:tcPr>
          <w:p>
            <w:pPr>
              <w:spacing w:after="0" w:line="142" w:lineRule="exact"/>
              <w:rPr>
                <w:sz w:val="20"/>
                <w:szCs w:val="20"/>
                <w:color w:val="auto"/>
              </w:rPr>
            </w:pPr>
            <w:r>
              <w:rPr>
                <w:rFonts w:ascii="Arial" w:cs="Arial" w:eastAsia="Arial" w:hAnsi="Arial"/>
                <w:sz w:val="13"/>
                <w:szCs w:val="13"/>
                <w:color w:val="auto"/>
              </w:rPr>
              <w:t>Net cash provided by (used in) investing activities</w:t>
            </w:r>
          </w:p>
        </w:tc>
        <w:tc>
          <w:tcPr>
            <w:tcW w:w="360" w:type="dxa"/>
            <w:vAlign w:val="bottom"/>
            <w:tcBorders>
              <w:top w:val="single" w:sz="8" w:color="auto"/>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1,394</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(544,781)</w:t>
            </w:r>
          </w:p>
        </w:tc>
        <w:tc>
          <w:tcPr>
            <w:tcW w:w="28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(480,543)</w:t>
            </w:r>
          </w:p>
        </w:tc>
        <w:tc>
          <w:tcPr>
            <w:tcW w:w="120" w:type="dxa"/>
            <w:vAlign w:val="bottom"/>
            <w:tcBorders>
              <w:top w:val="single" w:sz="8" w:color="CFF0FC"/>
            </w:tcBorders>
            <w:shd w:val="clear" w:color="auto" w:fill="CFF0FC"/>
          </w:tcPr>
          <w:p>
            <w:pPr>
              <w:spacing w:after="0"/>
              <w:rPr>
                <w:sz w:val="12"/>
                <w:szCs w:val="12"/>
                <w:color w:val="auto"/>
              </w:rPr>
            </w:pPr>
          </w:p>
        </w:tc>
      </w:tr>
      <w:tr>
        <w:trPr>
          <w:trHeight w:val="149"/>
        </w:trPr>
        <w:tc>
          <w:tcPr>
            <w:tcW w:w="5760" w:type="dxa"/>
            <w:vAlign w:val="bottom"/>
            <w:gridSpan w:val="2"/>
          </w:tcPr>
          <w:p>
            <w:pPr>
              <w:spacing w:after="0"/>
              <w:rPr>
                <w:sz w:val="20"/>
                <w:szCs w:val="20"/>
                <w:color w:val="auto"/>
              </w:rPr>
            </w:pPr>
            <w:r>
              <w:rPr>
                <w:rFonts w:ascii="Arial" w:cs="Arial" w:eastAsia="Arial" w:hAnsi="Arial"/>
                <w:sz w:val="13"/>
                <w:szCs w:val="13"/>
                <w:b w:val="1"/>
                <w:bCs w:val="1"/>
                <w:color w:val="auto"/>
              </w:rPr>
              <w:t>Cash flow from financing activities</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Repayment of Senior Secured Term Loan B</w:t>
            </w:r>
          </w:p>
        </w:tc>
        <w:tc>
          <w:tcPr>
            <w:tcW w:w="3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(2,044,728)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8"/>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Principal payment on debt</w:t>
            </w: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3"/>
                <w:szCs w:val="13"/>
                <w:color w:val="auto"/>
              </w:rPr>
              <w:t>(21,080)</w:t>
            </w:r>
          </w:p>
        </w:tc>
        <w:tc>
          <w:tcPr>
            <w:tcW w:w="36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(21,080)</w:t>
            </w:r>
          </w:p>
        </w:tc>
      </w:tr>
      <w:tr>
        <w:trPr>
          <w:trHeight w:val="149"/>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Dividends paid</w:t>
            </w:r>
          </w:p>
        </w:tc>
        <w:tc>
          <w:tcPr>
            <w:tcW w:w="3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(135,676)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(138,731)</w:t>
            </w:r>
          </w:p>
        </w:tc>
        <w:tc>
          <w:tcPr>
            <w:tcW w:w="3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(426,094)</w:t>
            </w:r>
          </w:p>
        </w:tc>
      </w:tr>
      <w:tr>
        <w:trPr>
          <w:trHeight w:val="148"/>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Payments of contingent consideration</w:t>
            </w:r>
          </w:p>
        </w:tc>
        <w:tc>
          <w:tcPr>
            <w:tcW w:w="36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color w:val="auto"/>
              </w:rPr>
              <w:t>(15,713)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3"/>
                <w:szCs w:val="13"/>
                <w:color w:val="auto"/>
              </w:rPr>
              <w:t>(32,253)</w:t>
            </w:r>
          </w:p>
        </w:tc>
        <w:tc>
          <w:tcPr>
            <w:tcW w:w="36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(18,640)</w:t>
            </w:r>
          </w:p>
        </w:tc>
      </w:tr>
      <w:tr>
        <w:trPr>
          <w:trHeight w:val="148"/>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Proceeds from issuance of Notes</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2,250,000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345,000</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9"/>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Borrowings under revolving credit facility</w:t>
            </w: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170,000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139,000</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500,000</w:t>
            </w:r>
          </w:p>
        </w:tc>
        <w:tc>
          <w:tcPr>
            <w:tcW w:w="120" w:type="dxa"/>
            <w:vAlign w:val="bottom"/>
          </w:tcPr>
          <w:p>
            <w:pPr>
              <w:spacing w:after="0"/>
              <w:rPr>
                <w:sz w:val="12"/>
                <w:szCs w:val="12"/>
                <w:color w:val="auto"/>
              </w:rPr>
            </w:pPr>
          </w:p>
        </w:tc>
      </w:tr>
      <w:tr>
        <w:trPr>
          <w:trHeight w:val="148"/>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Payments under revolving credit facility</w:t>
            </w:r>
          </w:p>
        </w:tc>
        <w:tc>
          <w:tcPr>
            <w:tcW w:w="3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(635,019)</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(203,981)</w:t>
            </w:r>
          </w:p>
        </w:tc>
        <w:tc>
          <w:tcPr>
            <w:tcW w:w="3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(140,000)</w:t>
            </w:r>
          </w:p>
        </w:tc>
      </w:tr>
      <w:tr>
        <w:trPr>
          <w:trHeight w:val="148"/>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Finance lease payments</w:t>
            </w:r>
          </w:p>
        </w:tc>
        <w:tc>
          <w:tcPr>
            <w:tcW w:w="36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color w:val="auto"/>
              </w:rPr>
              <w:t>(3,702)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3"/>
                <w:szCs w:val="13"/>
                <w:color w:val="auto"/>
              </w:rPr>
              <w:t>(4,257)</w:t>
            </w:r>
          </w:p>
        </w:tc>
        <w:tc>
          <w:tcPr>
            <w:tcW w:w="360" w:type="dxa"/>
            <w:vAlign w:val="bottom"/>
          </w:tcPr>
          <w:p>
            <w:pPr>
              <w:spacing w:after="0"/>
              <w:rPr>
                <w:sz w:val="12"/>
                <w:szCs w:val="12"/>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3"/>
                <w:szCs w:val="13"/>
                <w:color w:val="auto"/>
              </w:rPr>
              <w:t>(5,946)</w:t>
            </w:r>
          </w:p>
        </w:tc>
      </w:tr>
      <w:tr>
        <w:trPr>
          <w:trHeight w:val="149"/>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Payments for financing costs</w:t>
            </w:r>
          </w:p>
        </w:tc>
        <w:tc>
          <w:tcPr>
            <w:tcW w:w="3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(50,875)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(49,497)</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8"/>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Settlement Common Stock issuance (Note 17)</w:t>
            </w: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244,550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r>
      <w:tr>
        <w:trPr>
          <w:trHeight w:val="149"/>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Common stock issuance, net of costs</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21,641</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109,441</w:t>
            </w:r>
          </w:p>
        </w:tc>
        <w:tc>
          <w:tcPr>
            <w:tcW w:w="120" w:type="dxa"/>
            <w:vAlign w:val="bottom"/>
            <w:shd w:val="clear" w:color="auto" w:fill="CFF0FC"/>
          </w:tcPr>
          <w:p>
            <w:pPr>
              <w:spacing w:after="0"/>
              <w:rPr>
                <w:sz w:val="12"/>
                <w:szCs w:val="12"/>
                <w:color w:val="auto"/>
              </w:rPr>
            </w:pPr>
          </w:p>
        </w:tc>
      </w:tr>
      <w:tr>
        <w:trPr>
          <w:trHeight w:val="148"/>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Proceeds from sale of warrants</w:t>
            </w: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50,819</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r>
      <w:tr>
        <w:trPr>
          <w:trHeight w:val="148"/>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Payment for bond hedge option</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(70,035)</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9"/>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Purchase of noncontrolling interest</w:t>
            </w: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r>
      <w:tr>
        <w:trPr>
          <w:trHeight w:val="148"/>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Distributions paid to noncontrolling interest</w:t>
            </w:r>
          </w:p>
        </w:tc>
        <w:tc>
          <w:tcPr>
            <w:tcW w:w="3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(2,322)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(3,046)</w:t>
            </w:r>
          </w:p>
        </w:tc>
        <w:tc>
          <w:tcPr>
            <w:tcW w:w="3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(9,917)</w:t>
            </w:r>
          </w:p>
        </w:tc>
      </w:tr>
      <w:tr>
        <w:trPr>
          <w:trHeight w:val="148"/>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Employee stock purchase plan</w:t>
            </w: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883</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r>
      <w:tr>
        <w:trPr>
          <w:trHeight w:val="149"/>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Net share settlement</w:t>
            </w:r>
          </w:p>
        </w:tc>
        <w:tc>
          <w:tcPr>
            <w:tcW w:w="36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(1,097)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(1,834)</w:t>
            </w:r>
          </w:p>
        </w:tc>
        <w:tc>
          <w:tcPr>
            <w:tcW w:w="3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(1,605)</w:t>
            </w:r>
          </w:p>
        </w:tc>
      </w:tr>
      <w:tr>
        <w:trPr>
          <w:trHeight w:val="142"/>
        </w:trPr>
        <w:tc>
          <w:tcPr>
            <w:tcW w:w="5760" w:type="dxa"/>
            <w:vAlign w:val="bottom"/>
            <w:gridSpan w:val="2"/>
          </w:tcPr>
          <w:p>
            <w:pPr>
              <w:spacing w:after="0" w:line="142" w:lineRule="exact"/>
              <w:rPr>
                <w:sz w:val="20"/>
                <w:szCs w:val="20"/>
                <w:color w:val="auto"/>
              </w:rPr>
            </w:pPr>
            <w:r>
              <w:rPr>
                <w:rFonts w:ascii="Arial" w:cs="Arial" w:eastAsia="Arial" w:hAnsi="Arial"/>
                <w:sz w:val="13"/>
                <w:szCs w:val="13"/>
                <w:color w:val="auto"/>
              </w:rPr>
              <w:t>Net cash (used in) provided by financing activities</w:t>
            </w:r>
          </w:p>
        </w:tc>
        <w:tc>
          <w:tcPr>
            <w:tcW w:w="3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(223,906)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32,629</w:t>
            </w:r>
          </w:p>
        </w:tc>
        <w:tc>
          <w:tcPr>
            <w:tcW w:w="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(13,841)</w:t>
            </w:r>
          </w:p>
        </w:tc>
        <w:tc>
          <w:tcPr>
            <w:tcW w:w="120" w:type="dxa"/>
            <w:vAlign w:val="bottom"/>
          </w:tcPr>
          <w:p>
            <w:pPr>
              <w:spacing w:after="0"/>
              <w:rPr>
                <w:sz w:val="12"/>
                <w:szCs w:val="12"/>
                <w:color w:val="auto"/>
              </w:rPr>
            </w:pPr>
          </w:p>
        </w:tc>
      </w:tr>
      <w:tr>
        <w:trPr>
          <w:trHeight w:val="148"/>
        </w:trPr>
        <w:tc>
          <w:tcPr>
            <w:tcW w:w="5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Effect of exchange rates on cash and cash equivalents</w:t>
            </w:r>
          </w:p>
        </w:tc>
        <w:tc>
          <w:tcPr>
            <w:tcW w:w="36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(43)</w:t>
            </w:r>
          </w:p>
        </w:tc>
        <w:tc>
          <w:tcPr>
            <w:tcW w:w="3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(173)</w:t>
            </w:r>
          </w:p>
        </w:tc>
      </w:tr>
      <w:tr>
        <w:trPr>
          <w:trHeight w:val="142"/>
        </w:trPr>
        <w:tc>
          <w:tcPr>
            <w:tcW w:w="5760" w:type="dxa"/>
            <w:vAlign w:val="bottom"/>
            <w:gridSpan w:val="2"/>
          </w:tcPr>
          <w:p>
            <w:pPr>
              <w:spacing w:after="0" w:line="142" w:lineRule="exact"/>
              <w:rPr>
                <w:sz w:val="20"/>
                <w:szCs w:val="20"/>
                <w:color w:val="auto"/>
              </w:rPr>
            </w:pPr>
            <w:r>
              <w:rPr>
                <w:rFonts w:ascii="Arial" w:cs="Arial" w:eastAsia="Arial" w:hAnsi="Arial"/>
                <w:sz w:val="13"/>
                <w:szCs w:val="13"/>
                <w:color w:val="auto"/>
              </w:rPr>
              <w:t>Net (decrease) increase in cash and cash equivalents</w:t>
            </w:r>
          </w:p>
        </w:tc>
        <w:tc>
          <w:tcPr>
            <w:tcW w:w="3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(65,279)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104,787</w:t>
            </w:r>
          </w:p>
        </w:tc>
        <w:tc>
          <w:tcPr>
            <w:tcW w:w="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(21,739)</w:t>
            </w:r>
          </w:p>
        </w:tc>
        <w:tc>
          <w:tcPr>
            <w:tcW w:w="120" w:type="dxa"/>
            <w:vAlign w:val="bottom"/>
          </w:tcPr>
          <w:p>
            <w:pPr>
              <w:spacing w:after="0"/>
              <w:rPr>
                <w:sz w:val="12"/>
                <w:szCs w:val="12"/>
                <w:color w:val="auto"/>
              </w:rPr>
            </w:pPr>
          </w:p>
        </w:tc>
      </w:tr>
      <w:tr>
        <w:trPr>
          <w:trHeight w:val="148"/>
        </w:trPr>
        <w:tc>
          <w:tcPr>
            <w:tcW w:w="5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Cash and cash equivalents at beginning of period</w:t>
            </w:r>
          </w:p>
        </w:tc>
        <w:tc>
          <w:tcPr>
            <w:tcW w:w="36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142,813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38,026</w:t>
            </w:r>
          </w:p>
        </w:tc>
        <w:tc>
          <w:tcPr>
            <w:tcW w:w="28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59,765</w:t>
            </w:r>
          </w:p>
        </w:tc>
        <w:tc>
          <w:tcPr>
            <w:tcW w:w="120" w:type="dxa"/>
            <w:vAlign w:val="bottom"/>
            <w:shd w:val="clear" w:color="auto" w:fill="CFF0FC"/>
          </w:tcPr>
          <w:p>
            <w:pPr>
              <w:spacing w:after="0"/>
              <w:rPr>
                <w:sz w:val="12"/>
                <w:szCs w:val="12"/>
                <w:color w:val="auto"/>
              </w:rPr>
            </w:pPr>
          </w:p>
        </w:tc>
      </w:tr>
      <w:tr>
        <w:trPr>
          <w:trHeight w:val="182"/>
        </w:trPr>
        <w:tc>
          <w:tcPr>
            <w:tcW w:w="5760" w:type="dxa"/>
            <w:vAlign w:val="bottom"/>
            <w:tcBorders>
              <w:bottom w:val="single" w:sz="8" w:color="CFF0FC"/>
            </w:tcBorders>
            <w:gridSpan w:val="2"/>
          </w:tcPr>
          <w:p>
            <w:pPr>
              <w:spacing w:after="0" w:line="142" w:lineRule="exact"/>
              <w:rPr>
                <w:sz w:val="20"/>
                <w:szCs w:val="20"/>
                <w:color w:val="auto"/>
              </w:rPr>
            </w:pPr>
            <w:r>
              <w:rPr>
                <w:rFonts w:ascii="Arial" w:cs="Arial" w:eastAsia="Arial" w:hAnsi="Arial"/>
                <w:sz w:val="13"/>
                <w:szCs w:val="13"/>
                <w:color w:val="auto"/>
              </w:rPr>
              <w:t>Cash and cash equivalents at end of period</w:t>
            </w: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77,534</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142,813</w:t>
            </w:r>
          </w:p>
        </w:tc>
        <w:tc>
          <w:tcPr>
            <w:tcW w:w="2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38,026</w:t>
            </w:r>
          </w:p>
        </w:tc>
        <w:tc>
          <w:tcPr>
            <w:tcW w:w="120" w:type="dxa"/>
            <w:vAlign w:val="bottom"/>
            <w:tcBorders>
              <w:bottom w:val="single" w:sz="8" w:color="CFF0FC"/>
            </w:tcBorders>
          </w:tcPr>
          <w:p>
            <w:pPr>
              <w:spacing w:after="0"/>
              <w:rPr>
                <w:sz w:val="15"/>
                <w:szCs w:val="15"/>
                <w:color w:val="auto"/>
              </w:rPr>
            </w:pPr>
          </w:p>
        </w:tc>
      </w:tr>
      <w:tr>
        <w:trPr>
          <w:trHeight w:val="129"/>
        </w:trPr>
        <w:tc>
          <w:tcPr>
            <w:tcW w:w="5760" w:type="dxa"/>
            <w:vAlign w:val="bottom"/>
            <w:gridSpan w:val="2"/>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Non-cash investing and financing activities:</w:t>
            </w:r>
          </w:p>
        </w:tc>
        <w:tc>
          <w:tcPr>
            <w:tcW w:w="3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Property and equipment acquired but not yet paid</w:t>
            </w: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15,230</w:t>
            </w:r>
          </w:p>
        </w:tc>
        <w:tc>
          <w:tcPr>
            <w:tcW w:w="16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17,032</w:t>
            </w:r>
          </w:p>
        </w:tc>
        <w:tc>
          <w:tcPr>
            <w:tcW w:w="280" w:type="dxa"/>
            <w:vAlign w:val="bottom"/>
          </w:tcPr>
          <w:p>
            <w:pPr>
              <w:spacing w:after="0"/>
              <w:rPr>
                <w:sz w:val="12"/>
                <w:szCs w:val="12"/>
                <w:color w:val="auto"/>
              </w:rPr>
            </w:pP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17,901</w:t>
            </w:r>
          </w:p>
        </w:tc>
        <w:tc>
          <w:tcPr>
            <w:tcW w:w="120" w:type="dxa"/>
            <w:vAlign w:val="bottom"/>
          </w:tcPr>
          <w:p>
            <w:pPr>
              <w:spacing w:after="0"/>
              <w:rPr>
                <w:sz w:val="12"/>
                <w:szCs w:val="12"/>
                <w:color w:val="auto"/>
              </w:rPr>
            </w:pPr>
          </w:p>
        </w:tc>
      </w:tr>
      <w:tr>
        <w:trPr>
          <w:trHeight w:val="148"/>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Tenant capital improvements</w:t>
            </w:r>
          </w:p>
        </w:tc>
        <w:tc>
          <w:tcPr>
            <w:tcW w:w="360" w:type="dxa"/>
            <w:vAlign w:val="bottom"/>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102,396</w:t>
            </w:r>
          </w:p>
        </w:tc>
        <w:tc>
          <w:tcPr>
            <w:tcW w:w="16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164,742</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153,615</w:t>
            </w:r>
          </w:p>
        </w:tc>
        <w:tc>
          <w:tcPr>
            <w:tcW w:w="120" w:type="dxa"/>
            <w:vAlign w:val="bottom"/>
            <w:shd w:val="clear" w:color="auto" w:fill="CFF0FC"/>
          </w:tcPr>
          <w:p>
            <w:pPr>
              <w:spacing w:after="0"/>
              <w:rPr>
                <w:sz w:val="12"/>
                <w:szCs w:val="12"/>
                <w:color w:val="auto"/>
              </w:rPr>
            </w:pPr>
          </w:p>
        </w:tc>
      </w:tr>
      <w:tr>
        <w:trPr>
          <w:trHeight w:val="149"/>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Receipt of equity method investment value in exchange for assets</w:t>
            </w: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67,904</w:t>
            </w:r>
          </w:p>
        </w:tc>
        <w:tc>
          <w:tcPr>
            <w:tcW w:w="16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r>
      <w:tr>
        <w:trPr>
          <w:trHeight w:val="148"/>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Settlement of convertible preferred stock, Series A Shares</w:t>
            </w:r>
          </w:p>
        </w:tc>
        <w:tc>
          <w:tcPr>
            <w:tcW w:w="360" w:type="dxa"/>
            <w:vAlign w:val="bottom"/>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87,500</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8"/>
        </w:trPr>
        <w:tc>
          <w:tcPr>
            <w:tcW w:w="5760" w:type="dxa"/>
            <w:vAlign w:val="bottom"/>
            <w:gridSpan w:val="2"/>
          </w:tcPr>
          <w:p>
            <w:pPr>
              <w:ind w:left="260"/>
              <w:spacing w:after="0"/>
              <w:rPr>
                <w:sz w:val="20"/>
                <w:szCs w:val="20"/>
                <w:color w:val="auto"/>
              </w:rPr>
            </w:pPr>
            <w:r>
              <w:rPr>
                <w:rFonts w:ascii="Arial" w:cs="Arial" w:eastAsia="Arial" w:hAnsi="Arial"/>
                <w:sz w:val="13"/>
                <w:szCs w:val="13"/>
                <w:color w:val="auto"/>
              </w:rPr>
              <w:t>Settlement of contingent consideration through non-cash consideration</w:t>
            </w: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11,178</w:t>
            </w:r>
          </w:p>
        </w:tc>
        <w:tc>
          <w:tcPr>
            <w:tcW w:w="280" w:type="dxa"/>
            <w:vAlign w:val="bottom"/>
          </w:tcPr>
          <w:p>
            <w:pPr>
              <w:spacing w:after="0"/>
              <w:rPr>
                <w:sz w:val="12"/>
                <w:szCs w:val="12"/>
                <w:color w:val="auto"/>
              </w:rPr>
            </w:pP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r>
      <w:tr>
        <w:trPr>
          <w:trHeight w:val="149"/>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Exchange of noncontrolling interest through non-cash consideration</w:t>
            </w:r>
          </w:p>
        </w:tc>
        <w:tc>
          <w:tcPr>
            <w:tcW w:w="360" w:type="dxa"/>
            <w:vAlign w:val="bottom"/>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6,540</w:t>
            </w: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Uniti Group Inc. (the “Company,” “Uniti,” “we,” “us,” or “our”) was incorporated in the state of Maryland on September 4, 2014. We are an independent, internally managed real estate investment trust (“REIT”) engaged in the acquisition and construction of mission critical infrastructure in the communications industry. We are principally focused on acquiring and constructing fiber, copper and coaxial broadband networks and data centers. We manage our operations in four separate lines of business: Uniti Fiber, Uniti Towers, Uniti Leasing, and the Consumer CLEC Business. On June 1, 2020, the Company completed the sale of its Uniti Towers business (see Note 6), and as of the end of the second quarter of 2020, the Company had substantially completed the wind down of its Consumer CLEC business. Starting in 2021, we will manage our operations focused on our two primary businesses, Leasing and Fiber Infrastructure (see Note 16).</w:t>
      </w:r>
    </w:p>
    <w:p>
      <w:pPr>
        <w:spacing w:after="0" w:line="19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consisted of Talk America Services. The up-REIT structure is intended to facilitate future acquisition opportunities by providing the Company with the ability to use common units of the Operating Partnership as a tax-efficient acquisition currency. As of December 31, 2020, we are the sole general partner of the Operating Partnership and own approximately 98.5% of the partnership interests in the Operating Partnership.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Consolidation</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accompanying Consolidated Financial Statements include all accounts of the Company and, its wholly-owned and/or controlled subsidiaries, which includes the Operating Partnership. Under the Accounting Standards Codification 810, Consolidation (“ASC 810”), the Operating Partnership is considered a variable interest entity and is consolidated in the Consolidated Financial Statements of Uniti Group Inc. as the Company has determined to be the primary beneficiary. All material intercompany balances and transactions have been eliminated.</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9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(“GAAP”) for financial information set forth in the Accounting Standards Codification (“ASC”), as published by the Financial Accounting Standards Board (“FASB”), and with the applicable rules and regulations of the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Going Concern</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In accordance with Accounting Standards Update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205-40)</w:t>
      </w:r>
      <w:r>
        <w:rPr>
          <w:rFonts w:ascii="Arial" w:cs="Arial" w:eastAsia="Arial" w:hAnsi="Arial"/>
          <w:sz w:val="17"/>
          <w:szCs w:val="17"/>
          <w:color w:val="auto"/>
        </w:rPr>
        <w:t>, the Company’s management has evaluated whether there are conditions and events, considered in the aggregate, that raise substantial</w:t>
      </w:r>
      <w:r>
        <w:rPr>
          <w:rFonts w:ascii="Arial" w:cs="Arial" w:eastAsia="Arial" w:hAnsi="Arial"/>
          <w:sz w:val="17"/>
          <w:szCs w:val="17"/>
          <w:i w:val="1"/>
          <w:iCs w:val="1"/>
          <w:color w:val="auto"/>
        </w:rPr>
        <w:t xml:space="preserve"> </w:t>
      </w:r>
      <w:r>
        <w:rPr>
          <w:rFonts w:ascii="Arial" w:cs="Arial" w:eastAsia="Arial" w:hAnsi="Arial"/>
          <w:sz w:val="17"/>
          <w:szCs w:val="17"/>
          <w:color w:val="auto"/>
        </w:rPr>
        <w:t>doubt about the Company’s ability to continue as a going concern within one year after the accompanying Consolidated Financial Statements are issued, concluding there are no such conditions or events. The accompanying Consolidated Financial Statements have been prepared on a going concern basis, which contemplates the realization of assets and satisfaction of liabilities in the ordinary course of business.</w:t>
      </w:r>
    </w:p>
    <w:p>
      <w:pPr>
        <w:spacing w:after="0" w:line="17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September 21, 2020, Windstream Holdings, Inc. (together with Windstream Holdings II, LLC, its successor in interest, and subsidiaries, “Windstream”) emerged from bankruptcy following its voluntary petition for relief under Chapter 11 of the Bankruptcy Code. In connection with Windstream’s emergence from bankruptcy, Uniti entered into several agreements and consummated the transactions, each as described herein, to implement its settlement (the “Settlement”) with Windstream pursuant to the settlement agreement (the “Settlement Agreement”) dated as of May 12, 2020 between Uniti and Windstream. Pursuant to the Settlement, Uniti and Windstream agreed to mutual releases with respect to any and all liability related to any claims and causes of action between them, including those brought by Windstream and certain of its creditors relating to Windstream’s Chapter 11 proceedings and the master lease dated as of April 24, 2015 (the “Master Lease”). See Note 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spacing w:after="0" w:line="18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u w:val="single" w:color="auto"/>
          <w:color w:val="auto"/>
        </w:rPr>
        <w:t>Property, Plant and Equipment</w:t>
      </w:r>
      <w:r>
        <w:rPr>
          <w:rFonts w:ascii="Arial" w:cs="Arial" w:eastAsia="Arial" w:hAnsi="Arial"/>
          <w:sz w:val="16"/>
          <w:szCs w:val="16"/>
          <w:color w:val="auto"/>
        </w:rPr>
        <w:t>—Property, plant and equipment is stated at original cost, net of accumulated depreciation. The Company capitalizes costs incurred in bringing property, plant and equipment to an operational state, including all activities directly associated with the acquisition, construction, and installation of the related assets it owns. The Company capitalizes a portion of the interest costs it incurs for assets that require a period of time to get them ready for their intended use. The amount of interest that is capitalized is based on the average accumulated expenditures made during the period involved in bringing the assets comprising a network to an operational state at the Company’s weighted average interest rate during the respective accounting period.</w:t>
      </w:r>
    </w:p>
    <w:p>
      <w:pPr>
        <w:spacing w:after="0" w:line="161" w:lineRule="exact"/>
        <w:rPr>
          <w:sz w:val="20"/>
          <w:szCs w:val="20"/>
          <w:color w:val="auto"/>
        </w:rPr>
      </w:pPr>
    </w:p>
    <w:p>
      <w:pPr>
        <w:ind w:right="60"/>
        <w:spacing w:after="0" w:line="219" w:lineRule="exact"/>
        <w:rPr>
          <w:sz w:val="20"/>
          <w:szCs w:val="20"/>
          <w:color w:val="auto"/>
        </w:rPr>
      </w:pPr>
      <w:r>
        <w:rPr>
          <w:rFonts w:ascii="Arial" w:cs="Arial" w:eastAsia="Arial" w:hAnsi="Arial"/>
          <w:sz w:val="17"/>
          <w:szCs w:val="17"/>
          <w:color w:val="auto"/>
        </w:rPr>
        <w:t>The Company also enters into leasing arrangements providing for the long</w:t>
      </w:r>
      <w:r>
        <w:rPr>
          <w:rFonts w:ascii="MS PGothic" w:cs="MS PGothic" w:eastAsia="MS PGothic" w:hAnsi="MS PGothic"/>
          <w:sz w:val="17"/>
          <w:szCs w:val="17"/>
          <w:color w:val="auto"/>
        </w:rPr>
        <w:t>‑</w:t>
      </w:r>
      <w:r>
        <w:rPr>
          <w:rFonts w:ascii="Arial" w:cs="Arial" w:eastAsia="Arial" w:hAnsi="Arial"/>
          <w:sz w:val="17"/>
          <w:szCs w:val="17"/>
          <w:color w:val="auto"/>
        </w:rPr>
        <w:t>term use of constructed fiber that is then integrated into the Company’s network infrastructure. For each lease that qualifies as a finance lease, the present value of the lease payments, which may include both periodic lease payments over the term of the lease as well as upfront payments to the lessor, is capitalized at the inception of the lease and included in property and equipment. As of December 31, 2020 and 2019, the accumulated amortization of our finance lease assets was $16.8 million and $24.3 million, respectively. The decrease is primarily attributable to our finance lease assets reclassified to held for sale. See Note 7.</w:t>
      </w:r>
    </w:p>
    <w:p>
      <w:pPr>
        <w:spacing w:after="0" w:line="2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Certain property, plant and equipment acquired as part of our spin-off from Windstream is depreciated using a group composite depreciation method. Under this method, when property is retired, the original cost, net of salvage value, is charged against accumulated depreciation and no immediate gain or loss is recognized on the disposition of the property. For all other property, which includes amortization of finance lease assets, depreciation is computed using the straight-line method over the estimated useful life of the respective property. When the property is retired or otherwise disposed of, the related cost and accumulated depreciation are written-off, with the corresponding gain or loss reflected in operating results. Construction in progress includes direct materials and labor related to fixed assets during the construction period. Depreciation begins once the construction period has ceased and the related asset is placed into service, and the asset will be depreciated over its useful life.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Costs of maintenance and repairs to property, plant and equipment subject triple-net leasing arrangements are the responsibility of our tenant. Costs of maintenance and repairs to property, plant and equipment not subject to triple-net leasing arrangements are expensed as incurred.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acquire real property interests from third parties who own land where communications infrastructure assets are located and desire to monetize the underlying real property. These real property interests entitle us to receive rental payments from leases on our sites. The financial results of the acquired real property interests are included in the Leasing segment from the date of acquisition and were not material, individually or in the aggregate, to our results of operations. Real property interests are recorded in property, plant and equipment on our Consolidated Balance Sheet.</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u w:val="single" w:color="auto"/>
          <w:color w:val="auto"/>
        </w:rPr>
        <w:t>Tenant Capital Improvements</w:t>
      </w:r>
      <w:r>
        <w:rPr>
          <w:rFonts w:ascii="Arial" w:cs="Arial" w:eastAsia="Arial" w:hAnsi="Arial"/>
          <w:sz w:val="16"/>
          <w:szCs w:val="16"/>
          <w:color w:val="auto"/>
        </w:rPr>
        <w:t>—Our leases with Windstream provides that tenant funded capital improvements (“TCIs”), defined as maintenance, repair, overbuild, upgrade or replacements to the leased network, including, without limitation, the replacement of copper distribution systems with fiber distribution systems, automatically become property of Uniti upon their construction by Windstream. We receive non-monetary consideration related to the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At December 31, 2020 and 2019, the net book value of TCIs recorded as a component of property, plant and equipment on our Consolidated Balance Sheet was $767.2 million and $698.8 million, respectively. For the years ended December 31, 2020, 2019 and 2018, we recognized $35.1 million, $29.0 million, and $23.1 million of revenue and depreciation expense related to TCIs, respectively.</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—We review long-lived assets for impairment whenever events or changes in circumstances indicate that the carrying amount of the asset group may not be recoverable from future undiscounted net cash flows we expect the asset group to generate. If the asset group is not fully recoverable, an impairment loss would be recognized for the difference between the carrying value of the asset group and its estimated fair value based on discounted net future cash flows. Assets held for sale, if any, are reported at the lower of the carrying amount or fair value less cost to sell. During the years ended December 31, 2020, 2019 and 2018, there were no events or changes in circumstances indicating that the carrying amount of any of our assets groups to not be recoverable from future undiscounted net cash flows we expect the asset groups to generate, and no impairment losses were recognized.</w:t>
      </w:r>
    </w:p>
    <w:p>
      <w:pPr>
        <w:spacing w:after="0" w:line="195"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u w:val="single" w:color="auto"/>
          <w:color w:val="auto"/>
        </w:rPr>
        <w:t>Asset Retirement Obligations</w:t>
      </w:r>
      <w:r>
        <w:rPr>
          <w:rFonts w:ascii="Arial" w:cs="Arial" w:eastAsia="Arial" w:hAnsi="Arial"/>
          <w:sz w:val="16"/>
          <w:szCs w:val="16"/>
          <w:color w:val="auto"/>
        </w:rPr>
        <w:t>—The Company records obligations to perform asset retirement activities, primarily including requirements to remove equipment from leased space or customer sites as required under the terms of the related lease and customer agreements. The fair value of the liability for asset retirement obligations, which represents the net present value of the estimated expected future cash outlay, is recognized in the period in which it is incurred and the fair value of the liability can reasonably be estimated. The liability accretes as a result of the passage of time and related accretion expense is recognized in the Consolidated Statements of Income. The associated asset retirement costs are capitalized as an additional carrying amount of the related long</w:t>
      </w:r>
      <w:r>
        <w:rPr>
          <w:rFonts w:ascii="MS PGothic" w:cs="MS PGothic" w:eastAsia="MS PGothic" w:hAnsi="MS PGothic"/>
          <w:sz w:val="16"/>
          <w:szCs w:val="16"/>
          <w:color w:val="auto"/>
        </w:rPr>
        <w:t>‑</w:t>
      </w:r>
      <w:r>
        <w:rPr>
          <w:rFonts w:ascii="Arial" w:cs="Arial" w:eastAsia="Arial" w:hAnsi="Arial"/>
          <w:sz w:val="16"/>
          <w:szCs w:val="16"/>
          <w:color w:val="auto"/>
        </w:rPr>
        <w:t>lived asset and depreciated on a straight-line basis over the asset’s useful life. As of December 31, 2020 and 2019, our aggregate carrying amount of asset retirement obligations totaled $10.7 million and $9.5 million, respectively. During the years ended December 31, 2020 and 2019, we incurred liabilities of $0.2 million and $0.6 million related to asset retirement obligations, respectively. During the years ended December 31, 2020, 2019, and 2018, we recognized $1.3 million, $1.3 million, and $0.9 million of accretion expense related to asset retirement obligations, respectively.</w:t>
      </w:r>
    </w:p>
    <w:p>
      <w:pPr>
        <w:spacing w:after="0" w:line="20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—Cash and cash equivalents include all non-restricted cash held at financial institutions and other non-restricted highly liquid short-term investments with original maturities of three months or less.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u w:val="single" w:color="auto"/>
          <w:color w:val="auto"/>
        </w:rPr>
        <w:t>Derivative Instruments and Hedging Activities</w:t>
      </w:r>
      <w:r>
        <w:rPr>
          <w:rFonts w:ascii="Arial" w:cs="Arial" w:eastAsia="Arial" w:hAnsi="Arial"/>
          <w:sz w:val="16"/>
          <w:szCs w:val="16"/>
          <w:color w:val="auto"/>
        </w:rPr>
        <w:t xml:space="preserve">—We account for our derivatives in accordance with FASB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in which we reflect all derivative instruments at fair value as either assets or liabilities on our Consolidated Balance Sheet. For derivative instruments that are designated and qualify as hedging instruments, we record the effective portion of the gain or loss on the hedged instruments as a component of accumulated other comprehensive income or loss. Any ineffective portion of a derivative’s change in fair value is immediately recognized within net income. For derivatives that do not meet the criteria for hedge accounting, changes in fair value are immediately recognized within net income. See Note 9 and Note 11.</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Exchangeable Notes and Related Transactions</w:t>
      </w:r>
      <w:r>
        <w:rPr>
          <w:rFonts w:ascii="Arial" w:cs="Arial" w:eastAsia="Arial" w:hAnsi="Arial"/>
          <w:sz w:val="17"/>
          <w:szCs w:val="17"/>
          <w:color w:val="auto"/>
        </w:rPr>
        <w:t>—On June 28, 2019, Uniti Fiber Holdings, Inc. (“Uniti Fiber”), a subsidiary of the Company, issued</w:t>
      </w:r>
    </w:p>
    <w:p>
      <w:pPr>
        <w:spacing w:after="0" w:line="35" w:lineRule="exact"/>
        <w:rPr>
          <w:sz w:val="20"/>
          <w:szCs w:val="20"/>
          <w:color w:val="auto"/>
        </w:rPr>
      </w:pPr>
    </w:p>
    <w:p>
      <w:pPr>
        <w:ind w:right="20"/>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$345 million aggregate principal amount of 4.00% Exchangeable Senior Notes due June 15, 2024 (the “Exchangeable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Fiber’s election. In accordance with ASC 470-20, </w:t>
      </w:r>
      <w:r>
        <w:rPr>
          <w:rFonts w:ascii="Arial" w:cs="Arial" w:eastAsia="Arial" w:hAnsi="Arial"/>
          <w:sz w:val="18"/>
          <w:szCs w:val="18"/>
          <w:i w:val="1"/>
          <w:iCs w:val="1"/>
          <w:color w:val="auto"/>
        </w:rPr>
        <w:t>Debt – Debt with Conversion and Other Options</w:t>
      </w:r>
      <w:r>
        <w:rPr>
          <w:rFonts w:ascii="Arial" w:cs="Arial" w:eastAsia="Arial" w:hAnsi="Arial"/>
          <w:sz w:val="18"/>
          <w:szCs w:val="18"/>
          <w:color w:val="auto"/>
        </w:rPr>
        <w:t xml:space="preserve">, because the conversion feature in the Exchangeable Notes is not bifurcated pursuant to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because the conversion can be settled in cash, shares, or a combination thereof, the Exchangeable Notes were separated into a liability component and an equity component in a manner that reflects Uniti Fiber’s non-convertible debt borrowing rate. The carrying amount of the liability component was calculated by measuring the fair value of a similar liability that does not have an associated conversion feature. </w:t>
      </w:r>
      <w:hyperlink r:id="rId99">
        <w:r>
          <w:rPr>
            <w:rFonts w:ascii="Arial" w:cs="Arial" w:eastAsia="Arial" w:hAnsi="Arial"/>
            <w:sz w:val="18"/>
            <w:szCs w:val="18"/>
            <w:u w:val="single" w:color="auto"/>
            <w:color w:val="auto"/>
          </w:rPr>
          <w:t>See Note 13</w:t>
        </w:r>
      </w:hyperlink>
      <w:r>
        <w:rPr>
          <w:rFonts w:ascii="Arial" w:cs="Arial" w:eastAsia="Arial" w:hAnsi="Arial"/>
          <w:sz w:val="18"/>
          <w:szCs w:val="18"/>
          <w:color w:val="auto"/>
        </w:rPr>
        <w:t>.</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connection with the offering of the Exchangeable Notes, Uniti Fiber entered into exchangeable note hedge transactions with respect to the Company’s common stock (the “Note Hedge Transactions”) with certain of the Initial Purchasers (as defined in Note 13) or their respective affiliates (collectively, the “Counterparties”). In addition, the Company entered into warrant transactions to sell to the Counterparties warrants (the “Warrants”) to acquire, subject to anti-dilution adjustments, up to approximately 27.8 million shares of the Company’s common stock in the aggregate at an exercise price of $16.42 per share. The warrant transactions may have a dilutive effect with respect to the Company’s common stock to the extent the market price per share of the Company’s common stock exceeds the strike price of the Warrants. While the Note Hedge Transactions and the Warrants meet the definition of a derivative in ASC 815-10-15-83, they each meet the equity scope exception specified in ASC 815-10-15-74(a); as such, the Warrants and the Notes Hedge Transactions are not accounted for as derivatives that must be remeasured each reporting period and instead, are recorded in stockholders’ deficit. See Note 11.</w:t>
      </w:r>
    </w:p>
    <w:p>
      <w:pPr>
        <w:spacing w:after="0" w:line="196"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Intangible Assets</w:t>
      </w:r>
      <w:r>
        <w:rPr>
          <w:rFonts w:ascii="Arial" w:cs="Arial" w:eastAsia="Arial" w:hAnsi="Arial"/>
          <w:sz w:val="18"/>
          <w:szCs w:val="18"/>
          <w:color w:val="auto"/>
        </w:rPr>
        <w:t>—Intangible assets are presented in the financial statements at cost less accumulated amortization and are amortized using the straight-line method over their estimated useful lives.</w:t>
      </w:r>
    </w:p>
    <w:p>
      <w:pPr>
        <w:spacing w:after="0" w:line="17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u w:val="single" w:color="auto"/>
          <w:color w:val="auto"/>
        </w:rPr>
        <w:t>Foreign Currency Translation</w:t>
      </w:r>
      <w:r>
        <w:rPr>
          <w:rFonts w:ascii="Arial" w:cs="Arial" w:eastAsia="Arial" w:hAnsi="Arial"/>
          <w:sz w:val="17"/>
          <w:szCs w:val="17"/>
          <w:color w:val="auto"/>
        </w:rPr>
        <w:t>—The financial statements of our international subsidiaries whose functional currency is the local currency, and includes the Mexican Peso and Colombian Peso, are translated into U.S. dollars using the exchange rate at the balance sheet date for assets and liabilities and the weighted average exchange rate for the applicable period for revenues, expenses, gains and losses. Translation adjustments are recorded as a separate component of comprehensive income in stockholders’ deficit. On April 2, 2019, the Company ceased transactions involving foreign currencies with the completed sale of the Uniti Towers’ Latin America business (see Note 6), which included our international subsidiaries.</w:t>
      </w:r>
    </w:p>
    <w:p>
      <w:pPr>
        <w:spacing w:after="0" w:line="1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u w:val="single" w:color="auto"/>
          <w:color w:val="auto"/>
        </w:rPr>
        <w:t>Transaction Related and Other Costs</w:t>
      </w:r>
      <w:r>
        <w:rPr>
          <w:rFonts w:ascii="Arial" w:cs="Arial" w:eastAsia="Arial" w:hAnsi="Arial"/>
          <w:sz w:val="18"/>
          <w:szCs w:val="18"/>
          <w:color w:val="auto"/>
        </w:rPr>
        <w:t>—The Company expenses non-capitalizable transaction related and other costs in the period in which they are incurred and services are received. Transaction related costs include incremental acquisition pursuit, transaction and integration costs, including unsuccessful acquisition pursuit costs. Pursuit and transaction costs include professional services (legal, accounting, advisory, regulatory, etc.), finder’s fees, travel expenses, and other direct expenses associated with a business acquisition. Integration costs include direct costs necessary to integrate an acquired business, including professional services, systems and data conversion, severance and retention bonuses payable to employees of an acquired business. In addition, other costs, such as costs incurred as a result of Windstream’s bankruptcy filing, costs associated with Windstream’s claims against us (see Note 17), and costs associated with the implementation of our new enterprise resource planning system are included within this line item on the Consolidated Statements of Income.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60"/>
        <w:spacing w:after="0" w:line="257" w:lineRule="auto"/>
        <w:rPr>
          <w:sz w:val="20"/>
          <w:szCs w:val="20"/>
          <w:color w:val="auto"/>
        </w:rPr>
      </w:pPr>
      <w:r>
        <w:rPr>
          <w:rFonts w:ascii="Arial" w:cs="Arial" w:eastAsia="Arial" w:hAnsi="Arial"/>
          <w:sz w:val="18"/>
          <w:szCs w:val="18"/>
          <w:u w:val="single" w:color="auto"/>
          <w:color w:val="auto"/>
        </w:rPr>
        <w:t>Settlement Expense</w:t>
      </w:r>
      <w:r>
        <w:rPr>
          <w:rFonts w:ascii="Arial" w:cs="Arial" w:eastAsia="Arial" w:hAnsi="Arial"/>
          <w:sz w:val="18"/>
          <w:szCs w:val="18"/>
          <w:color w:val="auto"/>
        </w:rPr>
        <w:t>—As described in Note 17, on July 25, 2019, in connection with Windstream’s bankruptcy, Windstream Holdings and Windstream Services filed a complaint with the U.S. Bankruptcy Court for the Southern District of New York (the “Bankruptcy Court”) in an adversary proceeding against Uniti and certain of its affiliates. During the second quarter of 2020, we estimated that $650.0 million of the consideration paid to Windstream should be classified as settlement of litigation, and therefore, recorded a $650.0 million charge. The charge represented our estimated fair value of the litigation settlement component of the Settlement.</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u w:val="single" w:color="auto"/>
          <w:color w:val="auto"/>
        </w:rPr>
        <w:t>Debt Issuance Costs</w:t>
      </w:r>
      <w:r>
        <w:rPr>
          <w:rFonts w:ascii="Arial" w:cs="Arial" w:eastAsia="Arial" w:hAnsi="Arial"/>
          <w:sz w:val="18"/>
          <w:szCs w:val="18"/>
          <w:color w:val="auto"/>
        </w:rPr>
        <w:t>—The Company recognizes debt issuance costs related to a recognized debt liability as a direct deduction from the carrying amount of the debt liability, consistent with debt discounts. The costs, which include underwriting, legal, and other direct costs related to the issuance of debt, are amortized over the contractual term of the debt using the effective interest method.</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 xml:space="preserve">— As discussed in “Leases” in this Note 3, 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on January 1, 2019. Prior to the adoption of ASC 842, the Company recognized leasing revenues on a straight-line basis over the applicable lease term when collectability is reasonably assured. Recognizing leasing income on a straight-line basis generally results in recognized revenues during the first half of the lease term in excess of cash amounts contractually due from our tenants, creating a straight-line rent receivable.</w:t>
      </w:r>
    </w:p>
    <w:p>
      <w:pPr>
        <w:spacing w:after="0" w:line="187" w:lineRule="exact"/>
        <w:rPr>
          <w:sz w:val="20"/>
          <w:szCs w:val="20"/>
          <w:color w:val="auto"/>
        </w:rPr>
      </w:pPr>
    </w:p>
    <w:p>
      <w:pPr>
        <w:jc w:val="both"/>
        <w:ind w:right="500"/>
        <w:spacing w:after="0" w:line="311" w:lineRule="auto"/>
        <w:rPr>
          <w:sz w:val="20"/>
          <w:szCs w:val="20"/>
          <w:color w:val="auto"/>
        </w:rPr>
      </w:pPr>
      <w:r>
        <w:rPr>
          <w:rFonts w:ascii="Arial" w:cs="Arial" w:eastAsia="Arial" w:hAnsi="Arial"/>
          <w:sz w:val="16"/>
          <w:szCs w:val="16"/>
          <w:color w:val="auto"/>
        </w:rPr>
        <w:t>We lease certain assets to Windstream under a triple-net leases, whereby Windstream is responsible for the costs related to operating the Distribution Systems, including property taxes, insurance and maintenance and repair costs. As a result, we do not record an obligation related to the payment of property taxes or insurance, as Windstream makes direct payments to the taxing authorities and insurance carriers, respectively.</w:t>
      </w:r>
    </w:p>
    <w:p>
      <w:pPr>
        <w:spacing w:after="0" w:line="1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Company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(“Topic 606”) on January 1, 2018. See Note 4 for the Company’s accounting policy on recognizing revenue accounted for inside the scope of Topic 606.</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exposed to credit losses primarily through our trade receivables. We assess ability to pay for certain customers by considering a variety of factors, such as the customer’s established credit rating, if available, and our assessment of creditworthiness. We determine the allowance for credit losses on accounts receivable using a combination of specific reserves for accounts that are deemed to exhibit credit loss indicators and general reserves that are determined using loss rates based on historical experience and economic expectations. We update our estimate of credit loss reserves quarterly, considering recent write-offs, collections information and underlying economic expectations. The allowance for credit losses is recorded in accounts receivable, net on our Consolidated Balance Sheets. At December 31, 2020 and 2019, our allowance for credit losses was $2.9 million and $2.7 million, respectively. Credit losses for the years ended December 31, 2020, 2019 and 2018 were $1.8 million, $1.6 million and $1.5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Straight-Line Revenue Receivable</w:t>
      </w:r>
      <w:r>
        <w:rPr>
          <w:rFonts w:ascii="Arial" w:cs="Arial" w:eastAsia="Arial" w:hAnsi="Arial"/>
          <w:sz w:val="16"/>
          <w:szCs w:val="16"/>
          <w:color w:val="auto"/>
        </w:rPr>
        <w:t>—We have evaluated the collectability of our straight-line revenue receivables in accordance with the provisions of ASC</w:t>
      </w:r>
    </w:p>
    <w:p>
      <w:pPr>
        <w:spacing w:after="0" w:line="46" w:lineRule="exact"/>
        <w:rPr>
          <w:sz w:val="20"/>
          <w:szCs w:val="20"/>
          <w:color w:val="auto"/>
        </w:rPr>
      </w:pPr>
    </w:p>
    <w:p>
      <w:pPr>
        <w:ind w:right="80" w:firstLine="8"/>
        <w:spacing w:after="0" w:line="288" w:lineRule="auto"/>
        <w:tabs>
          <w:tab w:leader="none" w:pos="40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adoption of ASC 842 on January 1, 2019 superseded prior guidance regarding the evaluation of collectability of lease receivables, including straight-line revenue receivables. At the date of adoption, due to uncertainties surrounding Windstream’s operations and liquidity, including uncertainties surrounding the outcome of Windstream’s pending litigation, we concluded that it was not probable that we would collect all future payments due to the Company over the initial term of the Master Lease. As a result, we reflected the write off of the straight-line revenue balance as of January 1, 2019 as a $61.5 million adjustment to equity resulting from the change in accounting standard. Upon Windstream’s emergence from bankruptcy in September 2020, we re-evaluated the collectability of the Windstream Leases (as described in Note 5), determining that it was probable that we would collect all future payments due to the company over the initial term of the Windstream Leases; therefore, we account for the Windstream Leases on a straight-line basis.</w:t>
      </w:r>
    </w:p>
    <w:p>
      <w:pPr>
        <w:spacing w:after="0" w:line="168" w:lineRule="exact"/>
        <w:rPr>
          <w:sz w:val="20"/>
          <w:szCs w:val="20"/>
          <w:color w:val="auto"/>
        </w:rPr>
      </w:pPr>
    </w:p>
    <w:p>
      <w:pPr>
        <w:spacing w:after="0" w:line="293" w:lineRule="auto"/>
        <w:rPr>
          <w:sz w:val="20"/>
          <w:szCs w:val="20"/>
          <w:color w:val="auto"/>
        </w:rPr>
      </w:pPr>
      <w:r>
        <w:rPr>
          <w:rFonts w:ascii="Arial" w:cs="Arial" w:eastAsia="Arial" w:hAnsi="Arial"/>
          <w:sz w:val="16"/>
          <w:szCs w:val="16"/>
          <w:u w:val="single" w:color="auto"/>
          <w:color w:val="auto"/>
        </w:rPr>
        <w:t>Leases</w:t>
      </w:r>
      <w:r>
        <w:rPr>
          <w:rFonts w:ascii="Arial" w:cs="Arial" w:eastAsia="Arial" w:hAnsi="Arial"/>
          <w:sz w:val="16"/>
          <w:szCs w:val="16"/>
          <w:color w:val="auto"/>
        </w:rPr>
        <w:t>—Effective January 1, 2019, we account for leases in accordance with ASC 842. The standard requires lessees to apply a dual approach, classify leases as either finance or operating leases based on the principle of whether or not the lease is effectively a financed purchase by the lessee. This classification will determine whether lease expense is comprised of amortization on the right-of-use (“ROU”) asset and interest expense recognized based on an effective interest method, or as a single lease cost recognized on a straight-line basis over the term of the lease, respectively. A lessee is also required to record an ROU asset and a lease liability for all leases with a term of greater than 12 months regardless of their classification. The accounting for lessors remains largely unchanged, with exception of how collectability of future lease payments is evaluated and the impact on revenue recognition.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Leases with a term of 12 months or less will be accounted for consistent with existing guidance for operating leases today.</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determine if an arrangement is a lease at contract inception. A lease exists when a contract conveys to the customer the right to control the use of identified property, plant, or equipment for a period of time in exchange for consideration.</w:t>
      </w:r>
    </w:p>
    <w:p>
      <w:pPr>
        <w:spacing w:after="0" w:line="17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enter into lease contracts including ground, towers, equipment, office, colocation and fiber lease arrangements, in which we are the lessee, and service contracts that may include embedded leases. Operating leases where we are the lessor are included in Leasing, Fiber Infrastructure and Tower revenues on our Consolidated Statements of Income.</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From time to time we may enter into direct financing lease arrangements that include (i) a lessee obligation to purchase the leased equipment at the end of the lease term, (ii) a bargain purchase option, (iii) a lease term having a duration that is for the major part of the remaining economic life of the leased equipment or (iv) provides for minimum lease payments with a present value amounting to substantially all of the fair value of the leased asset at the date of lease inception.</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ROU assets and lease liabilities related to operating leases where we are the lessee are included in other assets and accounts payable, accrued expenses and other liabilities, respectively, on our Consolidated Balance Sheets. The lease liabilities are initially and subsequently measured at the present value of the unpaid lease payments at the lease commencement date.</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ROU assets and lease liabilities related to finance leases where we are the lessee are included in property, plant and equipment, net and finance lease obligations, respectively, on our Consolidated Balance Sheets. The lease liabilities are initially measured in the same manner as operating leases and are subsequently measured at amortized cost using the effective interest method. ROU assets for finance leases are amortized on a straight-line basis over the remaining lease term.</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Key estimates and judgments include how we determined (i) the discount rate we use to discount the unpaid lease payments to present value, (ii) lease term and (iii) lease payments.</w:t>
      </w:r>
    </w:p>
    <w:p>
      <w:pPr>
        <w:spacing w:after="0" w:line="170" w:lineRule="exact"/>
        <w:rPr>
          <w:sz w:val="20"/>
          <w:szCs w:val="20"/>
          <w:color w:val="auto"/>
        </w:rPr>
      </w:pPr>
    </w:p>
    <w:p>
      <w:pPr>
        <w:ind w:left="880" w:right="60" w:hanging="440"/>
        <w:spacing w:after="0" w:line="296"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ASC 842 requires a lessor to discount its unpaid lease payments using the interest rate implicit in the lease and a lessee to discount its unpaid lease payments using the interest rate implicit in the lease or, if that rate cannot be readily determined, its incremental borrowing rate. As we generally do not know the implicit rate for our leases where we are the lessee, we use our incremental borrowing rate based on the information available at commencement date in determining the present value of lease payments. Our incremental borrowing rate for a lease is the rate of interest we would have to pay on a collateralized basis to borrow an amount equal to the lease payments under similar terms.</w:t>
      </w:r>
    </w:p>
    <w:p>
      <w:pPr>
        <w:spacing w:after="0" w:line="161" w:lineRule="exact"/>
        <w:rPr>
          <w:rFonts w:ascii="Arial" w:cs="Arial" w:eastAsia="Arial" w:hAnsi="Arial"/>
          <w:sz w:val="16"/>
          <w:szCs w:val="16"/>
          <w:color w:val="auto"/>
        </w:rPr>
      </w:pPr>
    </w:p>
    <w:p>
      <w:pPr>
        <w:ind w:left="880" w:right="40" w:hanging="440"/>
        <w:spacing w:after="0" w:line="263"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lease term for all of our leases includes the noncancellable period of the lease plus any additional periods covered by either a lessee option to extend (or not to terminate) the lease that the lessee is reasonably certain to exercise, or an option to extend (or not to terminate) the lease controlled by the lessor.</w:t>
      </w:r>
    </w:p>
    <w:p>
      <w:pPr>
        <w:spacing w:after="0" w:line="183" w:lineRule="exact"/>
        <w:rPr>
          <w:rFonts w:ascii="Arial" w:cs="Arial" w:eastAsia="Arial" w:hAnsi="Arial"/>
          <w:sz w:val="18"/>
          <w:szCs w:val="18"/>
          <w:color w:val="auto"/>
        </w:rPr>
      </w:pPr>
    </w:p>
    <w:p>
      <w:pPr>
        <w:ind w:left="880" w:right="140" w:hanging="440"/>
        <w:spacing w:after="0" w:line="286"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Lease payments included in the measurement of the lease asset or liability comprise the following: (i) fixed payments (including in-substance fixed payments), (ii) variable payments that depend on index or rate based on the index or rate at lease commencement, and (iii) the exercise price of a lessee option to purchase the underlying asset if the lessee is reasonably certain to exercise.</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operating leases where we are the lessor, we continue recognizing the underlying asset and depreciating it over its estimated useful life. Lease income is recognized on a straight-line basis over the lease term. Leasing revenue is not recognized when collection of all contractual rents over the term of the agreement is not probable. When collection is not probable, the lessee is placed on non-accrual status and Leasing revenue is recognized when cash payments are received.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Where we are the lessee, the ROU asset is initially measured at the initial amount of the lease liability adjusted for lease payments made at or before the lease commencement date, plus any initial direct costs incurred less any lease incentives received.</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finance leases, the ROU asset is subsequently amortized using the straight-line method from the lease commencement date to the earlier of the end of its useful life or the end of the lease term unless the lease transfers ownership of the underlying asset to us, or we are reasonably certain to exercise an option to purchase the underlying asset. In those cases, the ROU asset is amortized over the useful life of the underlying asset. Amortization of the ROU asset is recognized and presented separately from interest expense on the lease liability.</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Variable lease payments associated with our leases are recognized when the event, activity, or circumstance in the lease agreement on which those payments are assessed occurs. Variable lease payments are presented within Leasing, Fiber Infrastructure and Tower revenues and general and administrative expense and operating expense in our Consolidated Statements of Income in the same line item as revenue arising from fixed lease payments (operating leases where we are the lessor) and expense arising from fixed lease payments (operating leases where we are the lessee) or amortization of the ROU asset (finance leases), respectively.</w:t>
      </w:r>
    </w:p>
    <w:p>
      <w:pPr>
        <w:spacing w:after="0" w:line="1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monitor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general and administrative and operating expense in our Consolidated Statements of Income.</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lease agreements which include lease and nonlease components. For both leases where we are a lessor and leases where we are a lessee, we have elected to combine lease and nonlease components for all lease contracts. Nonlease components that are combined with lease components are primarily maintenance services related to the leased asset. Where we are the lessor, we determine whether the lease or nonlease component is the predominant component on a case-by-case basis. For all existing leases where we are the lessor, the practical expedient in ASC Topic 842 has been applied to all combined components.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have elected not to recognize ROU assets and lease liabilities for all short-term leases that have a lease term of 12 months or less. We recognize the lease payments associated with our short-term leases as an expense on a straight-line basis over the lease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to exclude sales taxes from lease payments in arrangements where we are a lessor.</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We adopted ASC 842 using a modified retrospective transition approach as of the effective date as permitted by the amendments in ASU 2018-11,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842): Target Improvements</w:t>
      </w:r>
      <w:r>
        <w:rPr>
          <w:rFonts w:ascii="Arial" w:cs="Arial" w:eastAsia="Arial" w:hAnsi="Arial"/>
          <w:sz w:val="17"/>
          <w:szCs w:val="17"/>
          <w:color w:val="auto"/>
        </w:rPr>
        <w:t>, which provides an alternative modified retrospective transition method. As a result, we were not required to adjust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comparative period financial information for effects of the standard or make the new required lease disclosures for periods before the date of adoption (i.e. January 1, 2019). We have elected to adopt the package of transition practical expedients and, therefore, have not reassessed (i) whether existing or expired contracts contain a lease, (ii) lease classification for existing or expired leases or (iii) the accounting for initial direct costs that were previously capitalized. We elected the practical expedient to use hindsight for leases existing at the adoption date. Further, we elected to adopt the amendments in ASU 2018-01, </w:t>
      </w:r>
      <w:r>
        <w:rPr>
          <w:rFonts w:ascii="Arial" w:cs="Arial" w:eastAsia="Arial" w:hAnsi="Arial"/>
          <w:sz w:val="17"/>
          <w:szCs w:val="17"/>
          <w:i w:val="1"/>
          <w:iCs w:val="1"/>
          <w:color w:val="auto"/>
        </w:rPr>
        <w:t>Land Easement Practical Expedient for Transition to Topic 842</w:t>
      </w:r>
      <w:r>
        <w:rPr>
          <w:rFonts w:ascii="Arial" w:cs="Arial" w:eastAsia="Arial" w:hAnsi="Arial"/>
          <w:sz w:val="17"/>
          <w:szCs w:val="17"/>
          <w:color w:val="auto"/>
        </w:rPr>
        <w:t xml:space="preserve">, which permits an entity to elect an optional transaction practical expedient to not evaluate land easements that exist or expire before the Company’s adoption of ASC 842 and that were not previously accounted for as leases under ASC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connection with the adoption of ASC 842, we have recorded an adjustment to equity of $63.2 million, net of tax for the cumulative effect from a change in accounting standard. Of this amount, $61.5 million related to the write-off of the Master Lease straight-line revenue receivable, and $1.7 million relates to the establishment of the ROU assets and lease liabilities.</w:t>
      </w:r>
    </w:p>
    <w:p>
      <w:pPr>
        <w:spacing w:after="0" w:line="184" w:lineRule="exact"/>
        <w:rPr>
          <w:sz w:val="20"/>
          <w:szCs w:val="20"/>
          <w:color w:val="auto"/>
        </w:rPr>
      </w:pPr>
    </w:p>
    <w:p>
      <w:pPr>
        <w:jc w:val="both"/>
        <w:ind w:right="260"/>
        <w:spacing w:after="0" w:line="287" w:lineRule="auto"/>
        <w:rPr>
          <w:sz w:val="20"/>
          <w:szCs w:val="20"/>
          <w:color w:val="auto"/>
        </w:rPr>
      </w:pPr>
      <w:r>
        <w:rPr>
          <w:rFonts w:ascii="Arial" w:cs="Arial" w:eastAsia="Arial" w:hAnsi="Arial"/>
          <w:sz w:val="16"/>
          <w:szCs w:val="16"/>
          <w:u w:val="single" w:color="auto"/>
          <w:color w:val="auto"/>
        </w:rPr>
        <w:t>Stock-Based Compensation</w:t>
      </w:r>
      <w:r>
        <w:rPr>
          <w:rFonts w:ascii="Arial" w:cs="Arial" w:eastAsia="Arial" w:hAnsi="Arial"/>
          <w:sz w:val="16"/>
          <w:szCs w:val="16"/>
          <w:color w:val="auto"/>
        </w:rPr>
        <w:t>—We account for stock-based compensation using the fair value method of accounting. We have determined that our stock-based payment awards granted in exchange for employee services qualify as equity classified awards, which are measured based on the fair value of the award on the date of the grant. The fair value of restricted stock-based payments is based on the market value of our common stock on the date of grant.</w:t>
      </w:r>
    </w:p>
    <w:p>
      <w:pPr>
        <w:spacing w:after="0" w:line="2"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The fair value of performance-based awards, which have performance conditions, is based on a Monte Carlo simulation. The fair value of all stock-based compensation is recognized over the period during which an employee is required to provide services in exchange for the award. See Note 14.</w:t>
      </w:r>
    </w:p>
    <w:p>
      <w:pPr>
        <w:spacing w:after="0" w:line="13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u w:val="single" w:color="auto"/>
          <w:color w:val="auto"/>
        </w:rPr>
        <w:t>Income Taxes</w:t>
      </w:r>
      <w:r>
        <w:rPr>
          <w:rFonts w:ascii="Arial" w:cs="Arial" w:eastAsia="Arial" w:hAnsi="Arial"/>
          <w:sz w:val="17"/>
          <w:szCs w:val="17"/>
          <w:color w:val="auto"/>
        </w:rPr>
        <w:t>—We elected on our initial U.S. federal income tax return to be treated as a REIT under the Internal Revenue Code of 1986, as amended (the “Code”). To qualify as a REIT, we must distribute at least 90% of our annual REIT taxable income, determined without regard to the dividends paid deduction and excluding any capital gains,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we will be subject to U.S. federal income tax, including any applicable alternative minimum tax for open taxable years through 2017,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Subject to the restrictions imposed by our 7.875% senior secured notes due 2025 (see Note 13), our ability to make cash distributions to our shareholders in amounts exceeding 90% of our good faith estimate, as of the date on which the first quarterly dividend for the relevant year is declared, of our REIT taxable income for such year, determined without regard to the dividends paid deduction and excluding any capital gains, until we reduce our net leverage ratio. 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9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elected to treat the subsidiaries through which we operate Uniti Fiber and Talk America, as well as certain portions of Uniti Towers, as taxable REIT subsidiaries (“TRSs”). TRSs enable us to engage in activities that result in income that does not constitute qualifying income for a REIT. Our TRSs are subject to U.S. federal, state and local corporate income taxes.</w:t>
      </w:r>
    </w:p>
    <w:p>
      <w:pPr>
        <w:spacing w:after="0" w:line="18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Deferred tax assets and liabilities are recognized under the asset and liability method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is subject to restrictions on distributions to its shareholders based on our 7.875% senior secured notes due 2025. The restrictions permit the Company to make the minimum required distribution to maintain its status as a REIT, which is limited to 90% of our REIT taxable income. The restrictions will remain in place until the Company’s net leverage ratio (as defined) is below 5.75 : 1.00.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recognize the benefit of tax positions that are "more likely than not" to be sustained upon examination based on their technical merit. The benefit of a tax position is measured at the largest amount that has a greater than 50 percent likelihood of being realized upon ultimate settlement. If applicable, we will report tax-related penalties and interest expense as a component of income tax expense. We currently have unrecognized tax benefits of $1.7 million recorded in deferred income taxes on our Consolidated Balance Sheet.</w:t>
      </w:r>
    </w:p>
    <w:p>
      <w:pPr>
        <w:spacing w:after="0" w:line="18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 will be subject to a federal corporate level tax on any gain recognized from the sale of assets occurring within a five year recognition period after the Spin-Off up to the amount of the built in gain that existed on April 24, 2015, which is based on the fair market value of the assets in excess of the Company’s tax basis as of such date.</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u w:val="single" w:color="auto"/>
          <w:color w:val="auto"/>
        </w:rPr>
        <w:t>Business Combinations and Asset Acquisitions</w:t>
      </w:r>
      <w:r>
        <w:rPr>
          <w:rFonts w:ascii="Arial" w:cs="Arial" w:eastAsia="Arial" w:hAnsi="Arial"/>
          <w:sz w:val="16"/>
          <w:szCs w:val="16"/>
          <w:color w:val="auto"/>
        </w:rPr>
        <w:t xml:space="preserve">—In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we apply the acquisition method of accounting for acquisitions meeting the definition of a business combination or asset acquisition, where assets acquired and liabilities assumed are recorded at fair value at the date of each acquisition, and the results of operations are included with those of the Company from the dates of the respective acquisitions. The fair value of the acquired assets and liabilities are estimated using the income, market and/or cost approach. The income approach utilizes the present value of estimated future cash flows that a business or asset can be expected to generate, while under the market approach, the fair value of an asset or business reflects the price at which comparable assets are purchased under similar circumstances. Inherent in our preparation of cash flow projections are significant assumptions and estimates derived from a review of operating results, business plans, expected growth rates, capital expenditure plans, cost of capital and tax rates. We also make certain forecasts about future economic conditions, interest rates and other market data. Many of the factors used in assessing fair value are outside the control of management. Small changes in these assumptions or estimates could materially affect the cash flow projections, and therefore could affect the estimated fair value. Impacts of these assumptions or estimates include customer retention, execution of our business plans, which impact growth, cost escalation impacting margin, the level of capital expenditures required to sustain our growth and market factors, including interest rate and stock price fluctuations, impacting our cost of capital.</w:t>
      </w:r>
    </w:p>
    <w:p>
      <w:pPr>
        <w:spacing w:after="0" w:line="16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acquisitions meeting the definition of a business combination, any excess of the purchase price paid by the Company over the amounts recognized for assets acquired and liabilities assumed is recorded as goodwill. ASC 805 also requires acquirers to, among other things, estimate the acquisition date fair value of any contingent consideration and recognize any subsequent changes in the fair value of contingent consideration in earnings. When provisional amounts are initially recorded,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w:t>
      </w:r>
    </w:p>
    <w:p>
      <w:pPr>
        <w:spacing w:after="0" w:line="1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For acquisitions meeting the definition of an asset acquisition, the fair value of the consideration transferred, including transaction costs, is allocated to the assets acquired and liabilities assumed based on their relative fair values. There are significant judgments and estimates used in determining the fair values of the assets acquired and liabilities assumed, which include assumptions with respect to items such as replacement cost, land value, assemblage factor, discount rate, lease-up period, implied rents per strand mile, and useful life. No goodwill is recognized in an asset acquisition.</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u w:val="single" w:color="auto"/>
          <w:color w:val="auto"/>
        </w:rPr>
        <w:t>Noncontrolling Interest</w:t>
      </w:r>
      <w:r>
        <w:rPr>
          <w:rFonts w:ascii="Arial" w:cs="Arial" w:eastAsia="Arial" w:hAnsi="Arial"/>
          <w:sz w:val="18"/>
          <w:szCs w:val="18"/>
          <w:color w:val="auto"/>
        </w:rPr>
        <w:t>—The limited partner equity interests in our operating partnership are exchangeable on a one-for-one basis for shares of our common stock or, at our election, cash of equivalent value. All of the limited partner equity interests in our operating partnership not held by the Company are reflected as noncontrolling interests. In the Consolidated Statements of Income, we allocate net income (loss) attributable to noncontrolling interests to arrive at net income (loss) attributable to shareholders based on their proportionate share.</w:t>
      </w:r>
    </w:p>
    <w:p>
      <w:pPr>
        <w:spacing w:after="0" w:line="18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 transactions that result in changes to the Company's ownership interest in our operating partnership, the carrying amount of noncontrolling interests is adjusted to reflect such changes. The difference between the fair value of the consideration received or paid and the amount by which the noncontrolling interest is adjusted is reflected as an adjustment to additional paid-in capital on the Consolidated Balance Sheets.</w:t>
      </w:r>
    </w:p>
    <w:p>
      <w:pPr>
        <w:spacing w:after="0" w:line="165"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u w:val="single" w:color="auto"/>
          <w:color w:val="auto"/>
        </w:rPr>
        <w:t>Investments in Unconsolidated Entities</w:t>
      </w:r>
      <w:r>
        <w:rPr>
          <w:rFonts w:ascii="Arial" w:cs="Arial" w:eastAsia="Arial" w:hAnsi="Arial"/>
          <w:sz w:val="16"/>
          <w:szCs w:val="16"/>
          <w:color w:val="auto"/>
        </w:rPr>
        <w:t xml:space="preserve">—We report </w:t>
      </w:r>
      <w:r>
        <w:rPr>
          <w:rFonts w:ascii="Arial" w:cs="Arial" w:eastAsia="Arial" w:hAnsi="Arial"/>
          <w:sz w:val="16"/>
          <w:szCs w:val="16"/>
          <w:color w:val="212529"/>
        </w:rPr>
        <w:t>our investments in unconsolidated entities under the equity method of accounting. We adjust our</w:t>
      </w:r>
      <w:r>
        <w:rPr>
          <w:rFonts w:ascii="Arial" w:cs="Arial" w:eastAsia="Arial" w:hAnsi="Arial"/>
          <w:sz w:val="16"/>
          <w:szCs w:val="16"/>
          <w:color w:val="auto"/>
        </w:rPr>
        <w:t xml:space="preserve"> </w:t>
      </w:r>
      <w:r>
        <w:rPr>
          <w:rFonts w:ascii="Arial" w:cs="Arial" w:eastAsia="Arial" w:hAnsi="Arial"/>
          <w:sz w:val="16"/>
          <w:szCs w:val="16"/>
          <w:color w:val="212529"/>
        </w:rPr>
        <w:t>investments in unconsolidated entities for additional contributions made, distributions received as well as our share of the investees’ earnings or losses, which are reported on a 30-day lag for the investment in BB Fiber Holdings LLC (“Fiber Holdings”) and on a 90-day lag for the investment in Harmoni</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212529"/>
        </w:rPr>
        <w:t>Towers LP (“Harmoni”), and are included in equity in earnings from unconsolidated entities in our Consolidated Statements of Income (Loss). See Note 8.</w:t>
      </w:r>
    </w:p>
    <w:p>
      <w:pPr>
        <w:spacing w:after="0" w:line="248"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Goodwill</w:t>
      </w:r>
      <w:r>
        <w:rPr>
          <w:rFonts w:ascii="Arial" w:cs="Arial" w:eastAsia="Arial" w:hAnsi="Arial"/>
          <w:sz w:val="16"/>
          <w:szCs w:val="16"/>
          <w:color w:val="auto"/>
        </w:rPr>
        <w:t xml:space="preserve">—As of December 31, 2020 and 2019, all of our goodwill is included in our Fiber Infrastructure segment. Goodwill is recognized for the excess of purchase price over the fair value of net assets of businesses acquired. Goodwill is reviewed for impairment at least annually. In accordance with ASC 350-20,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we evaluate goodwill for impairment between annual impairment tests if an event occurs or circumstances change that would more likely than not reduce the fair value of a reporting unit below its carrying amount. Unless circumstances otherwise dictate, the annual impairment test is performed in the fourth quarter. Application of the goodwill impairment test requires significant judgment, including: the identification of reporting units; assignment of assets and liabilities to reporting units; and assignment of goodwill to reporting units. As a result of our 2019 annual goodwill impairment test, we concluded the implied fair value of our Fiber Infrastructure reporting unit was in excess of its carrying value by less than 2%.</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estimate the fair value of our reporting units (which are our segments) using a combination of an income approach based on the present value of estimated future cash flows and a market approach based on market data of comparable businesses and acquisition multiples paid in recent transactions. We evaluate the appropriateness of each valuation methodology in determining the weighting applied to each methodology in the determination of the concluded fair value. If the carrying value of a reporting unit's net assets is less than its fair value, no indication of impairment exists. If the carrying amount of the reporting unit is greater than the fair value of the reporting unit, an impairment loss must be recognized for the excess and recorded in the Consolidated Statements of Income not to exceed the carrying value of goodwill.</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performed our goodwill impairment analysis during the fourth quarter of 2020. As a result of increased capital expenditure investments in dark fiber and small cell projects and less than anticipated cash flow growth, we concluded that it was more likely than not that the fair value of the Fiber Infrastructure reporting unit, estimated using a combination of the income approach and market approach, is less that its carrying amount. Accordingly, we recorded a $71 million goodwill impairment in the Fiber Infrastructure reporting unit. During the years ended December 31, 2019 and 2018, no impairment losses were recognized.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Inherent in our preparation of cash flow projections are significant assumptions and estimates derived from a review of our operating results and business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plans, which includes expected revenue and expense growth rates, capital expenditure plans and cost of capital. In determining these assumptions,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 our ability to execute on our plans, future economic conditions, interest rates and other market data. Many of the factors used in assessing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are outside the control of management, and these assumptions and estimates may change in future periods. Small changes in these assumptions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estimates could materially affect our cash flow projections, and therefore could affect the likelihood and amount of potential impairment in future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periods. Potential events that could negatively impact these assumptions or estimates may include customer losses or poor execution of our business plans,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impact revenue growth, cost escalation impacting margin, the level of capital expenditures required to sustain our growth and market factors,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stock price fluctuations and increased rates, impacting our cost of capital. For example, if we were to experience a significant delay in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permitting process in the construction of our fiber networks, the timing of effected cash flows could impact long term growth rates and negatively impact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income approach, leading to potential impairment. As a result, should our expectations of average projected revenue growth percentage, average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projected EBITDA margin percentage and/or average projected capital expenditures as a percentage of revenue change, we may experience future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impairment to goodwill (while other assumptions remain constant). Furthermore, a deterioration in market factors such as stock prices or increased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rates, and/or declines in acquisition multiples utilized in the market approach could affect the likelihood and amount of potential impairment.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—Outstanding restricted stock awards that contain rights to non-forfeitable dividends are deemed to be participating securities, requiring the application of the two-class method of computing basic and dilutive earnings per share.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Basic earnings per share includes only the weighted average number of common shares outstanding during the period. Dilutive earnings per share includes the weighted average number of common shares and the dilutive effect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10"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of restricted stock and performance-based awards outstanding during the period, when such awards are dilutive. See </w:t>
      </w:r>
      <w:r>
        <w:rPr>
          <w:rFonts w:ascii="Arial" w:cs="Arial" w:eastAsia="Arial" w:hAnsi="Arial"/>
          <w:sz w:val="21"/>
          <w:szCs w:val="21"/>
          <w:color w:val="auto"/>
        </w:rPr>
        <w:t>Note 1</w:t>
      </w:r>
      <w:hyperlink w:anchor="page1">
        <w:r>
          <w:rPr>
            <w:rFonts w:ascii="Arial" w:cs="Arial" w:eastAsia="Arial" w:hAnsi="Arial"/>
            <w:sz w:val="21"/>
            <w:szCs w:val="21"/>
            <w:u w:val="single" w:color="auto"/>
            <w:color w:val="0000EE"/>
          </w:rPr>
          <w:t>5</w:t>
        </w:r>
      </w:hyperlink>
      <w:hyperlink w:anchor="page110">
        <w:r>
          <w:rPr>
            <w:rFonts w:ascii="Arial" w:cs="Arial" w:eastAsia="Arial" w:hAnsi="Arial"/>
            <w:sz w:val="18"/>
            <w:szCs w:val="18"/>
            <w:u w:val="single" w:color="auto"/>
            <w:color w:val="0000EE"/>
          </w:rPr>
          <w:t>.</w:t>
        </w:r>
      </w:hyperlink>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Concentration of Credit Risks</w:t>
      </w:r>
      <w:r>
        <w:rPr>
          <w:rFonts w:ascii="Arial" w:cs="Arial" w:eastAsia="Arial" w:hAnsi="Arial"/>
          <w:sz w:val="18"/>
          <w:szCs w:val="18"/>
          <w:color w:val="auto"/>
        </w:rPr>
        <w:t>—Revenue under the Master Lease and the Windstream Leases provided 65.8% of our revenue for the year ended December 31, 2020, 65.0% of our revenue for the year ended December 31, 2019, and 68.2% of our revenue for the year ended December 31, 2018. Because a substantial portion of our revenue and cash flows are derived from lease payments by Windstream pursuant to the Windstream Leases, there could be a material adverse impact on our consolidated results of operations, liquidity, financial condition and/or ability to pay dividends and service debt if Windstream were to default under the Windstream Leases or otherwise experiences operating or liquidity difficulties and becomes unable to generate sufficient cash to make payments to us.</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Prior to its emergence from bankruptcy on September 21, 2020, Windstream was a publicly traded company subject to the periodic filing requirements of the Securities Exchange Act of 1934, as amended (the “Exchange Act”). Windstream historic filings through their quarter ended June 30, 2020 can be found at www.sec.gov. On September 22, 2020, Windstream filed a Form 15 to terminate all filing obligations under Sections 12(g) and 15(d) under the Exchange Act. Windstream has posted certain information regarding its fourth quarter and full year 2020 results on the investor relations page of its website, which can be found at https://investor.windstream.com. Neither Windstream filings nor the information available on the investor relations page of its website are incorporated by reference in this Annual Report on Form 10-K.</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the date of this Annual Report on Form 10-K,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These ratings were both upgrades from Windstream’s pre-bankruptcy ratings. In order to assist us in our continuing assessment of Windstream’s creditworthiness, we periodically receive certain confidential financial information and metrics from Windstream.</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Reclassifications—Certain prior year asset categories and related amounts in Note 5 have been reclassified to conform with current year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On June 16,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amends the accounting for credit losses affecting loans, debt securities, trade receivables, net investments in leases,</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other financial asset not excluded from the scope that have the contractual right to receive cash. We adopted ASU 2016-13 effective January 1, 2020, and there was no material impact on our financial statements and related disclosures.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470- 20)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w:t>
      </w:r>
      <w:r>
        <w:rPr>
          <w:rFonts w:ascii="Arial" w:cs="Arial" w:eastAsia="Arial" w:hAnsi="Arial"/>
          <w:sz w:val="17"/>
          <w:szCs w:val="17"/>
          <w:color w:val="auto"/>
        </w:rPr>
        <w:t>(“ASU 2020-06”),</w:t>
      </w:r>
      <w:r>
        <w:rPr>
          <w:rFonts w:ascii="Arial" w:cs="Arial" w:eastAsia="Arial" w:hAnsi="Arial"/>
          <w:sz w:val="17"/>
          <w:szCs w:val="17"/>
          <w:i w:val="1"/>
          <w:iCs w:val="1"/>
          <w:color w:val="auto"/>
        </w:rPr>
        <w:t xml:space="preserve"> </w:t>
      </w:r>
      <w:r>
        <w:rPr>
          <w:rFonts w:ascii="Arial" w:cs="Arial" w:eastAsia="Arial" w:hAnsi="Arial"/>
          <w:sz w:val="17"/>
          <w:szCs w:val="17"/>
          <w:color w:val="auto"/>
        </w:rPr>
        <w:t>which simplifies the accounting for certain financial instruments with characteristics of liabilities and equity. ASU 2020-06 (1) simplifies the accounting for convertible debt instruments and convertible preferred stock by removing the existing guidance in ASC 470-20, Debt: Debt with Conversion and Other Options, that requires entities to account for beneficial conversion features and cash conversion features in equity, separately from the host convertible debt or preferred stock; (2) revises the scope exception from derivative accounting in ASC 815-40 for freestanding financial instruments and embedded features that are both indexed to the issuer’s own stock and classified in stockholders’ equity, by removing certain criteria required for equity classification; and (3) revises the guidance in ASC 260, Earnings Per Share, to require entities to calculate diluted earnings per share (“EPS”) for convertible instruments by using the if-converted method.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entities must presume share settlement for purposes of calculating diluted EPS when an instrument may be settled in cash or shares. ASU 2020-06 is effective for fiscal years beginning after December 15, 2021, and interim periods within those fiscal years, with early adoption permitted. We adopted ASU 2020-06 effective January 1, 2021, using the modified retrospective method, whereby the cumulative effect of applying ASU 2020-06 is recognized as an adjustment to the opening balance of equity at January 1, 2021. We recorded a net decrease to opening additional paid in capital of $59.4 million as of January 1, 2021 due to the cumulative impact of adopting ASU 2020-06, with the impact primarily related to the reclassification of Exchangeable Notes’ conversion feature’s fair value from additional paid in capital to notes and other debt, net. Additionally, we recorded an increase to opening retained earnings of $14.6 million as of January 1, 2021 due to the cumulative impact of adopting ASU 2020-06, with the impact related to the reclassification of the previously amortized discount and deferred financing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goods and services</w:t>
      </w:r>
    </w:p>
    <w:p>
      <w:pPr>
        <w:spacing w:after="0" w:line="225"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The following is a description of principal activities, separated by reportable segments (</w:t>
      </w:r>
      <w:hyperlink w:anchor="page112">
        <w:r>
          <w:rPr>
            <w:rFonts w:ascii="Arial" w:cs="Arial" w:eastAsia="Arial" w:hAnsi="Arial"/>
            <w:sz w:val="16"/>
            <w:szCs w:val="16"/>
            <w:u w:val="single" w:color="auto"/>
            <w:color w:val="0000EE"/>
          </w:rPr>
          <w:t>see Note 1</w:t>
        </w:r>
      </w:hyperlink>
      <w:r>
        <w:rPr>
          <w:rFonts w:ascii="Arial" w:cs="Arial" w:eastAsia="Arial" w:hAnsi="Arial"/>
          <w:sz w:val="16"/>
          <w:szCs w:val="16"/>
          <w:color w:val="auto"/>
        </w:rPr>
        <w:t>6), from which the Company generates its revenues.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w:t>
      </w:r>
    </w:p>
    <w:p>
      <w:pPr>
        <w:spacing w:after="0" w:line="225" w:lineRule="exact"/>
        <w:rPr>
          <w:sz w:val="20"/>
          <w:szCs w:val="20"/>
          <w:color w:val="auto"/>
        </w:rPr>
      </w:pPr>
    </w:p>
    <w:p>
      <w:pPr>
        <w:ind w:right="2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Leasing revenue represents the results from our leasing program, Uniti Leasing, which is engaged in the acquisition of mission-critical communications assets and leasing them to anchor customers on either an exclusive or shared-tenant basis. </w:t>
      </w:r>
      <w:hyperlink w:anchor="page85">
        <w:r>
          <w:rPr>
            <w:rFonts w:ascii="Arial" w:cs="Arial" w:eastAsia="Arial" w:hAnsi="Arial"/>
            <w:sz w:val="18"/>
            <w:szCs w:val="18"/>
            <w:u w:val="single" w:color="auto"/>
            <w:color w:val="auto"/>
          </w:rPr>
          <w:t>See Note 3 and Note 5</w:t>
        </w:r>
      </w:hyperlink>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Fiber Infrastructure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Fiber Infrastructure segment represents the operations of our fiber business, Uniti Fiber, which provides:</w:t>
      </w:r>
    </w:p>
    <w:p>
      <w:pPr>
        <w:spacing w:after="0" w:line="225" w:lineRule="exact"/>
        <w:rPr>
          <w:sz w:val="20"/>
          <w:szCs w:val="20"/>
          <w:color w:val="auto"/>
        </w:rPr>
      </w:pPr>
    </w:p>
    <w:p>
      <w:pPr>
        <w:ind w:left="1300" w:right="120" w:hanging="860"/>
        <w:spacing w:after="0" w:line="311"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Consumer, enterprise, wholesale, and backhaul lit fiber revenue is recognized over the life of the contracts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48" w:lineRule="exact"/>
        <w:rPr>
          <w:rFonts w:ascii="Arial" w:cs="Arial" w:eastAsia="Arial" w:hAnsi="Arial"/>
          <w:sz w:val="16"/>
          <w:szCs w:val="16"/>
          <w:color w:val="auto"/>
        </w:rPr>
      </w:pPr>
    </w:p>
    <w:p>
      <w:pPr>
        <w:ind w:left="1300" w:right="80" w:hanging="860"/>
        <w:spacing w:after="0" w:line="259"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E-rate contracts involve providing lit fiber services to schools and libraries, and revenue is recognized over the life of the contract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86" w:lineRule="exact"/>
        <w:rPr>
          <w:rFonts w:ascii="Arial" w:cs="Arial" w:eastAsia="Arial" w:hAnsi="Arial"/>
          <w:sz w:val="18"/>
          <w:szCs w:val="18"/>
          <w:color w:val="auto"/>
        </w:rPr>
      </w:pPr>
    </w:p>
    <w:p>
      <w:pPr>
        <w:ind w:left="1300" w:right="20" w:hanging="860"/>
        <w:spacing w:after="0" w:line="25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Small cell contracts provide improved network connection to areas that may not require or accommodate a tower. Small cell arrangements typically contain five streams of revenue: site development, radio frequency (“RF”) design, dark fiber lease, construction services, and maintenance services. Site development, RF design and construction are each separate services and are considered distinct performance obligations. Dark fiber and associated maintenance services constitute a lease, and as such, revenue is recognized under the leasing guidance.</w:t>
      </w:r>
    </w:p>
    <w:p>
      <w:pPr>
        <w:spacing w:after="0" w:line="187" w:lineRule="exact"/>
        <w:rPr>
          <w:rFonts w:ascii="Arial" w:cs="Arial" w:eastAsia="Arial" w:hAnsi="Arial"/>
          <w:sz w:val="18"/>
          <w:szCs w:val="18"/>
          <w:color w:val="auto"/>
        </w:rPr>
      </w:pPr>
    </w:p>
    <w:p>
      <w:pPr>
        <w:ind w:left="1300" w:right="20" w:hanging="860"/>
        <w:spacing w:after="0" w:line="25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Construction revenue is generated from contracts to provide various construction services such as equipment installation or the laying of fiber. Construction revenue is recognized over time as construction activities occur as we are either enhancing a customer’s owned asset or constructing an asset with no alternative use to us and we would be entitled to our costs plus a reasonable profit margin if the contract was terminated early by the customer. We are utilizing our costs incurred as the measure of progress of satisfying our performance obligation.</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300" w:right="80" w:hanging="860"/>
        <w:spacing w:after="0" w:line="259"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Dark fiber arrangements represent operating leases and revenue is recognized under the leasing guidance. When (i) a customer makes an advance payment or (ii) a customer is contractually obligated to pay any amounts in advance, which is not deemed a separate performance obligation, deferred leasing revenue is recorded. This leasing revenue is recognized ratably over the expected term of the contract, unless the pattern of service suggests otherwise.</w:t>
      </w:r>
    </w:p>
    <w:p>
      <w:pPr>
        <w:spacing w:after="0" w:line="186" w:lineRule="exact"/>
        <w:rPr>
          <w:rFonts w:ascii="Arial" w:cs="Arial" w:eastAsia="Arial" w:hAnsi="Arial"/>
          <w:sz w:val="18"/>
          <w:szCs w:val="18"/>
          <w:color w:val="auto"/>
        </w:rPr>
      </w:pPr>
    </w:p>
    <w:p>
      <w:pPr>
        <w:ind w:left="1300" w:right="240" w:hanging="860"/>
        <w:spacing w:after="0" w:line="244" w:lineRule="auto"/>
        <w:tabs>
          <w:tab w:leader="none" w:pos="130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Company generates revenues from other services, such as consultation services and equipment sales. Revenue from the sale of customer premise equipment and modems that are not provided as an essential part of the telecommunications services, including broadband, long distance, and enhanced services is recognized when products are delivered to and accepted by the customer. Revenue from customer premise equipment and modems provided as an essential part of the telecommunications services, including broadband, long distance, and enhanced services are recognized over time in a pattern that reflects the satisfaction of the service performance obligation.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Towers segment represents the operations of our former towers business, Uniti Towers, through which we acquired and constructed tower and tower-related real estate, which we then leased to our customers in the United States. Revenue from our towers business revenue is recognized under the leasing guidance. On June 1, 2020, the Company completed the sale of its U.S. tower business to Melody Investment Advisors LP (“Melody”) for total cash consideration of $225.8 million. The Company retained a 10% investment interest in the tower business through a newly formed limited partnership with Melody. See Note 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CLEC</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Consumer CLEC segment represents the operations of Talk America Services (“Talk America”), which provided local telephone, high-speed internet and long-distance services to customers in the eastern and central United States. Customers were billed monthly for services rendered based on actual usage or contracted amounts. The transaction price is equal to the monthly-recurring charge multiplied by the initial contract term (typically 12 months), plus any non-recurring or variable charges. In 2019, we commenced a wind down of our Consumer CLEC business, which we substantially completed during the second quarter of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revenue stream.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1"/>
              </w:rPr>
              <w:t>Year Ended December 31,</w:t>
            </w: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12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 disaggregated by revenue stream</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Revenue from contracts with customers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Fiber Infrastructure</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380"/>
              <w:spacing w:after="0"/>
              <w:rPr>
                <w:sz w:val="20"/>
                <w:szCs w:val="20"/>
                <w:color w:val="auto"/>
              </w:rPr>
            </w:pPr>
            <w:r>
              <w:rPr>
                <w:rFonts w:ascii="Arial" w:cs="Arial" w:eastAsia="Arial" w:hAnsi="Arial"/>
                <w:sz w:val="18"/>
                <w:szCs w:val="18"/>
                <w:color w:val="auto"/>
              </w:rPr>
              <w:t>Lit backhaul</w:t>
            </w:r>
          </w:p>
        </w:tc>
        <w:tc>
          <w:tcPr>
            <w:tcW w:w="172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106,125</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125,983</w:t>
            </w:r>
          </w:p>
        </w:tc>
        <w:tc>
          <w:tcPr>
            <w:tcW w:w="260" w:type="dxa"/>
            <w:vAlign w:val="bottom"/>
          </w:tcPr>
          <w:p>
            <w:pPr>
              <w:spacing w:after="0"/>
              <w:rPr>
                <w:sz w:val="19"/>
                <w:szCs w:val="19"/>
                <w:color w:val="auto"/>
              </w:rPr>
            </w:pPr>
          </w:p>
        </w:tc>
        <w:tc>
          <w:tcPr>
            <w:tcW w:w="380" w:type="dxa"/>
            <w:vAlign w:val="bottom"/>
            <w:gridSpan w:val="2"/>
          </w:tcPr>
          <w:p>
            <w:pPr>
              <w:jc w:val="right"/>
              <w:ind w:right="187"/>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132,361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Enterprise and wholesale</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78,702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66,545</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380"/>
              <w:spacing w:after="0"/>
              <w:rPr>
                <w:sz w:val="20"/>
                <w:szCs w:val="20"/>
                <w:color w:val="auto"/>
              </w:rPr>
            </w:pPr>
            <w:r>
              <w:rPr>
                <w:rFonts w:ascii="Arial" w:cs="Arial" w:eastAsia="Arial" w:hAnsi="Arial"/>
                <w:sz w:val="18"/>
                <w:szCs w:val="18"/>
                <w:color w:val="auto"/>
              </w:rPr>
              <w:t>E-Rate and government</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80,428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89,430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2,402</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140"/>
              <w:spacing w:after="0"/>
              <w:rPr>
                <w:sz w:val="20"/>
                <w:szCs w:val="20"/>
                <w:color w:val="auto"/>
              </w:rPr>
            </w:pPr>
            <w:r>
              <w:rPr>
                <w:rFonts w:ascii="Arial" w:cs="Arial" w:eastAsia="Arial" w:hAnsi="Arial"/>
                <w:sz w:val="18"/>
                <w:szCs w:val="18"/>
                <w:color w:val="auto"/>
              </w:rPr>
              <w:t>Fiber Infrastructure</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269,596</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284,360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275,124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Leasing</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Consumer CLEC</w:t>
            </w:r>
          </w:p>
        </w:tc>
        <w:tc>
          <w:tcPr>
            <w:tcW w:w="12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10,673</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revenue from contracts with customers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271,667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295,033</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accounted for under leasing guidance</w:t>
            </w:r>
          </w:p>
        </w:tc>
        <w:tc>
          <w:tcPr>
            <w:tcW w:w="12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795,374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762,578</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1,067,041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1,057,611</w:t>
            </w:r>
          </w:p>
        </w:tc>
        <w:tc>
          <w:tcPr>
            <w:tcW w:w="2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1,017,634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86</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46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December 31, 2020 and 2019, lease receivables were $17.5 million and $28.8 million, respectively, and receivables from contracts with customers were $45.1 million and $48.6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(Unbilled Revenue) and Liabilities (Deferred Revenue)</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Contract assets primarily consist of unbilled construction revenue where we are utilizing our costs incurred as the measure of progress of satisfying our performance obligation.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years ended December 31, 2020, 2019, and 2018, we recognized revenues of $5.4, $4.7, and $14.7 million, respectively that was included in the December 31, 2019, December 31, 2018, and January 1, 2018 contract liabilities balance,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accounted for under Topic 606.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b w:val="1"/>
                <w:bCs w:val="1"/>
                <w:color w:val="auto"/>
              </w:rPr>
              <w:t>Contract Assets</w:t>
            </w:r>
          </w:p>
        </w:tc>
        <w:tc>
          <w:tcPr>
            <w:tcW w:w="14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 Liabilities</w:t>
            </w:r>
          </w:p>
        </w:tc>
      </w:tr>
      <w:tr>
        <w:trPr>
          <w:trHeight w:val="223"/>
        </w:trPr>
        <w:tc>
          <w:tcPr>
            <w:tcW w:w="6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11,535</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18,601</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Remaining Performance Obligations</w:t>
      </w:r>
    </w:p>
    <w:p>
      <w:pPr>
        <w:spacing w:after="0" w:line="225"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Performance obligations within contracts to stand ready to provide services are typically satisfied over time or as those services are provided. Contract assets primarily relate to costs incremental to obtaining contracts and contract liabilities primarily relate to deferred revenue from non-recurring</w:t>
      </w:r>
    </w:p>
    <w:p>
      <w:pPr>
        <w:ind w:right="20"/>
        <w:spacing w:after="0" w:line="253" w:lineRule="auto"/>
        <w:rPr>
          <w:sz w:val="20"/>
          <w:szCs w:val="20"/>
          <w:color w:val="auto"/>
        </w:rPr>
      </w:pPr>
      <w:r>
        <w:rPr>
          <w:rFonts w:ascii="Arial" w:cs="Arial" w:eastAsia="Arial" w:hAnsi="Arial"/>
          <w:sz w:val="18"/>
          <w:szCs w:val="18"/>
          <w:color w:val="auto"/>
        </w:rPr>
        <w:t>charges. The deferred revenue is recognized, and the liability reduced, over the contract term as the Company completes the performance obligation. As of December 31, 2020, our future revenues (i.e. transaction price related to remaining performance obligations) under contract accounted for under Topic 606 totaled $476.6 million, of which $406.0 million is related to contracts that are currently being invoiced and have an average remaining contract term of 1.8 years, while $70.6 million represents our backlog for sales bookings which have yet to be installed and have an average remaining contract term of 6.9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Under Topic 606 and Topic 340, </w:t>
      </w:r>
      <w:r>
        <w:rPr>
          <w:rFonts w:ascii="Arial" w:cs="Arial" w:eastAsia="Arial" w:hAnsi="Arial"/>
          <w:sz w:val="18"/>
          <w:szCs w:val="18"/>
          <w:i w:val="1"/>
          <w:iCs w:val="1"/>
          <w:color w:val="auto"/>
        </w:rPr>
        <w:t>Other Assets and Deferred Costs</w:t>
      </w:r>
      <w:r>
        <w:rPr>
          <w:rFonts w:ascii="Arial" w:cs="Arial" w:eastAsia="Arial" w:hAnsi="Arial"/>
          <w:sz w:val="18"/>
          <w:szCs w:val="18"/>
          <w:color w:val="auto"/>
        </w:rPr>
        <w:t>, we capitalize commission fees as costs of obtaining a contract when those commissions are incremental and expected to be recovered from the revenue contract and we amortize those capitalized costs consistent with the pattern of transfer of the product or service to which the capitalized costs relate. The amortization of these costs are included in general and administrative expense on the Consolidated Statements of (Loss)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Practical Expedients and Exemptions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disclose the value of unsatisfied performance obligations for contracts that have an original expected duration of one year or less.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exclude from the transaction price any amounts collected from customers for sales taxes and therefore, they are not included in revenue.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lease communications towers, ground, communications equipment, and dark fiber to tenants under operating leases. Our leases have initial lease terms ranging from less than one year to 35 years, most of which include options to extend or renew the leases for less than one year to 20 years (based on the satisfaction of certain conditions as defined in the lease agreements),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for the years ended December 31, 2020 and 2019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4"/>
                <w:szCs w:val="14"/>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682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Pr>
          <w:p>
            <w:pPr>
              <w:spacing w:after="0"/>
              <w:rPr>
                <w:sz w:val="14"/>
                <w:szCs w:val="14"/>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r>
      <w:tr>
        <w:trPr>
          <w:trHeight w:val="223"/>
        </w:trPr>
        <w:tc>
          <w:tcPr>
            <w:tcW w:w="6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Lease income - operating leases</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795,374</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762,578</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Lease payments to be received under non-cancellable operating leases where we are the lessor for the remainder of the lease terms are as of December 31, 2020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20" w:type="dxa"/>
            <w:vAlign w:val="bottom"/>
          </w:tcPr>
          <w:p>
            <w:pPr>
              <w:spacing w:after="0"/>
              <w:rPr>
                <w:sz w:val="14"/>
                <w:szCs w:val="14"/>
                <w:color w:val="auto"/>
              </w:rPr>
            </w:pPr>
          </w:p>
        </w:tc>
        <w:tc>
          <w:tcPr>
            <w:tcW w:w="2240" w:type="dxa"/>
            <w:vAlign w:val="bottom"/>
            <w:gridSpan w:val="2"/>
          </w:tcPr>
          <w:p>
            <w:pPr>
              <w:ind w:left="220"/>
              <w:spacing w:after="0"/>
              <w:rPr>
                <w:sz w:val="20"/>
                <w:szCs w:val="20"/>
                <w:color w:val="auto"/>
              </w:rPr>
            </w:pPr>
            <w:r>
              <w:rPr>
                <w:rFonts w:ascii="Arial" w:cs="Arial" w:eastAsia="Arial" w:hAnsi="Arial"/>
                <w:sz w:val="14"/>
                <w:szCs w:val="14"/>
                <w:b w:val="1"/>
                <w:bCs w:val="1"/>
                <w:color w:val="auto"/>
              </w:rPr>
              <w:t xml:space="preserve">December 31, 2020 </w:t>
            </w:r>
            <w:r>
              <w:rPr>
                <w:rFonts w:ascii="Arial" w:cs="Arial" w:eastAsia="Arial" w:hAnsi="Arial"/>
                <w:sz w:val="12"/>
                <w:szCs w:val="12"/>
                <w:b w:val="1"/>
                <w:bCs w:val="1"/>
                <w:color w:val="auto"/>
              </w:rPr>
              <w:t>(1)</w:t>
            </w:r>
          </w:p>
        </w:tc>
      </w:tr>
      <w:tr>
        <w:trPr>
          <w:trHeight w:val="223"/>
        </w:trPr>
        <w:tc>
          <w:tcPr>
            <w:tcW w:w="8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737,233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745,132</w:t>
            </w:r>
          </w:p>
        </w:tc>
        <w:tc>
          <w:tcPr>
            <w:tcW w:w="120" w:type="dxa"/>
            <w:vAlign w:val="bottom"/>
          </w:tcPr>
          <w:p>
            <w:pPr>
              <w:spacing w:after="0"/>
              <w:rPr>
                <w:sz w:val="19"/>
                <w:szCs w:val="19"/>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746,151</w:t>
            </w:r>
          </w:p>
        </w:tc>
        <w:tc>
          <w:tcPr>
            <w:tcW w:w="120" w:type="dxa"/>
            <w:vAlign w:val="bottom"/>
            <w:shd w:val="clear" w:color="auto" w:fill="CFF0FC"/>
          </w:tcPr>
          <w:p>
            <w:pPr>
              <w:spacing w:after="0"/>
              <w:rPr>
                <w:sz w:val="19"/>
                <w:szCs w:val="19"/>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746,448</w:t>
            </w: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747,257</w:t>
            </w:r>
          </w:p>
        </w:tc>
        <w:tc>
          <w:tcPr>
            <w:tcW w:w="120" w:type="dxa"/>
            <w:vAlign w:val="bottom"/>
            <w:shd w:val="clear" w:color="auto" w:fill="CFF0FC"/>
          </w:tcPr>
          <w:p>
            <w:pPr>
              <w:spacing w:after="0"/>
              <w:rPr>
                <w:sz w:val="19"/>
                <w:szCs w:val="19"/>
                <w:color w:val="auto"/>
              </w:rPr>
            </w:pPr>
          </w:p>
        </w:tc>
      </w:tr>
      <w:tr>
        <w:trPr>
          <w:trHeight w:val="229"/>
        </w:trPr>
        <w:tc>
          <w:tcPr>
            <w:tcW w:w="8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3,625,031</w:t>
            </w:r>
          </w:p>
        </w:tc>
        <w:tc>
          <w:tcPr>
            <w:tcW w:w="120" w:type="dxa"/>
            <w:vAlign w:val="bottom"/>
            <w:tcBorders>
              <w:bottom w:val="single" w:sz="8" w:color="CFF0FC"/>
            </w:tcBorders>
          </w:tcPr>
          <w:p>
            <w:pPr>
              <w:spacing w:after="0"/>
              <w:rPr>
                <w:sz w:val="19"/>
                <w:szCs w:val="19"/>
                <w:color w:val="auto"/>
              </w:rPr>
            </w:pPr>
          </w:p>
        </w:tc>
      </w:tr>
      <w:tr>
        <w:trPr>
          <w:trHeight w:val="223"/>
        </w:trPr>
        <w:tc>
          <w:tcPr>
            <w:tcW w:w="8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lease receivables</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7,347,252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Total future minimum lease payments to be received include $6.3 billion relating to the Master Lease with Windstream.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underlying assets under operating leases where we are the lessor as of December 31, 2020 and 2019 are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4"/>
                <w:szCs w:val="14"/>
                <w:color w:val="auto"/>
              </w:rPr>
            </w:pPr>
          </w:p>
        </w:tc>
        <w:tc>
          <w:tcPr>
            <w:tcW w:w="1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6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26,596</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335,495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341,096</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Real property interest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Poles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266,758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258,535</w:t>
            </w: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Fiber</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2,994,465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2,836,939</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Equipment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Copper</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3,850,988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3,792,366</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Conduit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89,773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89,770</w:t>
            </w: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Tower assets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168,453</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Finance lease assets</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32,660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32,660</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10,425</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10,279</w:t>
            </w:r>
          </w:p>
        </w:tc>
        <w:tc>
          <w:tcPr>
            <w:tcW w:w="100" w:type="dxa"/>
            <w:vAlign w:val="bottom"/>
            <w:shd w:val="clear" w:color="auto" w:fill="CFF0FC"/>
          </w:tcPr>
          <w:p>
            <w:pPr>
              <w:spacing w:after="0"/>
              <w:rPr>
                <w:sz w:val="19"/>
                <w:szCs w:val="19"/>
                <w:color w:val="auto"/>
              </w:rPr>
            </w:pPr>
          </w:p>
        </w:tc>
      </w:tr>
      <w:tr>
        <w:trPr>
          <w:trHeight w:val="223"/>
        </w:trPr>
        <w:tc>
          <w:tcPr>
            <w:tcW w:w="6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7,608,978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7,557,909</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(5,222,731)</w:t>
            </w:r>
          </w:p>
        </w:tc>
        <w:tc>
          <w:tcPr>
            <w:tcW w:w="2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(5,033,080)</w:t>
            </w:r>
          </w:p>
        </w:tc>
      </w:tr>
      <w:tr>
        <w:trPr>
          <w:trHeight w:val="224"/>
        </w:trPr>
        <w:tc>
          <w:tcPr>
            <w:tcW w:w="6820" w:type="dxa"/>
            <w:vAlign w:val="bottom"/>
          </w:tcPr>
          <w:p>
            <w:pPr>
              <w:spacing w:after="0"/>
              <w:rPr>
                <w:sz w:val="20"/>
                <w:szCs w:val="20"/>
                <w:color w:val="auto"/>
              </w:rPr>
            </w:pPr>
            <w:r>
              <w:rPr>
                <w:rFonts w:ascii="Arial" w:cs="Arial" w:eastAsia="Arial" w:hAnsi="Arial"/>
                <w:sz w:val="18"/>
                <w:szCs w:val="18"/>
                <w:color w:val="auto"/>
              </w:rPr>
              <w:t>Underlying assets under operating leases, net</w:t>
            </w:r>
          </w:p>
        </w:tc>
        <w:tc>
          <w:tcPr>
            <w:tcW w:w="16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2,386,247</w:t>
            </w:r>
          </w:p>
        </w:tc>
        <w:tc>
          <w:tcPr>
            <w:tcW w:w="26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2,524,829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0</wp:posOffset>
            </wp:positionV>
            <wp:extent cx="263144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631440" cy="25400"/>
                    </a:xfrm>
                    <a:prstGeom prst="rect">
                      <a:avLst/>
                    </a:prstGeom>
                    <a:noFill/>
                  </pic:spPr>
                </pic:pic>
              </a:graphicData>
            </a:graphic>
          </wp:anchor>
        </w:drawing>
      </w:r>
    </w:p>
    <w:p>
      <w:pPr>
        <w:spacing w:after="0" w:line="19"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Includes $4.5 million assets under operating leases in Held for Sale as of December 31, 2020</w:t>
      </w:r>
    </w:p>
    <w:p>
      <w:pPr>
        <w:spacing w:after="0" w:line="23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Depreciation expense for the underlying assets under operating leases where we are the lessor for the years ended December 31, 2020 and 2019 is summarized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4"/>
                <w:szCs w:val="14"/>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682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Pr>
          <w:p>
            <w:pPr>
              <w:spacing w:after="0"/>
              <w:rPr>
                <w:sz w:val="14"/>
                <w:szCs w:val="14"/>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r>
      <w:tr>
        <w:trPr>
          <w:trHeight w:val="223"/>
        </w:trPr>
        <w:tc>
          <w:tcPr>
            <w:tcW w:w="6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Depreciation expense for underlying assets under operating leases</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209,946</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293,899</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We have commitments under operating leases for communications towers, ground, colocation and dark fiber lease arrangements. We also have finance leases for dark fiber lease arrangements and other communications equipment. Our leases have initial lease terms ranging from less than one</w:t>
      </w:r>
    </w:p>
    <w:p>
      <w:pPr>
        <w:jc w:val="both"/>
        <w:ind w:right="60"/>
        <w:spacing w:after="0" w:line="255" w:lineRule="auto"/>
        <w:rPr>
          <w:sz w:val="20"/>
          <w:szCs w:val="20"/>
          <w:color w:val="auto"/>
        </w:rPr>
      </w:pPr>
      <w:r>
        <w:rPr>
          <w:rFonts w:ascii="Arial" w:cs="Arial" w:eastAsia="Arial" w:hAnsi="Arial"/>
          <w:sz w:val="18"/>
          <w:szCs w:val="18"/>
          <w:color w:val="auto"/>
        </w:rPr>
        <w:t>year to 30 years, most of which includes options to extend or renew the leases for less than one year to 20 years,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we have short term lease commitments amounting to approximately $2.0 million, for colocation and dark fiber arrangements.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components of lease cost are presented within general and administrative expense and operating expense, while sublease income is presented within revenues in our Consolidated Statements of Income for the years ended December 31, 2020 and 2019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82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4"/>
                <w:szCs w:val="14"/>
                <w:color w:val="auto"/>
              </w:rPr>
            </w:pPr>
          </w:p>
        </w:tc>
        <w:tc>
          <w:tcPr>
            <w:tcW w:w="1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6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Finance lease cost</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8"/>
                <w:szCs w:val="18"/>
                <w:color w:val="auto"/>
              </w:rPr>
              <w:t>Amortization of ROU assets</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3,702</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Interest on lease liabilities</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3,807</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FF0FC"/>
          </w:tcPr>
          <w:p>
            <w:pPr>
              <w:spacing w:after="0"/>
              <w:rPr>
                <w:sz w:val="19"/>
                <w:szCs w:val="19"/>
                <w:color w:val="auto"/>
              </w:rPr>
            </w:pPr>
          </w:p>
        </w:tc>
      </w:tr>
      <w:tr>
        <w:trPr>
          <w:trHeight w:val="223"/>
        </w:trPr>
        <w:tc>
          <w:tcPr>
            <w:tcW w:w="6820" w:type="dxa"/>
            <w:vAlign w:val="bottom"/>
          </w:tcPr>
          <w:p>
            <w:pPr>
              <w:ind w:left="240"/>
              <w:spacing w:after="0"/>
              <w:rPr>
                <w:sz w:val="20"/>
                <w:szCs w:val="20"/>
                <w:color w:val="auto"/>
              </w:rPr>
            </w:pPr>
            <w:r>
              <w:rPr>
                <w:rFonts w:ascii="Arial" w:cs="Arial" w:eastAsia="Arial" w:hAnsi="Arial"/>
                <w:sz w:val="18"/>
                <w:szCs w:val="18"/>
                <w:color w:val="auto"/>
              </w:rPr>
              <w:t>Total finance lease cost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7,509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8,466</w:t>
            </w: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24,080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26,446</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Short-term lease cost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8"/>
                <w:szCs w:val="18"/>
                <w:color w:val="auto"/>
              </w:rPr>
              <w:t>Less sublease income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(12,273)</w:t>
            </w:r>
          </w:p>
        </w:tc>
        <w:tc>
          <w:tcPr>
            <w:tcW w:w="24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(12,354)</w:t>
            </w:r>
          </w:p>
        </w:tc>
      </w:tr>
      <w:tr>
        <w:trPr>
          <w:trHeight w:val="223"/>
        </w:trPr>
        <w:tc>
          <w:tcPr>
            <w:tcW w:w="6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22,024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Amounts reported in the Consolidated Balance Sheets for leases where we are the lessee as of December 31, 2020 and 2019 were as follows: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540" w:type="dxa"/>
            <w:vAlign w:val="bottom"/>
            <w:gridSpan w:val="2"/>
          </w:tcPr>
          <w:p>
            <w:pPr>
              <w:ind w:left="420"/>
              <w:spacing w:after="0"/>
              <w:rPr>
                <w:sz w:val="20"/>
                <w:szCs w:val="20"/>
                <w:color w:val="auto"/>
              </w:rPr>
            </w:pPr>
            <w:r>
              <w:rPr>
                <w:rFonts w:ascii="Arial" w:cs="Arial" w:eastAsia="Arial" w:hAnsi="Arial"/>
                <w:sz w:val="14"/>
                <w:szCs w:val="14"/>
                <w:b w:val="1"/>
                <w:bCs w:val="1"/>
                <w:color w:val="auto"/>
              </w:rPr>
              <w:t>Location on Consolidated Balance Sheets</w:t>
            </w:r>
          </w:p>
        </w:tc>
        <w:tc>
          <w:tcPr>
            <w:tcW w:w="200" w:type="dxa"/>
            <w:vAlign w:val="bottom"/>
          </w:tcPr>
          <w:p>
            <w:pPr>
              <w:spacing w:after="0"/>
              <w:rPr>
                <w:sz w:val="14"/>
                <w:szCs w:val="14"/>
                <w:color w:val="auto"/>
              </w:rPr>
            </w:pPr>
          </w:p>
        </w:tc>
        <w:tc>
          <w:tcPr>
            <w:tcW w:w="18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6"/>
              </w:rPr>
              <w:t>December 31, 2020</w:t>
            </w:r>
          </w:p>
        </w:tc>
        <w:tc>
          <w:tcPr>
            <w:tcW w:w="180" w:type="dxa"/>
            <w:vAlign w:val="bottom"/>
          </w:tcPr>
          <w:p>
            <w:pPr>
              <w:spacing w:after="0"/>
              <w:rPr>
                <w:sz w:val="14"/>
                <w:szCs w:val="1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Operating leases</w:t>
            </w:r>
          </w:p>
        </w:tc>
        <w:tc>
          <w:tcPr>
            <w:tcW w:w="160" w:type="dxa"/>
            <w:vAlign w:val="bottom"/>
            <w:tcBorders>
              <w:top w:val="single" w:sz="8" w:color="CFF0FC"/>
            </w:tcBorders>
            <w:shd w:val="clear" w:color="auto" w:fill="CFF0FC"/>
          </w:tcPr>
          <w:p>
            <w:pPr>
              <w:spacing w:after="0"/>
              <w:rPr>
                <w:sz w:val="19"/>
                <w:szCs w:val="19"/>
                <w:color w:val="auto"/>
              </w:rPr>
            </w:pPr>
          </w:p>
        </w:tc>
        <w:tc>
          <w:tcPr>
            <w:tcW w:w="33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spacing w:after="0"/>
              <w:rPr>
                <w:sz w:val="20"/>
                <w:szCs w:val="20"/>
                <w:color w:val="auto"/>
              </w:rPr>
            </w:pPr>
            <w:r>
              <w:rPr>
                <w:rFonts w:ascii="Arial" w:cs="Arial" w:eastAsia="Arial" w:hAnsi="Arial"/>
                <w:sz w:val="18"/>
                <w:szCs w:val="18"/>
                <w:color w:val="auto"/>
              </w:rPr>
              <w:t>ROU asset, net</w:t>
            </w:r>
            <w:r>
              <w:rPr>
                <w:rFonts w:ascii="Arial" w:cs="Arial" w:eastAsia="Arial" w:hAnsi="Arial"/>
                <w:sz w:val="15"/>
                <w:szCs w:val="15"/>
                <w:color w:val="auto"/>
              </w:rPr>
              <w:t>(1)</w:t>
            </w:r>
          </w:p>
        </w:tc>
        <w:tc>
          <w:tcPr>
            <w:tcW w:w="3540" w:type="dxa"/>
            <w:vAlign w:val="bottom"/>
            <w:gridSpan w:val="2"/>
          </w:tcPr>
          <w:p>
            <w:pPr>
              <w:spacing w:after="0"/>
              <w:rPr>
                <w:sz w:val="20"/>
                <w:szCs w:val="20"/>
                <w:color w:val="auto"/>
              </w:rPr>
            </w:pPr>
            <w:r>
              <w:rPr>
                <w:rFonts w:ascii="Arial" w:cs="Arial" w:eastAsia="Arial" w:hAnsi="Arial"/>
                <w:sz w:val="18"/>
                <w:szCs w:val="18"/>
                <w:color w:val="auto"/>
              </w:rPr>
              <w:t>Other assets,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97,850</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127,490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ROU liability</w:t>
            </w:r>
            <w:r>
              <w:rPr>
                <w:rFonts w:ascii="Arial" w:cs="Arial" w:eastAsia="Arial" w:hAnsi="Arial"/>
                <w:sz w:val="15"/>
                <w:szCs w:val="15"/>
                <w:color w:val="auto"/>
              </w:rPr>
              <w:t>(2)</w:t>
            </w:r>
          </w:p>
        </w:tc>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2"/>
              </w:rPr>
              <w:t>Accounts payable, accrued expenses and other</w:t>
            </w:r>
          </w:p>
        </w:tc>
        <w:tc>
          <w:tcPr>
            <w:tcW w:w="200" w:type="dxa"/>
            <w:vAlign w:val="bottom"/>
            <w:shd w:val="clear" w:color="auto" w:fill="CFF0FC"/>
          </w:tcPr>
          <w:p>
            <w:pPr>
              <w:spacing w:after="0"/>
              <w:rPr>
                <w:sz w:val="18"/>
                <w:szCs w:val="18"/>
                <w:color w:val="auto"/>
              </w:rPr>
            </w:pPr>
          </w:p>
        </w:tc>
        <w:tc>
          <w:tcPr>
            <w:tcW w:w="15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71,483</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127,879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54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liabilities, net</w:t>
            </w:r>
          </w:p>
        </w:tc>
        <w:tc>
          <w:tcPr>
            <w:tcW w:w="200" w:type="dxa"/>
            <w:vAlign w:val="bottom"/>
            <w:shd w:val="clear" w:color="auto" w:fill="CFF0FC"/>
          </w:tcPr>
          <w:p>
            <w:pPr>
              <w:spacing w:after="0"/>
              <w:rPr>
                <w:sz w:val="10"/>
                <w:szCs w:val="10"/>
                <w:color w:val="auto"/>
              </w:rPr>
            </w:pPr>
          </w:p>
        </w:tc>
        <w:tc>
          <w:tcPr>
            <w:tcW w:w="1540" w:type="dxa"/>
            <w:vAlign w:val="bottom"/>
            <w:vMerge w:val="continue"/>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560" w:type="dxa"/>
            <w:vAlign w:val="bottom"/>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5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540" w:type="dxa"/>
            <w:vAlign w:val="bottom"/>
            <w:gridSpan w:val="2"/>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Finance leases</w:t>
            </w:r>
          </w:p>
        </w:tc>
        <w:tc>
          <w:tcPr>
            <w:tcW w:w="3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ROU asset, gross</w:t>
            </w:r>
            <w:r>
              <w:rPr>
                <w:rFonts w:ascii="Arial" w:cs="Arial" w:eastAsia="Arial" w:hAnsi="Arial"/>
                <w:sz w:val="15"/>
                <w:szCs w:val="15"/>
                <w:color w:val="auto"/>
              </w:rPr>
              <w:t>(3)</w:t>
            </w:r>
          </w:p>
        </w:tc>
        <w:tc>
          <w:tcPr>
            <w:tcW w:w="35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128,098</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129,900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ROU liability</w:t>
            </w:r>
            <w:r>
              <w:rPr>
                <w:rFonts w:ascii="Arial" w:cs="Arial" w:eastAsia="Arial" w:hAnsi="Arial"/>
                <w:sz w:val="15"/>
                <w:szCs w:val="15"/>
                <w:color w:val="auto"/>
              </w:rPr>
              <w:t>(4)</w:t>
            </w:r>
          </w:p>
        </w:tc>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obligations</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48,724</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52,994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Weighted-average remaining lease term</w:t>
            </w:r>
          </w:p>
        </w:tc>
        <w:tc>
          <w:tcPr>
            <w:tcW w:w="3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color w:val="auto"/>
              </w:rPr>
              <w:t>12.2 years</w:t>
            </w:r>
          </w:p>
        </w:tc>
        <w:tc>
          <w:tcPr>
            <w:tcW w:w="18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11.8 years</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3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13.3 years</w:t>
            </w:r>
          </w:p>
        </w:tc>
        <w:tc>
          <w:tcPr>
            <w:tcW w:w="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13.9 years</w:t>
            </w: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Weighted-average discount rate</w:t>
            </w:r>
          </w:p>
        </w:tc>
        <w:tc>
          <w:tcPr>
            <w:tcW w:w="3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3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ind w:left="240" w:hanging="232"/>
        <w:spacing w:after="0"/>
        <w:tabs>
          <w:tab w:leader="none" w:pos="240" w:val="left"/>
        </w:tabs>
        <w:numPr>
          <w:ilvl w:val="0"/>
          <w:numId w:val="27"/>
        </w:numPr>
        <w:rPr>
          <w:rFonts w:ascii="Arial" w:cs="Arial" w:eastAsia="Arial" w:hAnsi="Arial"/>
          <w:sz w:val="15"/>
          <w:szCs w:val="15"/>
          <w:color w:val="auto"/>
        </w:rPr>
      </w:pPr>
      <w:r>
        <w:rPr>
          <w:rFonts w:ascii="Arial" w:cs="Arial" w:eastAsia="Arial" w:hAnsi="Arial"/>
          <w:sz w:val="18"/>
          <w:szCs w:val="18"/>
          <w:color w:val="auto"/>
        </w:rPr>
        <w:t>Includes $20.7 million ROU assets in Held for Sale as of December 31, 2020</w:t>
      </w:r>
    </w:p>
    <w:p>
      <w:pPr>
        <w:spacing w:after="0" w:line="35" w:lineRule="exact"/>
        <w:rPr>
          <w:rFonts w:ascii="Arial" w:cs="Arial" w:eastAsia="Arial" w:hAnsi="Arial"/>
          <w:sz w:val="15"/>
          <w:szCs w:val="15"/>
          <w:color w:val="auto"/>
        </w:rPr>
      </w:pPr>
    </w:p>
    <w:p>
      <w:pPr>
        <w:ind w:left="240" w:hanging="232"/>
        <w:spacing w:after="0"/>
        <w:tabs>
          <w:tab w:leader="none" w:pos="240" w:val="left"/>
        </w:tabs>
        <w:numPr>
          <w:ilvl w:val="0"/>
          <w:numId w:val="27"/>
        </w:numPr>
        <w:rPr>
          <w:rFonts w:ascii="Arial" w:cs="Arial" w:eastAsia="Arial" w:hAnsi="Arial"/>
          <w:sz w:val="15"/>
          <w:szCs w:val="15"/>
          <w:color w:val="auto"/>
        </w:rPr>
      </w:pPr>
      <w:r>
        <w:rPr>
          <w:rFonts w:ascii="Arial" w:cs="Arial" w:eastAsia="Arial" w:hAnsi="Arial"/>
          <w:sz w:val="18"/>
          <w:szCs w:val="18"/>
          <w:color w:val="auto"/>
        </w:rPr>
        <w:t>Includes $17.6 million lease liabilities in Held for Sale as of December 31, 2020</w:t>
      </w:r>
    </w:p>
    <w:p>
      <w:pPr>
        <w:spacing w:after="0" w:line="36" w:lineRule="exact"/>
        <w:rPr>
          <w:rFonts w:ascii="Arial" w:cs="Arial" w:eastAsia="Arial" w:hAnsi="Arial"/>
          <w:sz w:val="15"/>
          <w:szCs w:val="15"/>
          <w:color w:val="auto"/>
        </w:rPr>
      </w:pPr>
    </w:p>
    <w:p>
      <w:pPr>
        <w:ind w:left="240" w:hanging="232"/>
        <w:spacing w:after="0"/>
        <w:tabs>
          <w:tab w:leader="none" w:pos="240" w:val="left"/>
        </w:tabs>
        <w:numPr>
          <w:ilvl w:val="0"/>
          <w:numId w:val="27"/>
        </w:numPr>
        <w:rPr>
          <w:rFonts w:ascii="Arial" w:cs="Arial" w:eastAsia="Arial" w:hAnsi="Arial"/>
          <w:sz w:val="15"/>
          <w:szCs w:val="15"/>
          <w:color w:val="auto"/>
        </w:rPr>
      </w:pPr>
      <w:r>
        <w:rPr>
          <w:rFonts w:ascii="Arial" w:cs="Arial" w:eastAsia="Arial" w:hAnsi="Arial"/>
          <w:sz w:val="18"/>
          <w:szCs w:val="18"/>
          <w:color w:val="auto"/>
        </w:rPr>
        <w:t>Includes $54.0 million finance lease assets in Held for Sale as of December 31, 2020</w:t>
      </w:r>
    </w:p>
    <w:p>
      <w:pPr>
        <w:spacing w:after="0" w:line="36" w:lineRule="exact"/>
        <w:rPr>
          <w:rFonts w:ascii="Arial" w:cs="Arial" w:eastAsia="Arial" w:hAnsi="Arial"/>
          <w:sz w:val="15"/>
          <w:szCs w:val="15"/>
          <w:color w:val="auto"/>
        </w:rPr>
      </w:pPr>
    </w:p>
    <w:p>
      <w:pPr>
        <w:ind w:left="220" w:hanging="212"/>
        <w:spacing w:after="0"/>
        <w:tabs>
          <w:tab w:leader="none" w:pos="220" w:val="left"/>
        </w:tabs>
        <w:numPr>
          <w:ilvl w:val="0"/>
          <w:numId w:val="27"/>
        </w:numPr>
        <w:rPr>
          <w:rFonts w:ascii="Arial" w:cs="Arial" w:eastAsia="Arial" w:hAnsi="Arial"/>
          <w:sz w:val="15"/>
          <w:szCs w:val="15"/>
          <w:color w:val="auto"/>
        </w:rPr>
      </w:pPr>
      <w:r>
        <w:rPr>
          <w:rFonts w:ascii="Arial" w:cs="Arial" w:eastAsia="Arial" w:hAnsi="Arial"/>
          <w:sz w:val="18"/>
          <w:szCs w:val="18"/>
          <w:color w:val="auto"/>
        </w:rPr>
        <w:t>Includes $33.3 million finance lease obligations in Held for Sale as of December 31,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as of December 31, 2020 and 2019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4"/>
                <w:szCs w:val="14"/>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682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Pr>
          <w:p>
            <w:pPr>
              <w:spacing w:after="0"/>
              <w:rPr>
                <w:sz w:val="14"/>
                <w:szCs w:val="14"/>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r>
      <w:tr>
        <w:trPr>
          <w:trHeight w:val="223"/>
        </w:trPr>
        <w:tc>
          <w:tcPr>
            <w:tcW w:w="6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3,807</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4,209</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27,835</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3,702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8"/>
                <w:szCs w:val="18"/>
                <w:color w:val="auto"/>
              </w:rPr>
              <w:t>Non-cash items: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New operating leases and remeasurements, net</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43,593</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New finance leases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20"/>
                <w:szCs w:val="20"/>
                <w:color w:val="auto"/>
              </w:rPr>
            </w:pPr>
          </w:p>
        </w:tc>
      </w:tr>
      <w:tr>
        <w:trPr>
          <w:trHeight w:val="431"/>
        </w:trPr>
        <w:tc>
          <w:tcPr>
            <w:tcW w:w="6820" w:type="dxa"/>
            <w:vAlign w:val="bottom"/>
          </w:tcPr>
          <w:p>
            <w:pPr>
              <w:spacing w:after="0"/>
              <w:rPr>
                <w:sz w:val="20"/>
                <w:szCs w:val="20"/>
                <w:color w:val="auto"/>
              </w:rPr>
            </w:pPr>
            <w:r>
              <w:rPr>
                <w:rFonts w:ascii="Arial" w:cs="Arial" w:eastAsia="Arial" w:hAnsi="Arial"/>
                <w:sz w:val="18"/>
                <w:szCs w:val="18"/>
                <w:color w:val="auto"/>
                <w:w w:val="90"/>
              </w:rPr>
              <w:t>Future lease payments under non-cancellable leases as of December 31, 2020 are as follows: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682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Operating Leases</w:t>
            </w:r>
            <w:r>
              <w:rPr>
                <w:rFonts w:ascii="Arial" w:cs="Arial" w:eastAsia="Arial" w:hAnsi="Arial"/>
                <w:sz w:val="12"/>
                <w:szCs w:val="12"/>
                <w:b w:val="1"/>
                <w:bCs w:val="1"/>
                <w:color w:val="auto"/>
                <w:w w:val="92"/>
              </w:rPr>
              <w:t>(1)</w:t>
            </w:r>
          </w:p>
        </w:tc>
        <w:tc>
          <w:tcPr>
            <w:tcW w:w="240" w:type="dxa"/>
            <w:vAlign w:val="bottom"/>
          </w:tcPr>
          <w:p>
            <w:pPr>
              <w:spacing w:after="0"/>
              <w:rPr>
                <w:sz w:val="24"/>
                <w:szCs w:val="24"/>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Finance Leases</w:t>
            </w:r>
            <w:r>
              <w:rPr>
                <w:rFonts w:ascii="Arial" w:cs="Arial" w:eastAsia="Arial" w:hAnsi="Arial"/>
                <w:sz w:val="12"/>
                <w:szCs w:val="12"/>
                <w:b w:val="1"/>
                <w:bCs w:val="1"/>
                <w:color w:val="auto"/>
                <w:w w:val="90"/>
              </w:rPr>
              <w:t>(2)</w:t>
            </w:r>
          </w:p>
        </w:tc>
      </w:tr>
      <w:tr>
        <w:trPr>
          <w:trHeight w:val="223"/>
        </w:trPr>
        <w:tc>
          <w:tcPr>
            <w:tcW w:w="6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20,106</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17,512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6,602</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6,581</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10,698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6,216</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5,164</w:t>
            </w: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35,740</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45,495</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105,658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76,791</w:t>
            </w: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(34,175)</w:t>
            </w:r>
          </w:p>
        </w:tc>
        <w:tc>
          <w:tcPr>
            <w:tcW w:w="24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(28,067)</w:t>
            </w:r>
          </w:p>
        </w:tc>
      </w:tr>
      <w:tr>
        <w:trPr>
          <w:trHeight w:val="223"/>
        </w:trPr>
        <w:tc>
          <w:tcPr>
            <w:tcW w:w="6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71,483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220" w:hanging="212"/>
        <w:spacing w:after="0"/>
        <w:tabs>
          <w:tab w:leader="none" w:pos="220" w:val="left"/>
        </w:tabs>
        <w:numPr>
          <w:ilvl w:val="0"/>
          <w:numId w:val="28"/>
        </w:numPr>
        <w:rPr>
          <w:rFonts w:ascii="Arial" w:cs="Arial" w:eastAsia="Arial" w:hAnsi="Arial"/>
          <w:sz w:val="15"/>
          <w:szCs w:val="15"/>
          <w:color w:val="auto"/>
        </w:rPr>
      </w:pPr>
      <w:r>
        <w:rPr>
          <w:rFonts w:ascii="Arial" w:cs="Arial" w:eastAsia="Arial" w:hAnsi="Arial"/>
          <w:sz w:val="18"/>
          <w:szCs w:val="18"/>
          <w:color w:val="auto"/>
        </w:rPr>
        <w:t>Includes $17.6 million ROU liabilities in Held for Sale as of December 31, 2020</w:t>
      </w:r>
    </w:p>
    <w:p>
      <w:pPr>
        <w:spacing w:after="0" w:line="35" w:lineRule="exact"/>
        <w:rPr>
          <w:rFonts w:ascii="Arial" w:cs="Arial" w:eastAsia="Arial" w:hAnsi="Arial"/>
          <w:sz w:val="15"/>
          <w:szCs w:val="15"/>
          <w:color w:val="auto"/>
        </w:rPr>
      </w:pPr>
    </w:p>
    <w:p>
      <w:pPr>
        <w:ind w:left="220" w:hanging="212"/>
        <w:spacing w:after="0"/>
        <w:tabs>
          <w:tab w:leader="none" w:pos="220" w:val="left"/>
        </w:tabs>
        <w:numPr>
          <w:ilvl w:val="0"/>
          <w:numId w:val="28"/>
        </w:numPr>
        <w:rPr>
          <w:rFonts w:ascii="Arial" w:cs="Arial" w:eastAsia="Arial" w:hAnsi="Arial"/>
          <w:sz w:val="15"/>
          <w:szCs w:val="15"/>
          <w:color w:val="auto"/>
        </w:rPr>
      </w:pPr>
      <w:r>
        <w:rPr>
          <w:rFonts w:ascii="Arial" w:cs="Arial" w:eastAsia="Arial" w:hAnsi="Arial"/>
          <w:sz w:val="18"/>
          <w:szCs w:val="18"/>
          <w:color w:val="auto"/>
        </w:rPr>
        <w:t>Includes $33.3 million finance lease obligations in Held for Sale as of December 31, 2020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Future sublease rentals as of December 31, 2020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80" w:type="dxa"/>
            <w:vAlign w:val="bottom"/>
          </w:tcPr>
          <w:p>
            <w:pPr>
              <w:spacing w:after="0"/>
              <w:rPr>
                <w:sz w:val="14"/>
                <w:szCs w:val="14"/>
                <w:color w:val="auto"/>
              </w:rPr>
            </w:pPr>
          </w:p>
        </w:tc>
        <w:tc>
          <w:tcPr>
            <w:tcW w:w="2180" w:type="dxa"/>
            <w:vAlign w:val="bottom"/>
            <w:gridSpan w:val="2"/>
          </w:tcPr>
          <w:p>
            <w:pPr>
              <w:ind w:left="320"/>
              <w:spacing w:after="0"/>
              <w:rPr>
                <w:sz w:val="20"/>
                <w:szCs w:val="20"/>
                <w:color w:val="auto"/>
              </w:rPr>
            </w:pPr>
            <w:r>
              <w:rPr>
                <w:rFonts w:ascii="Arial" w:cs="Arial" w:eastAsia="Arial" w:hAnsi="Arial"/>
                <w:sz w:val="14"/>
                <w:szCs w:val="14"/>
                <w:b w:val="1"/>
                <w:bCs w:val="1"/>
                <w:color w:val="auto"/>
              </w:rPr>
              <w:t>Sublease Rentals</w:t>
            </w:r>
          </w:p>
        </w:tc>
      </w:tr>
      <w:tr>
        <w:trPr>
          <w:trHeight w:val="223"/>
        </w:trPr>
        <w:tc>
          <w:tcPr>
            <w:tcW w:w="8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8,753</w:t>
            </w:r>
          </w:p>
        </w:tc>
        <w:tc>
          <w:tcPr>
            <w:tcW w:w="120" w:type="dxa"/>
            <w:vAlign w:val="bottom"/>
          </w:tcPr>
          <w:p>
            <w:pPr>
              <w:spacing w:after="0"/>
              <w:rPr>
                <w:sz w:val="19"/>
                <w:szCs w:val="19"/>
                <w:color w:val="auto"/>
              </w:rPr>
            </w:pPr>
          </w:p>
        </w:tc>
      </w:tr>
      <w:tr>
        <w:trPr>
          <w:trHeight w:val="229"/>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8,806</w:t>
            </w:r>
          </w:p>
        </w:tc>
        <w:tc>
          <w:tcPr>
            <w:tcW w:w="120" w:type="dxa"/>
            <w:vAlign w:val="bottom"/>
            <w:shd w:val="clear" w:color="auto" w:fill="CFF0FC"/>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8,858</w:t>
            </w:r>
          </w:p>
        </w:tc>
        <w:tc>
          <w:tcPr>
            <w:tcW w:w="120" w:type="dxa"/>
            <w:vAlign w:val="bottom"/>
          </w:tcPr>
          <w:p>
            <w:pPr>
              <w:spacing w:after="0"/>
              <w:rPr>
                <w:sz w:val="19"/>
                <w:szCs w:val="19"/>
                <w:color w:val="auto"/>
              </w:rPr>
            </w:pPr>
          </w:p>
        </w:tc>
      </w:tr>
      <w:tr>
        <w:trPr>
          <w:trHeight w:val="229"/>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8,913</w:t>
            </w:r>
          </w:p>
        </w:tc>
        <w:tc>
          <w:tcPr>
            <w:tcW w:w="120" w:type="dxa"/>
            <w:vAlign w:val="bottom"/>
            <w:shd w:val="clear" w:color="auto" w:fill="CFF0FC"/>
          </w:tcPr>
          <w:p>
            <w:pPr>
              <w:spacing w:after="0"/>
              <w:rPr>
                <w:sz w:val="19"/>
                <w:szCs w:val="19"/>
                <w:color w:val="auto"/>
              </w:rPr>
            </w:pPr>
          </w:p>
        </w:tc>
      </w:tr>
      <w:tr>
        <w:trPr>
          <w:trHeight w:val="229"/>
        </w:trPr>
        <w:tc>
          <w:tcPr>
            <w:tcW w:w="8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124,813</w:t>
            </w:r>
          </w:p>
        </w:tc>
        <w:tc>
          <w:tcPr>
            <w:tcW w:w="120" w:type="dxa"/>
            <w:vAlign w:val="bottom"/>
            <w:tcBorders>
              <w:bottom w:val="single" w:sz="8" w:color="CFF0FC"/>
            </w:tcBorders>
          </w:tcPr>
          <w:p>
            <w:pPr>
              <w:spacing w:after="0"/>
              <w:rPr>
                <w:sz w:val="19"/>
                <w:szCs w:val="19"/>
                <w:color w:val="auto"/>
              </w:rPr>
            </w:pPr>
          </w:p>
        </w:tc>
      </w:tr>
      <w:tr>
        <w:trPr>
          <w:trHeight w:val="223"/>
        </w:trPr>
        <w:tc>
          <w:tcPr>
            <w:tcW w:w="8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168,846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Windstream Leases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On September 18, 2020, in connection with Windstream’s emergence from bankruptcy and the implementation of the Settlement with Windstream described in Note 14 below, Uniti and Windstream bifurcated the Master Lease and entered into two structurally similar master leases that each expire on April 30, 2030 (collectively, the “Windstream Leases”), which Windstream Leases amended and restated the Master Lease in its entirety. The Windstream Leases consist of two leases: (a) a master lease (the “ILEC MLA”) that governs Uniti owned assets used for Windstream’s incumbent local exchange carrier (“ILEC”) operations and (b) a master lease (the “CLEC MLA”) that governs Uniti owned assets used for Windstream’s competitive local exchange carrier (“CLEC”) operations. The aggregate initial annual rent under the Windstream Leases is equal to the annual rent under the Master Lease previously in effect. The tenants under the ILEC MLA are Windstream Holdings II, LLC (“Windstream Holdings II,” successor in interest to Windstream Holdings, Inc.), Windstream Services II, LLC (“Windstream Services II,” successor in interest to Windstream Services LLC), and certain subsidiaries and/or newly formed affiliated entities operating the ILECs, and the landlords under the ILEC MLA are the Uniti entities that own the applicable ILEC assets. Similarly, the tenants under the CLEC MLA are Windstream Holdings II, Windstream Services II, and certain subsidiaries and/or newly formed affiliated entities operating CLECs, and the landlords under the CLEC MLA are the Uniti entities that own the CLEC assets.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Windstream Leases impose certain financial restrictions on Windstream if Windstream fails to maintain certain financial</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covenants. Windstream covenants not to incur certain indebtedness (other than certain refinancing in a principal amount that does not exceed the sum of the principal amount of the indebtedness refinanced, the accrued and unpaid interest on such indebtedness refinanced and any other amounts owing thereon and any customary costs incurred in connection with such refinancing or drawings under its third party syndicated revolving credit facility, in an amount not to exceed $750 million) if its total leverage ratio, pro forma for the incurrence of such indebtedness, would exceed 3.00:1:00. Further, Windstream covenants not to incur certain additional indebtedness, pay dividends, repurchase stock or prepay unsecured debt, or enter into a transaction with an entity controlled by a member of the board without Uniti’s consent if Windstream’s total leverage ratio exceeds 3.50:1.00. Notwithstanding the foregoing, the financial covenants described herein shall not apply at any time in which Windstream maintains a corporate family rating of not less than “B2” by Moody’s and either “B” by Standard &amp; Poor’s or “B” by Fitch Ratings.</w:t>
      </w:r>
    </w:p>
    <w:p>
      <w:pPr>
        <w:spacing w:after="0" w:line="1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Pursuant to the Windstream Leases, Windstream (or any successor tenant under a Windstream Lease) has the right to cause Uniti to reimburse up to an aggregate $1.75 billion for certain growth capital improvements in long-term fiber and related assets made by Windstream (or the applicable tenant under the Windstream Lease) to certain ILEC and CLEC properties (the “Growth Capital Improvements”).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are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limited to $225 million per year in 2021 through 2024; $175 million per year in 2025 and 2026; and $125 million per year in 2027 through 2029.</w:t>
      </w:r>
    </w:p>
    <w:p>
      <w:pPr>
        <w:spacing w:after="0" w:line="23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Uniti’s combined total obligation to fund Growth Capital Improvements may exceed $250 million to the extent of any unfunded excess amounts from calendar year 2020. 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39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Uniti and Windstream have entered into separate ILEC and CLEC Equipment Loan and Security Agreements (collectively “Equipment Loan Agreement”) in which Uniti will provide up to $125 million (limited to $25 million in any calendar year) of the $1.75 billion of GCI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such loans were made to Windstream during 2020.</w:t>
      </w:r>
    </w:p>
    <w:p>
      <w:pPr>
        <w:spacing w:after="0" w:line="19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Windstream Leases provide, and the Master Lease provided,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TCIs exclude Growth Capital Improvements as an when reimbursed by Uniti.</w:t>
      </w:r>
    </w:p>
    <w:p>
      <w:pPr>
        <w:spacing w:after="0" w:line="16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During the year ended December 31, 2020, Uniti reimbursed $84.7 million of Growth Capital Improvements, which, as allowed for under the Settlement, represented the reimbursement of capital improvements completed in 2020 that were previously classified as TCIs. Upon reimbursement, the Company reduced the unamortized portion of deferred revenue related to these capital improvements and capitalized the difference between the cash provided to Windstream and the unamortized deferred revenue as a lease incentive. This lease incentive, which is $1.0 million and reported within other assets on our Consolidated Balance Sheet as of December 31, 2020, will be amortized against revenue over the initial term of the Windstream Leases. Subsequent to December 31, 2020, Windstream requested and we reimbursed $26.2 million of qualifying Growth Capital Improvements that were reported as TCIs as of December 31, 2020. As of the date of this Annual Report on Form 10-K, we have reimbursed a total of $110.9 million of Growth Capital Improvements, and all amounts represent the reimbursement of qualifying Growth Capital Improvements that were previously reported as TCIs in 2020.</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Business Combinations, Asset 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Windstream Settlement Agreement</w:t>
      </w:r>
    </w:p>
    <w:p>
      <w:pPr>
        <w:spacing w:after="0" w:line="225" w:lineRule="exact"/>
        <w:rPr>
          <w:sz w:val="20"/>
          <w:szCs w:val="20"/>
          <w:color w:val="auto"/>
        </w:rPr>
      </w:pPr>
    </w:p>
    <w:p>
      <w:pPr>
        <w:ind w:right="480"/>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On September 18, 2020, and in furtherance of the Settlement Agreement </w:t>
      </w:r>
      <w:hyperlink r:id="rId118">
        <w:r>
          <w:rPr>
            <w:rFonts w:ascii="Arial" w:cs="Arial" w:eastAsia="Arial" w:hAnsi="Arial"/>
            <w:sz w:val="16"/>
            <w:szCs w:val="16"/>
            <w:color w:val="auto"/>
          </w:rPr>
          <w:t xml:space="preserve">(see </w:t>
        </w:r>
        <w:r>
          <w:rPr>
            <w:rFonts w:ascii="Arial" w:cs="Arial" w:eastAsia="Arial" w:hAnsi="Arial"/>
            <w:sz w:val="16"/>
            <w:szCs w:val="16"/>
            <w:u w:val="single" w:color="auto"/>
            <w:color w:val="auto"/>
          </w:rPr>
          <w:t>Note</w:t>
        </w:r>
        <w:r>
          <w:rPr>
            <w:rFonts w:ascii="Arial" w:cs="Arial" w:eastAsia="Arial" w:hAnsi="Arial"/>
            <w:sz w:val="16"/>
            <w:szCs w:val="16"/>
            <w:color w:val="auto"/>
          </w:rPr>
          <w:t xml:space="preserve"> </w:t>
        </w:r>
      </w:hyperlink>
      <w:r>
        <w:rPr>
          <w:rFonts w:ascii="Arial" w:cs="Arial" w:eastAsia="Arial" w:hAnsi="Arial"/>
          <w:sz w:val="16"/>
          <w:szCs w:val="16"/>
          <w:color w:val="auto"/>
        </w:rPr>
        <w:t>17), Uniti and Windstream closed an asset purchase agreement, as amended by a letter agreement (collectively, the “Asset Purchase Agreement”), pursuant to which (a) Uniti paid to Windstream approximately</w:t>
      </w:r>
    </w:p>
    <w:p>
      <w:pPr>
        <w:ind w:right="20"/>
        <w:spacing w:after="0" w:line="251" w:lineRule="auto"/>
        <w:rPr>
          <w:sz w:val="20"/>
          <w:szCs w:val="20"/>
          <w:color w:val="auto"/>
        </w:rPr>
      </w:pPr>
      <w:r>
        <w:rPr>
          <w:rFonts w:ascii="Arial" w:cs="Arial" w:eastAsia="Arial" w:hAnsi="Arial"/>
          <w:sz w:val="18"/>
          <w:szCs w:val="18"/>
          <w:color w:val="auto"/>
        </w:rPr>
        <w:t>$284.6 million and (b) Windstream (i) granted to Uniti exclusive rights to use 1.8 million fiber strand miles leased by Windstream under the CLEC MLA, which fiber strands are either unutilized or utilized under certain dark fiber indefeasible rights of use (“IRUs”) that were simultaneously transferred to Uniti, (ii) conveyed to Uniti fiber assets (and underlying rights) consisting of 0.4 million fiber strand miles (covering 4,000 route miles) owned by Windstream, and (iii) transferred and assigned to subsidiaries of Uniti dark fiber IRUs relating to (x) the fiber strand miles granted to Uniti under the CLEC MLA (and described in clause (i)) and (y) the fiber assets (and underlying rights) for the 0.4 million fiber strand miles conveyed to Uniti (and described in clause (ii)), which IRUs generated $28.9 million of annual EBITDA in the aggregate as of the closing of the Asset Purchase Agreement. In addition, upon the transfer of the Windstream owned fiber assets (described in clause (ii) above), Uniti granted to Windstream a 20-year IRU for certain strands included in the transferred fiber assets.</w:t>
      </w:r>
    </w:p>
    <w:p>
      <w:pPr>
        <w:spacing w:after="0" w:line="198" w:lineRule="exact"/>
        <w:rPr>
          <w:sz w:val="20"/>
          <w:szCs w:val="20"/>
          <w:color w:val="auto"/>
        </w:rPr>
      </w:pPr>
    </w:p>
    <w:p>
      <w:pPr>
        <w:jc w:val="both"/>
        <w:ind w:right="300"/>
        <w:spacing w:after="0" w:line="263" w:lineRule="auto"/>
        <w:rPr>
          <w:rFonts w:ascii="Arial" w:cs="Arial" w:eastAsia="Arial" w:hAnsi="Arial"/>
          <w:sz w:val="18"/>
          <w:szCs w:val="18"/>
          <w:color w:val="auto"/>
        </w:rPr>
      </w:pPr>
      <w:r>
        <w:rPr>
          <w:rFonts w:ascii="Arial" w:cs="Arial" w:eastAsia="Arial" w:hAnsi="Arial"/>
          <w:sz w:val="18"/>
          <w:szCs w:val="18"/>
          <w:color w:val="auto"/>
        </w:rPr>
        <w:t>The Company concluded that the Asset Purchase Agreement, and the obligation for Uniti to make cash payments to Windstream in accordance with the terms of the Settlement Agreement (</w:t>
      </w:r>
      <w:hyperlink r:id="rId118">
        <w:r>
          <w:rPr>
            <w:rFonts w:ascii="Arial" w:cs="Arial" w:eastAsia="Arial" w:hAnsi="Arial"/>
            <w:sz w:val="18"/>
            <w:szCs w:val="18"/>
            <w:u w:val="single" w:color="auto"/>
            <w:color w:val="0000EE"/>
          </w:rPr>
          <w:t>see Note 17</w:t>
        </w:r>
      </w:hyperlink>
      <w:r>
        <w:rPr>
          <w:rFonts w:ascii="Arial" w:cs="Arial" w:eastAsia="Arial" w:hAnsi="Arial"/>
          <w:sz w:val="18"/>
          <w:szCs w:val="18"/>
          <w:color w:val="auto"/>
        </w:rPr>
        <w:t>), should be combined for the accounting purpose of ASC 842. As such, total consideration provided to Windstream under the Settlement has been allocated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0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8560" w:type="dxa"/>
            <w:vAlign w:val="bottom"/>
            <w:shd w:val="clear" w:color="auto" w:fill="CFF0FC"/>
          </w:tcPr>
          <w:p>
            <w:pPr>
              <w:spacing w:after="0"/>
              <w:rPr>
                <w:sz w:val="20"/>
                <w:szCs w:val="20"/>
                <w:color w:val="auto"/>
              </w:rPr>
            </w:pPr>
            <w:r>
              <w:rPr>
                <w:rFonts w:ascii="Arial" w:cs="Arial" w:eastAsia="Arial" w:hAnsi="Arial"/>
                <w:sz w:val="18"/>
                <w:szCs w:val="18"/>
                <w:color w:val="auto"/>
              </w:rPr>
              <w:t>Consideration:</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560" w:type="dxa"/>
            <w:vAlign w:val="bottom"/>
          </w:tcPr>
          <w:p>
            <w:pPr>
              <w:ind w:left="260"/>
              <w:spacing w:after="0"/>
              <w:rPr>
                <w:sz w:val="20"/>
                <w:szCs w:val="20"/>
                <w:color w:val="auto"/>
              </w:rPr>
            </w:pPr>
            <w:r>
              <w:rPr>
                <w:rFonts w:ascii="Arial" w:cs="Arial" w:eastAsia="Arial" w:hAnsi="Arial"/>
                <w:sz w:val="18"/>
                <w:szCs w:val="18"/>
                <w:color w:val="auto"/>
              </w:rPr>
              <w:t>Asset Purchase Agreement</w:t>
            </w:r>
          </w:p>
        </w:tc>
        <w:tc>
          <w:tcPr>
            <w:tcW w:w="11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284,550</w:t>
            </w:r>
          </w:p>
        </w:tc>
        <w:tc>
          <w:tcPr>
            <w:tcW w:w="100" w:type="dxa"/>
            <w:vAlign w:val="bottom"/>
          </w:tcPr>
          <w:p>
            <w:pPr>
              <w:spacing w:after="0"/>
              <w:rPr>
                <w:sz w:val="19"/>
                <w:szCs w:val="19"/>
                <w:color w:val="auto"/>
              </w:rPr>
            </w:pPr>
          </w:p>
        </w:tc>
      </w:tr>
      <w:tr>
        <w:trPr>
          <w:trHeight w:val="230"/>
        </w:trPr>
        <w:tc>
          <w:tcPr>
            <w:tcW w:w="8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value of settlement obligation</w:t>
            </w:r>
          </w:p>
        </w:tc>
        <w:tc>
          <w:tcPr>
            <w:tcW w:w="2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438,577</w:t>
            </w:r>
          </w:p>
        </w:tc>
        <w:tc>
          <w:tcPr>
            <w:tcW w:w="100" w:type="dxa"/>
            <w:vAlign w:val="bottom"/>
            <w:shd w:val="clear" w:color="auto" w:fill="CFF0FC"/>
          </w:tcPr>
          <w:p>
            <w:pPr>
              <w:spacing w:after="0"/>
              <w:rPr>
                <w:sz w:val="19"/>
                <w:szCs w:val="19"/>
                <w:color w:val="auto"/>
              </w:rPr>
            </w:pPr>
          </w:p>
        </w:tc>
      </w:tr>
      <w:tr>
        <w:trPr>
          <w:trHeight w:val="223"/>
        </w:trPr>
        <w:tc>
          <w:tcPr>
            <w:tcW w:w="8560" w:type="dxa"/>
            <w:vAlign w:val="bottom"/>
          </w:tcPr>
          <w:p>
            <w:pPr>
              <w:ind w:left="260"/>
              <w:spacing w:after="0"/>
              <w:rPr>
                <w:sz w:val="20"/>
                <w:szCs w:val="20"/>
                <w:color w:val="auto"/>
              </w:rPr>
            </w:pPr>
            <w:r>
              <w:rPr>
                <w:rFonts w:ascii="Arial" w:cs="Arial" w:eastAsia="Arial" w:hAnsi="Arial"/>
                <w:sz w:val="18"/>
                <w:szCs w:val="18"/>
                <w:color w:val="auto"/>
              </w:rPr>
              <w:t>Total consideration</w:t>
            </w:r>
          </w:p>
        </w:tc>
        <w:tc>
          <w:tcPr>
            <w:tcW w:w="20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723,127</w:t>
            </w:r>
          </w:p>
        </w:tc>
        <w:tc>
          <w:tcPr>
            <w:tcW w:w="100" w:type="dxa"/>
            <w:vAlign w:val="bottom"/>
          </w:tcPr>
          <w:p>
            <w:pPr>
              <w:spacing w:after="0"/>
              <w:rPr>
                <w:sz w:val="19"/>
                <w:szCs w:val="19"/>
                <w:color w:val="auto"/>
              </w:rPr>
            </w:pPr>
          </w:p>
        </w:tc>
      </w:tr>
      <w:tr>
        <w:trPr>
          <w:trHeight w:val="230"/>
        </w:trPr>
        <w:tc>
          <w:tcPr>
            <w:tcW w:w="8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Fair values of the assets acquired and liabilities assumed as of the acquisition date:</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plant and equipment</w:t>
            </w:r>
          </w:p>
        </w:tc>
        <w:tc>
          <w:tcPr>
            <w:tcW w:w="110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170,754</w:t>
            </w:r>
          </w:p>
        </w:tc>
        <w:tc>
          <w:tcPr>
            <w:tcW w:w="100" w:type="dxa"/>
            <w:vAlign w:val="bottom"/>
            <w:shd w:val="clear" w:color="auto" w:fill="CFF0FC"/>
          </w:tcPr>
          <w:p>
            <w:pPr>
              <w:spacing w:after="0"/>
              <w:rPr>
                <w:sz w:val="19"/>
                <w:szCs w:val="19"/>
                <w:color w:val="auto"/>
              </w:rPr>
            </w:pPr>
          </w:p>
        </w:tc>
      </w:tr>
      <w:tr>
        <w:trPr>
          <w:trHeight w:val="230"/>
        </w:trPr>
        <w:tc>
          <w:tcPr>
            <w:tcW w:w="856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69,832</w:t>
            </w:r>
          </w:p>
        </w:tc>
        <w:tc>
          <w:tcPr>
            <w:tcW w:w="100" w:type="dxa"/>
            <w:vAlign w:val="bottom"/>
          </w:tcPr>
          <w:p>
            <w:pPr>
              <w:spacing w:after="0"/>
              <w:rPr>
                <w:sz w:val="19"/>
                <w:szCs w:val="19"/>
                <w:color w:val="auto"/>
              </w:rPr>
            </w:pPr>
          </w:p>
        </w:tc>
      </w:tr>
      <w:tr>
        <w:trPr>
          <w:trHeight w:val="230"/>
        </w:trPr>
        <w:tc>
          <w:tcPr>
            <w:tcW w:w="8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27,632</w:t>
            </w:r>
          </w:p>
        </w:tc>
        <w:tc>
          <w:tcPr>
            <w:tcW w:w="100" w:type="dxa"/>
            <w:vAlign w:val="bottom"/>
            <w:shd w:val="clear" w:color="auto" w:fill="CFF0FC"/>
          </w:tcPr>
          <w:p>
            <w:pPr>
              <w:spacing w:after="0"/>
              <w:rPr>
                <w:sz w:val="19"/>
                <w:szCs w:val="19"/>
                <w:color w:val="auto"/>
              </w:rPr>
            </w:pPr>
          </w:p>
        </w:tc>
      </w:tr>
      <w:tr>
        <w:trPr>
          <w:trHeight w:val="229"/>
        </w:trPr>
        <w:tc>
          <w:tcPr>
            <w:tcW w:w="8560" w:type="dxa"/>
            <w:vAlign w:val="bottom"/>
          </w:tcPr>
          <w:p>
            <w:pPr>
              <w:ind w:left="260"/>
              <w:spacing w:after="0"/>
              <w:rPr>
                <w:sz w:val="20"/>
                <w:szCs w:val="20"/>
                <w:color w:val="auto"/>
              </w:rPr>
            </w:pPr>
            <w:r>
              <w:rPr>
                <w:rFonts w:ascii="Arial" w:cs="Arial" w:eastAsia="Arial" w:hAnsi="Arial"/>
                <w:sz w:val="18"/>
                <w:szCs w:val="18"/>
                <w:color w:val="auto"/>
              </w:rPr>
              <w:t>Intangible liabilities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(195,091)</w:t>
            </w:r>
          </w:p>
        </w:tc>
      </w:tr>
      <w:tr>
        <w:trPr>
          <w:trHeight w:val="223"/>
        </w:trPr>
        <w:tc>
          <w:tcPr>
            <w:tcW w:w="85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 acquired, net</w:t>
            </w:r>
          </w:p>
        </w:tc>
        <w:tc>
          <w:tcPr>
            <w:tcW w:w="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73,127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Settlement expense</w:t>
            </w:r>
          </w:p>
        </w:tc>
        <w:tc>
          <w:tcPr>
            <w:tcW w:w="2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tcBorders>
              <w:bottom w:val="single" w:sz="8" w:color="CFF0FC"/>
            </w:tcBorders>
          </w:tcPr>
          <w:p>
            <w:pPr>
              <w:spacing w:after="0"/>
              <w:rPr>
                <w:sz w:val="19"/>
                <w:szCs w:val="19"/>
                <w:color w:val="auto"/>
              </w:rPr>
            </w:pPr>
          </w:p>
        </w:tc>
      </w:tr>
      <w:tr>
        <w:trPr>
          <w:trHeight w:val="223"/>
        </w:trPr>
        <w:tc>
          <w:tcPr>
            <w:tcW w:w="85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723,127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Of the $69.8 million of intangible assets acquired, $59.3 million is related to contracts (8-year weighted-average life) and $10.5 million is related to underlying rights agreements (30-year life). The Company determined the useful life of the contract intangible assets using the weighted-average remaining term and the rights of way intangible asset by aligning the useful life of the intangible with that of the underlying fiber assets acquired. The intangible liabilities represents below market leases, where we are the lessor, and has a weighted-average useful life of 19 years, which aligns with the terms of the agreements. Acquired right of use assets $27.6 million are recorded within other assets on our Consolidated Balance Sheets.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Midwest Fiber Network</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July 1, 2020, the Company completed the sale of the entity that controlled the Company’s Midwest fiber network assets (the “Propco”) to Macquarie Infrastructure Partners (“MIP”), selling net assets having a book value of $186.5 million for total cash consideration of $167.6 million. The Company retained a 20% investment interest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Propco, having a fair value of $41.9 million, through a newly-formed limited liability company with MIP (see Note 8). During the third quarter, we recorded a gain of $23.0 million related to this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U.S. Tower Portfolio</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June 1, 2020, the Company completed the sale of its U.S. tower business to Melody, selling net assets having a book value of $190.0 million for total cash consideration of $225.8 million. The Company retained a 10% investment interest in the tower business, having a fair value of $26.0 million, through a newly-formed limited partnership with Melody (see Note 8), and will receive incremental earn-out payments, estimated to be $1.6 million, which is included in other assets on the Consolidated Balance Sheet as of December 31, 2020. During the second quarter, we recorded a gain of $63.4 million related to this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Bluebird Network, LLC</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August 30, 2019, the Company closed on its operating company/property company (“OpCo-PropCo”) transaction with MIP to acquire Bluebird Network, LLC (“Bluebird”). MIP operates within the Macquarie Infrastructure and Real Assets division of Macquarie Group. Bluebird’s network consists of approximately 178,000 fiber strand miles in the Midwest across Missouri, Kansas, Illinois and Oklahoma. In the transaction, Uniti purchased the Bluebird fiber network and MIP purchased the Bluebird operations. In addition, Uniti sold Uniti Fiber’s Midwest operations to MIP, while Uniti retains its existing Midwest fiber network. Uniti acquired the fiber network of Bluebird for $320.8 million, which included transaction costs of $1.8 million. Uniti funded $175 million in cash and $144 million from pre-paid rent received from MIP at closing. The pre-paid rent is recorded within deferred revenue on our Consolidated Balance Sheet. In connection with the sale of the Company’s Midwest operations, we received total upfront cash of approximately $37 million, including related pre-paid rent received from MIP at closing. Concurrently with the closing of these transactions, Uniti has leased the Bluebird fiber network and its Midwest fiber network on a combined basis to MIP, under a long-term triple net lease (the “Bluebird Lease”). The Bluebird Lease is reported within the results of our Leasing segment. The Midwest operations that was sold to MIP was previously reported in our Fiber Infrastructure segment.</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acquisition of the Bluebird network was accounted for as an asset acquisition. The following is a summary of the estimated fair values of the assets acquired and liabilities assumed as of the acquisition date: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(thousands)</w:t>
            </w:r>
          </w:p>
        </w:tc>
      </w:tr>
      <w:tr>
        <w:trPr>
          <w:trHeight w:val="250"/>
        </w:trPr>
        <w:tc>
          <w:tcPr>
            <w:tcW w:w="8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00" w:type="dxa"/>
            <w:vAlign w:val="bottom"/>
            <w:tcBorders>
              <w:top w:val="single" w:sz="8" w:color="CFF0FC"/>
            </w:tcBorders>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139,566</w:t>
            </w:r>
          </w:p>
        </w:tc>
        <w:tc>
          <w:tcPr>
            <w:tcW w:w="120" w:type="dxa"/>
            <w:vAlign w:val="bottom"/>
            <w:tcBorders>
              <w:top w:val="single" w:sz="8" w:color="CFF0FC"/>
            </w:tcBorders>
            <w:shd w:val="clear" w:color="auto" w:fill="CFF0FC"/>
          </w:tcPr>
          <w:p>
            <w:pPr>
              <w:spacing w:after="0"/>
              <w:rPr>
                <w:sz w:val="21"/>
                <w:szCs w:val="21"/>
                <w:color w:val="auto"/>
              </w:rPr>
            </w:pP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4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175,401</w:t>
            </w:r>
          </w:p>
        </w:tc>
        <w:tc>
          <w:tcPr>
            <w:tcW w:w="120" w:type="dxa"/>
            <w:vAlign w:val="bottom"/>
          </w:tcPr>
          <w:p>
            <w:pPr>
              <w:spacing w:after="0"/>
              <w:rPr>
                <w:sz w:val="19"/>
                <w:szCs w:val="19"/>
                <w:color w:val="auto"/>
              </w:rPr>
            </w:pPr>
          </w:p>
        </w:tc>
      </w:tr>
      <w:tr>
        <w:trPr>
          <w:trHeight w:val="229"/>
        </w:trPr>
        <w:tc>
          <w:tcPr>
            <w:tcW w:w="8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44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8,946</w:t>
            </w:r>
          </w:p>
        </w:tc>
        <w:tc>
          <w:tcPr>
            <w:tcW w:w="120" w:type="dxa"/>
            <w:vAlign w:val="bottom"/>
            <w:shd w:val="clear" w:color="auto" w:fill="CFF0FC"/>
          </w:tcPr>
          <w:p>
            <w:pPr>
              <w:spacing w:after="0"/>
              <w:rPr>
                <w:sz w:val="19"/>
                <w:szCs w:val="19"/>
                <w:color w:val="auto"/>
              </w:rPr>
            </w:pP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440" w:type="dxa"/>
            <w:vAlign w:val="bottom"/>
          </w:tcPr>
          <w:p>
            <w:pPr>
              <w:spacing w:after="0"/>
              <w:rPr>
                <w:sz w:val="19"/>
                <w:szCs w:val="19"/>
                <w:color w:val="auto"/>
              </w:rPr>
            </w:pP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(3,095)</w:t>
            </w:r>
          </w:p>
        </w:tc>
      </w:tr>
      <w:tr>
        <w:trPr>
          <w:trHeight w:val="223"/>
        </w:trPr>
        <w:tc>
          <w:tcPr>
            <w:tcW w:w="87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purchase consideration</w:t>
            </w:r>
          </w:p>
        </w:tc>
        <w:tc>
          <w:tcPr>
            <w:tcW w:w="440" w:type="dxa"/>
            <w:vAlign w:val="bottom"/>
            <w:tcBorders>
              <w:top w:val="single" w:sz="8" w:color="auto"/>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Acquired right of use assets and liabilities of $8.9 million and $3.1 million are recorded within other assets, net and accounts payable, accrued expenses and other liabilities, net on our Consolidated Balance Sheets, respectively. Of the $175.4 million of intangible assets acquired, $124.7 million is related to rights of way (30 year life) and $50.7 million is related to an in-place lease (20 year life). The Company determined the useful life of the rights of way intangible asset by aligning the useful life of the intangible with that of the underlying fiber assets acquired. The in-place lease will be amortized over the initial 20-year lease term.</w:t>
      </w:r>
    </w:p>
    <w:p>
      <w:pPr>
        <w:spacing w:after="0" w:line="18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Upon the sale of our Midwest operations, we recognized an approximately $2.2 million net loss, which is recorded within other (income) expense on the Consolidated Statements of Income. This loss included the allocation of approximately $2.2 million of goodwill. See Note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Ground Lease Portfolio</w:t>
      </w:r>
    </w:p>
    <w:p>
      <w:pPr>
        <w:spacing w:after="0" w:line="225"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On May 23, 2019, the Company completed the sale of substantially all of its U.S. ground lease business. During second quarter, we received cash consideration of $30.7 million resulting in a pre-tax gain of $5.0 million. We sold an additional ground lease during the third quarter, receiving cash consideration of $2.9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Latin American Tower Portfolio</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April 2, 2019, the Company completed the sale of the Uniti Towers’ Latin America business (“LATAM”) to an entity controlled by Phoenix Towers International for cash consideration of $101.6 million resulting in a pre-tax gain of $23.8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JKM Consulting Inc. (M2 Connections)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On March 25, 2019, we acquired 100% of the outstanding equity of JKM Consulting Inc. d/b/a 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Connections (“M</w:t>
      </w:r>
      <w:r>
        <w:rPr>
          <w:rFonts w:ascii="Arial" w:cs="Arial" w:eastAsia="Arial" w:hAnsi="Arial"/>
          <w:sz w:val="25"/>
          <w:szCs w:val="25"/>
          <w:color w:val="auto"/>
          <w:vertAlign w:val="superscript"/>
        </w:rPr>
        <w:t>2</w:t>
      </w:r>
      <w:r>
        <w:rPr>
          <w:rFonts w:ascii="Arial" w:cs="Arial" w:eastAsia="Arial" w:hAnsi="Arial"/>
          <w:sz w:val="17"/>
          <w:szCs w:val="17"/>
          <w:color w:val="auto"/>
        </w:rPr>
        <w:t>”) for cash consideration of</w:t>
      </w:r>
    </w:p>
    <w:p>
      <w:pPr>
        <w:ind w:right="40"/>
        <w:spacing w:after="0" w:line="247" w:lineRule="auto"/>
        <w:rPr>
          <w:rFonts w:ascii="Arial" w:cs="Arial" w:eastAsia="Arial" w:hAnsi="Arial"/>
          <w:sz w:val="16"/>
          <w:szCs w:val="16"/>
          <w:color w:val="auto"/>
        </w:rPr>
      </w:pPr>
      <w:r>
        <w:rPr>
          <w:rFonts w:ascii="Arial" w:cs="Arial" w:eastAsia="Arial" w:hAnsi="Arial"/>
          <w:sz w:val="16"/>
          <w:szCs w:val="16"/>
          <w:color w:val="auto"/>
        </w:rPr>
        <w:t>$5.5 million. 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is a dark fiber and internet access provider primarily to educational institutions in Alabama. This acquisition strengthens Uniti Fiber’s relationships with new E-Rate customers. The acquisition was recorded by allocating the costs of the assets acquired based on their estimated fair values at the acquisition date. The excess of the cost of the acquisition over the fair value of the assets acquired is recorded as goodwill of $1.7 million within our Fiber Infrastructure segment. </w:t>
      </w:r>
      <w:hyperlink r:id="rId121">
        <w:r>
          <w:rPr>
            <w:rFonts w:ascii="Arial" w:cs="Arial" w:eastAsia="Arial" w:hAnsi="Arial"/>
            <w:sz w:val="16"/>
            <w:szCs w:val="16"/>
            <w:u w:val="single" w:color="auto"/>
            <w:color w:val="0000EE"/>
          </w:rPr>
          <w:t>See Note 1</w:t>
        </w:r>
      </w:hyperlink>
      <w:r>
        <w:rPr>
          <w:rFonts w:ascii="Arial" w:cs="Arial" w:eastAsia="Arial" w:hAnsi="Arial"/>
          <w:sz w:val="16"/>
          <w:szCs w:val="16"/>
          <w:color w:val="auto"/>
        </w:rPr>
        <w:t>6. For federal income tax purposes, the transaction was treated as a taxable acquisition. Thus, all of the goodwill is expected to be deductible for tax purposes. The financial results of 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are included in the Fiber Infrastructure segment from the date of acquisition and were not material, individually or in the aggregate, to our results of operations and therefore, pro forma financial information has not been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Transport Solutions, Inc.</w:t>
      </w:r>
    </w:p>
    <w:p>
      <w:pPr>
        <w:spacing w:after="0" w:line="225" w:lineRule="exact"/>
        <w:rPr>
          <w:sz w:val="20"/>
          <w:szCs w:val="20"/>
          <w:color w:val="auto"/>
        </w:rPr>
      </w:pPr>
    </w:p>
    <w:p>
      <w:pPr>
        <w:ind w:right="20"/>
        <w:spacing w:after="0" w:line="277" w:lineRule="auto"/>
        <w:rPr>
          <w:rFonts w:ascii="Arial" w:cs="Arial" w:eastAsia="Arial" w:hAnsi="Arial"/>
          <w:sz w:val="17"/>
          <w:szCs w:val="17"/>
          <w:color w:val="0000EE"/>
        </w:rPr>
      </w:pPr>
      <w:r>
        <w:rPr>
          <w:rFonts w:ascii="Arial" w:cs="Arial" w:eastAsia="Arial" w:hAnsi="Arial"/>
          <w:sz w:val="17"/>
          <w:szCs w:val="17"/>
          <w:color w:val="auto"/>
        </w:rPr>
        <w:t xml:space="preserve">On October 19, 2018, we acquired 100% of the outstanding equity of Information Transport Solutions, Inc. (“ITS”) for cash consideration of $58.3 million. ITS is a full-service managed services provider of technology solutions, primarily to educational institutions in Alabama and Florida. This acquisition expands Uniti Fiber’s product offerings and strengthens relationships with new and existing E-Rate customers. The acquisition was recorded by allocating the costs of the assets acquired based on their estimated fair values at the acquisition date. The excess of the cost of the acquisition over the fair value of the </w:t>
      </w:r>
      <w:hyperlink w:anchor="page112">
        <w:r>
          <w:rPr>
            <w:rFonts w:ascii="Arial" w:cs="Arial" w:eastAsia="Arial" w:hAnsi="Arial"/>
            <w:sz w:val="17"/>
            <w:szCs w:val="17"/>
            <w:color w:val="auto"/>
          </w:rPr>
          <w:t>assets acquired is recorded as goodwill within our Fiber Infrastructure segment. See Note 16</w:t>
        </w:r>
        <w:r>
          <w:rPr>
            <w:rFonts w:ascii="Arial" w:cs="Arial" w:eastAsia="Arial" w:hAnsi="Arial"/>
            <w:sz w:val="17"/>
            <w:szCs w:val="17"/>
            <w:color w:val="0000EE"/>
          </w:rPr>
          <w:t>. During the first quarter of 2019, certain contractual working</w:t>
        </w:r>
      </w:hyperlink>
      <w:r>
        <w:rPr>
          <w:rFonts w:ascii="Arial" w:cs="Arial" w:eastAsia="Arial" w:hAnsi="Arial"/>
          <w:sz w:val="17"/>
          <w:szCs w:val="17"/>
          <w:color w:val="auto"/>
        </w:rPr>
        <w:t xml:space="preserve"> </w:t>
      </w:r>
      <w:hyperlink w:anchor="page112">
        <w:r>
          <w:rPr>
            <w:rFonts w:ascii="Arial" w:cs="Arial" w:eastAsia="Arial" w:hAnsi="Arial"/>
            <w:sz w:val="17"/>
            <w:szCs w:val="17"/>
            <w:u w:val="single" w:color="auto"/>
            <w:color w:val="0000EE"/>
          </w:rPr>
          <w:t>capital adjustments resulted in a $</w:t>
        </w:r>
        <w:r>
          <w:rPr>
            <w:rFonts w:ascii="Arial" w:cs="Arial" w:eastAsia="Arial" w:hAnsi="Arial"/>
            <w:sz w:val="17"/>
            <w:szCs w:val="17"/>
            <w:u w:val="single" w:color="auto"/>
            <w:color w:val="000000"/>
          </w:rPr>
          <w:t>1.3</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million reduction of the purchase price and goodwill.</w:t>
        </w:r>
        <w:r>
          <w:rPr>
            <w:rFonts w:ascii="Arial" w:cs="Arial" w:eastAsia="Arial" w:hAnsi="Arial"/>
            <w:sz w:val="17"/>
            <w:szCs w:val="17"/>
            <w:color w:val="0000EE"/>
          </w:rPr>
          <w:t xml:space="preserve"> </w:t>
        </w:r>
        <w:r>
          <w:rPr>
            <w:rFonts w:ascii="Arial" w:cs="Arial" w:eastAsia="Arial" w:hAnsi="Arial"/>
            <w:sz w:val="17"/>
            <w:szCs w:val="17"/>
            <w:color w:val="000000"/>
          </w:rPr>
          <w:t>The following is a summary of the estimated fair values of the</w:t>
        </w:r>
      </w:hyperlink>
      <w:r>
        <w:rPr>
          <w:rFonts w:ascii="Arial" w:cs="Arial" w:eastAsia="Arial" w:hAnsi="Arial"/>
          <w:sz w:val="17"/>
          <w:szCs w:val="17"/>
          <w:color w:val="0000EE"/>
        </w:rPr>
        <w:t xml:space="preserve"> </w:t>
      </w:r>
      <w:r>
        <w:rPr>
          <w:rFonts w:ascii="Arial" w:cs="Arial" w:eastAsia="Arial" w:hAnsi="Arial"/>
          <w:sz w:val="17"/>
          <w:szCs w:val="17"/>
          <w:color w:val="000000"/>
        </w:rPr>
        <w:t>assets acquired and liabilities assumed as of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3895090</wp:posOffset>
            </wp:positionH>
            <wp:positionV relativeFrom="paragraph">
              <wp:posOffset>-332740</wp:posOffset>
            </wp:positionV>
            <wp:extent cx="31724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3172460"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4420" w:type="dxa"/>
            <w:vAlign w:val="bottom"/>
            <w:gridSpan w:val="3"/>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Other assets</w:t>
            </w:r>
          </w:p>
        </w:tc>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Intangible assets</w:t>
            </w:r>
          </w:p>
        </w:tc>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30,254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3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Deferred revenue</w:t>
            </w:r>
          </w:p>
        </w:tc>
        <w:tc>
          <w:tcPr>
            <w:tcW w:w="3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23"/>
        </w:trPr>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consideration</w:t>
            </w:r>
          </w:p>
        </w:tc>
        <w:tc>
          <w:tcPr>
            <w:tcW w:w="37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760" w:type="dxa"/>
            <w:vAlign w:val="bottom"/>
            <w:vMerge w:val="restart"/>
          </w:tcPr>
          <w:p>
            <w:pPr>
              <w:jc w:val="right"/>
              <w:ind w:right="275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goodwill arising from the transaction is primarily attributable to strategic opportunities that arose from the acquisition of ITS, including strengthening relationships with new and existing E-Rate customers and anticipated incremental sales and cost savings. For federal income tax purposes, the transaction was treated as a taxable acquisition. Thus, all of the goodwill is expected to be deductible for tax purposes.</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acquired an intangible asset that was assigned to customer relationships of $30.3 million (14 year life). The Company determined the useful life for the customer relationship by applying an income approach (using the multi-period excess earnings method with a discount rate commensurate to the risk of the asset) and resulted from two key considerations: attrition rate and cumulative present value of cash flows, including assessing the period over which the asset is expected to contribute to the Company’s future cash flows.</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acquired business contributed revenue of $9.0 million and an operating income of $0.5 million, which excludes transaction related costs, to our consolidated results from the date of acquisition through December 31, 2018. We recorded transaction related costs related to the acquisition of ITS for the year ended December 31, 2018 of $0.3 million within transaction related and other costs on the Consolidated Statement of Income.</w:t>
      </w:r>
    </w:p>
    <w:p>
      <w:pPr>
        <w:spacing w:after="0" w:line="16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following table presents the unaudited pro forma summary of our financial results as if the ITS acquisition had occurred on January 1, 2017. The pro forma results include additional amortization resulting from purchase accounting adjustments related to the intangible asset. The pro forma results do not include any synergies or other benefits of the acquisition. The pro forma results are not indicative of future results of operations, or results that might have been achieved had the acquisition been consummated on January 1, 2017.</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Year Ended</w:t>
            </w:r>
          </w:p>
        </w:tc>
      </w:tr>
      <w:tr>
        <w:trPr>
          <w:trHeight w:val="228"/>
        </w:trPr>
        <w:tc>
          <w:tcPr>
            <w:tcW w:w="3780" w:type="dxa"/>
            <w:vAlign w:val="bottom"/>
          </w:tcPr>
          <w:p>
            <w:pPr>
              <w:spacing w:after="0"/>
              <w:rPr>
                <w:sz w:val="20"/>
                <w:szCs w:val="20"/>
                <w:color w:val="auto"/>
              </w:rPr>
            </w:pPr>
            <w:r>
              <w:rPr>
                <w:rFonts w:ascii="Arial" w:cs="Arial" w:eastAsia="Arial" w:hAnsi="Arial"/>
                <w:sz w:val="14"/>
                <w:szCs w:val="14"/>
                <w:color w:val="auto"/>
              </w:rPr>
              <w:t>(Thousands, except per share data)</w:t>
            </w:r>
          </w:p>
        </w:tc>
        <w:tc>
          <w:tcPr>
            <w:tcW w:w="4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December 31, 2018</w:t>
            </w:r>
          </w:p>
        </w:tc>
      </w:tr>
      <w:tr>
        <w:trPr>
          <w:trHeight w:val="223"/>
        </w:trPr>
        <w:tc>
          <w:tcPr>
            <w:tcW w:w="3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 forma revenue</w:t>
            </w:r>
          </w:p>
        </w:tc>
        <w:tc>
          <w:tcPr>
            <w:tcW w:w="4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2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1,054,192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Pro forma net income (loss)</w:t>
            </w: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17,727</w:t>
            </w:r>
          </w:p>
        </w:tc>
        <w:tc>
          <w:tcPr>
            <w:tcW w:w="120" w:type="dxa"/>
            <w:vAlign w:val="bottom"/>
          </w:tcPr>
          <w:p>
            <w:pPr>
              <w:spacing w:after="0"/>
              <w:rPr>
                <w:sz w:val="20"/>
                <w:szCs w:val="20"/>
                <w:color w:val="auto"/>
              </w:rPr>
            </w:pPr>
          </w:p>
        </w:tc>
      </w:tr>
      <w:tr>
        <w:trPr>
          <w:trHeight w:val="634"/>
        </w:trPr>
        <w:tc>
          <w:tcPr>
            <w:tcW w:w="3780" w:type="dxa"/>
            <w:vAlign w:val="bottom"/>
          </w:tcPr>
          <w:p>
            <w:pPr>
              <w:spacing w:after="0"/>
              <w:rPr>
                <w:sz w:val="24"/>
                <w:szCs w:val="24"/>
                <w:color w:val="auto"/>
              </w:rPr>
            </w:pPr>
          </w:p>
        </w:tc>
        <w:tc>
          <w:tcPr>
            <w:tcW w:w="4160" w:type="dxa"/>
            <w:vAlign w:val="bottom"/>
          </w:tcPr>
          <w:p>
            <w:pPr>
              <w:jc w:val="right"/>
              <w:ind w:right="213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Assets and Liabilities Held for Sale</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October 2020, the Company entered into an OpCo-PropCo transaction with Everstream Solutions LLC (“Everstream”). As part of the transaction, Uniti will enter into two 20-year IRU lease agreements with Everstream on Uniti owned fiber. Concurrently, Uniti has agreed to sell its Uniti Fiber Northeast operations and certain dark fiber IRU contracts acquired as part of the Windstream settlement to Everstream. Total cash consideration, including upfront IRU payments, is approximately $135 million. In addition to the upfront proceeds, Uniti will receive fees of approximately $3 million annually from Everstream over the initial 20-year term of the IRU lease agreements, subject to an annual escalator of 2%. The transaction is subject to regulatory approval and other customary closing conditions and is expected to close in the second quarter of 2021.</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assets and liabilities associated with the Opco-Propco transaction with Everstream classified as held for sale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8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76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44,150</w:t>
            </w:r>
          </w:p>
        </w:tc>
        <w:tc>
          <w:tcPr>
            <w:tcW w:w="100" w:type="dxa"/>
            <w:vAlign w:val="bottom"/>
          </w:tcPr>
          <w:p>
            <w:pPr>
              <w:spacing w:after="0"/>
              <w:rPr>
                <w:sz w:val="19"/>
                <w:szCs w:val="19"/>
                <w:color w:val="auto"/>
              </w:rPr>
            </w:pPr>
          </w:p>
        </w:tc>
      </w:tr>
      <w:tr>
        <w:trPr>
          <w:trHeight w:val="229"/>
        </w:trPr>
        <w:tc>
          <w:tcPr>
            <w:tcW w:w="8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17,794</w:t>
            </w:r>
          </w:p>
        </w:tc>
        <w:tc>
          <w:tcPr>
            <w:tcW w:w="100" w:type="dxa"/>
            <w:vAlign w:val="bottom"/>
            <w:shd w:val="clear" w:color="auto" w:fill="CFF0FC"/>
          </w:tcPr>
          <w:p>
            <w:pPr>
              <w:spacing w:after="0"/>
              <w:rPr>
                <w:sz w:val="19"/>
                <w:szCs w:val="19"/>
                <w:color w:val="auto"/>
              </w:rPr>
            </w:pPr>
          </w:p>
        </w:tc>
      </w:tr>
      <w:tr>
        <w:trPr>
          <w:trHeight w:val="229"/>
        </w:trPr>
        <w:tc>
          <w:tcPr>
            <w:tcW w:w="8760" w:type="dxa"/>
            <w:vAlign w:val="bottom"/>
            <w:gridSpan w:val="2"/>
          </w:tcPr>
          <w:p>
            <w:pPr>
              <w:ind w:left="26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10,720</w:t>
            </w:r>
          </w:p>
        </w:tc>
        <w:tc>
          <w:tcPr>
            <w:tcW w:w="100" w:type="dxa"/>
            <w:vAlign w:val="bottom"/>
          </w:tcPr>
          <w:p>
            <w:pPr>
              <w:spacing w:after="0"/>
              <w:rPr>
                <w:sz w:val="19"/>
                <w:szCs w:val="19"/>
                <w:color w:val="auto"/>
              </w:rPr>
            </w:pPr>
          </w:p>
        </w:tc>
      </w:tr>
      <w:tr>
        <w:trPr>
          <w:trHeight w:val="230"/>
        </w:trPr>
        <w:tc>
          <w:tcPr>
            <w:tcW w:w="8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Right of use assets, net</w:t>
            </w: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20,679</w:t>
            </w:r>
          </w:p>
        </w:tc>
        <w:tc>
          <w:tcPr>
            <w:tcW w:w="100" w:type="dxa"/>
            <w:vAlign w:val="bottom"/>
            <w:shd w:val="clear" w:color="auto" w:fill="CFF0FC"/>
          </w:tcPr>
          <w:p>
            <w:pPr>
              <w:spacing w:after="0"/>
              <w:rPr>
                <w:sz w:val="19"/>
                <w:szCs w:val="19"/>
                <w:color w:val="auto"/>
              </w:rPr>
            </w:pPr>
          </w:p>
        </w:tc>
      </w:tr>
      <w:tr>
        <w:trPr>
          <w:trHeight w:val="263"/>
        </w:trPr>
        <w:tc>
          <w:tcPr>
            <w:tcW w:w="8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93,343</w:t>
            </w:r>
          </w:p>
        </w:tc>
        <w:tc>
          <w:tcPr>
            <w:tcW w:w="100" w:type="dxa"/>
            <w:vAlign w:val="bottom"/>
            <w:tcBorders>
              <w:bottom w:val="single" w:sz="8" w:color="CFF0FC"/>
            </w:tcBorders>
          </w:tcPr>
          <w:p>
            <w:pPr>
              <w:spacing w:after="0"/>
              <w:rPr>
                <w:sz w:val="22"/>
                <w:szCs w:val="22"/>
                <w:color w:val="auto"/>
              </w:rPr>
            </w:pPr>
          </w:p>
        </w:tc>
      </w:tr>
      <w:tr>
        <w:trPr>
          <w:trHeight w:val="210"/>
        </w:trPr>
        <w:tc>
          <w:tcPr>
            <w:tcW w:w="8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Lease liabilities</w:t>
            </w:r>
          </w:p>
        </w:tc>
        <w:tc>
          <w:tcPr>
            <w:tcW w:w="3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17,647</w:t>
            </w:r>
          </w:p>
        </w:tc>
        <w:tc>
          <w:tcPr>
            <w:tcW w:w="100" w:type="dxa"/>
            <w:vAlign w:val="bottom"/>
            <w:shd w:val="clear" w:color="auto" w:fill="CFF0FC"/>
          </w:tcPr>
          <w:p>
            <w:pPr>
              <w:spacing w:after="0"/>
              <w:rPr>
                <w:sz w:val="19"/>
                <w:szCs w:val="19"/>
                <w:color w:val="auto"/>
              </w:rPr>
            </w:pPr>
          </w:p>
        </w:tc>
      </w:tr>
      <w:tr>
        <w:trPr>
          <w:trHeight w:val="230"/>
        </w:trPr>
        <w:tc>
          <w:tcPr>
            <w:tcW w:w="8760" w:type="dxa"/>
            <w:vAlign w:val="bottom"/>
            <w:gridSpan w:val="2"/>
          </w:tcPr>
          <w:p>
            <w:pPr>
              <w:ind w:left="260"/>
              <w:spacing w:after="0"/>
              <w:rPr>
                <w:sz w:val="20"/>
                <w:szCs w:val="20"/>
                <w:color w:val="auto"/>
              </w:rPr>
            </w:pPr>
            <w:r>
              <w:rPr>
                <w:rFonts w:ascii="Arial" w:cs="Arial" w:eastAsia="Arial" w:hAnsi="Arial"/>
                <w:sz w:val="18"/>
                <w:szCs w:val="18"/>
                <w:color w:val="auto"/>
              </w:rPr>
              <w:t>Intangible liabilities, net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4,849</w:t>
            </w:r>
          </w:p>
        </w:tc>
        <w:tc>
          <w:tcPr>
            <w:tcW w:w="100" w:type="dxa"/>
            <w:vAlign w:val="bottom"/>
          </w:tcPr>
          <w:p>
            <w:pPr>
              <w:spacing w:after="0"/>
              <w:rPr>
                <w:sz w:val="19"/>
                <w:szCs w:val="19"/>
                <w:color w:val="auto"/>
              </w:rPr>
            </w:pPr>
          </w:p>
        </w:tc>
      </w:tr>
      <w:tr>
        <w:trPr>
          <w:trHeight w:val="229"/>
        </w:trPr>
        <w:tc>
          <w:tcPr>
            <w:tcW w:w="8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Finance lease obligations</w:t>
            </w: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33,256</w:t>
            </w:r>
          </w:p>
        </w:tc>
        <w:tc>
          <w:tcPr>
            <w:tcW w:w="100" w:type="dxa"/>
            <w:vAlign w:val="bottom"/>
            <w:shd w:val="clear" w:color="auto" w:fill="CFF0FC"/>
          </w:tcPr>
          <w:p>
            <w:pPr>
              <w:spacing w:after="0"/>
              <w:rPr>
                <w:sz w:val="19"/>
                <w:szCs w:val="19"/>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55,752</w:t>
            </w:r>
          </w:p>
        </w:tc>
        <w:tc>
          <w:tcPr>
            <w:tcW w:w="100" w:type="dxa"/>
            <w:vAlign w:val="bottom"/>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assets and liabilities associated with the Everstream transaction are included in the results of the Fiber Infrastructure segment. The sale does not represent a strategic shift that will have a major effect on operations and financial results and, therefore, did not qualify for presentation as a discontinued operation.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 in Unconsolidated Entities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As of December 31, 2020, </w:t>
      </w:r>
      <w:r>
        <w:rPr>
          <w:rFonts w:ascii="Arial" w:cs="Arial" w:eastAsia="Arial" w:hAnsi="Arial"/>
          <w:sz w:val="18"/>
          <w:szCs w:val="18"/>
          <w:color w:val="212529"/>
        </w:rPr>
        <w:t>the Company had an aggregate investment of $66.0 million in its equity method unconsolidated entities, which included a 42%</w:t>
      </w:r>
      <w:r>
        <w:rPr>
          <w:rFonts w:ascii="Arial" w:cs="Arial" w:eastAsia="Arial" w:hAnsi="Arial"/>
          <w:sz w:val="18"/>
          <w:szCs w:val="18"/>
          <w:color w:val="auto"/>
        </w:rPr>
        <w:t xml:space="preserve"> </w:t>
      </w:r>
      <w:r>
        <w:rPr>
          <w:rFonts w:ascii="Arial" w:cs="Arial" w:eastAsia="Arial" w:hAnsi="Arial"/>
          <w:sz w:val="18"/>
          <w:szCs w:val="18"/>
          <w:color w:val="212529"/>
        </w:rPr>
        <w:t>interest in Fiber Holdings and approximately a 10% interest in Harmoni.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Fiber Holdings</w:t>
      </w:r>
    </w:p>
    <w:p>
      <w:pPr>
        <w:spacing w:after="0" w:line="225"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212529"/>
        </w:rPr>
        <w:t xml:space="preserve">Fiber Holdings </w:t>
      </w:r>
      <w:r>
        <w:rPr>
          <w:rFonts w:ascii="Arial" w:cs="Arial" w:eastAsia="Arial" w:hAnsi="Arial"/>
          <w:sz w:val="16"/>
          <w:szCs w:val="16"/>
          <w:color w:val="000000"/>
        </w:rPr>
        <w:t>was primarily established to develop fiber networks as real estate property for long-term investment. Fiber Holdings has a 47.5%</w:t>
      </w:r>
      <w:r>
        <w:rPr>
          <w:rFonts w:ascii="Arial" w:cs="Arial" w:eastAsia="Arial" w:hAnsi="Arial"/>
          <w:sz w:val="16"/>
          <w:szCs w:val="16"/>
          <w:color w:val="212529"/>
        </w:rPr>
        <w:t xml:space="preserve"> </w:t>
      </w:r>
      <w:r>
        <w:rPr>
          <w:rFonts w:ascii="Arial" w:cs="Arial" w:eastAsia="Arial" w:hAnsi="Arial"/>
          <w:sz w:val="16"/>
          <w:szCs w:val="16"/>
          <w:color w:val="000000"/>
        </w:rPr>
        <w:t xml:space="preserve">ownership in the Propco that is under a long-term, triple net lease with our joint venture partner. Our ownership interest in Fiber Holdings represents approximately a 20% economic interest in the Propco. The Company’s current investment and maximum exposure to loss as a result of its involvement with </w:t>
      </w:r>
      <w:r>
        <w:rPr>
          <w:rFonts w:ascii="Arial" w:cs="Arial" w:eastAsia="Arial" w:hAnsi="Arial"/>
          <w:sz w:val="16"/>
          <w:szCs w:val="16"/>
          <w:color w:val="212529"/>
        </w:rPr>
        <w:t>Fiber Holdings</w:t>
      </w:r>
      <w:r>
        <w:rPr>
          <w:rFonts w:ascii="Arial" w:cs="Arial" w:eastAsia="Arial" w:hAnsi="Arial"/>
          <w:sz w:val="16"/>
          <w:szCs w:val="16"/>
          <w:color w:val="000000"/>
        </w:rPr>
        <w:t xml:space="preserve"> was approximately $41.1 million as of December 31, 2020. The Company has not provided financial support to </w:t>
      </w:r>
      <w:r>
        <w:rPr>
          <w:rFonts w:ascii="Arial" w:cs="Arial" w:eastAsia="Arial" w:hAnsi="Arial"/>
          <w:sz w:val="16"/>
          <w:szCs w:val="16"/>
          <w:color w:val="212529"/>
        </w:rPr>
        <w:t>Fiber Holdings.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Harmoni</w:t>
      </w:r>
    </w:p>
    <w:p>
      <w:pPr>
        <w:spacing w:after="0" w:line="22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Harmoni was primarily established to develop wireless communication towers as real estate property for long-term investment. We concluded that Harmoni is a VIE; however, the Company determined that it was not the primary beneficiary of Harmoni because the Company lacks the power to direct the activities that most significantly impact its economic performance. The Company’s current investment and maximum exposure to loss as a result of its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involvement with Harmoni was approximately $24.9 million as of December 31, 2020. The Company has not provided financial support to Harmoni.</w:t>
      </w:r>
    </w:p>
    <w:p>
      <w:pPr>
        <w:spacing w:after="0" w:line="23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provide transition services to Harmoni in exchange for fees and reimbursements. Total transition service fees earned in connection with Harmoni were $0.7 million for the year ended December 31, 2020, which is included in operating expense on a net basis in our Consolidated Statements of Income (Loss).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of Financial Instruments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Level 1 </w:t>
      </w:r>
      <w:r>
        <w:rPr>
          <w:rFonts w:ascii="Arial" w:cs="Arial" w:eastAsia="Arial" w:hAnsi="Arial"/>
          <w:sz w:val="17"/>
          <w:szCs w:val="17"/>
          <w:color w:val="auto"/>
        </w:rPr>
        <w:t>– Quoted prices (unadjusted) in active markets for identical assets or liabilities that the reporting entity can access at the assessment 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Inputs other than quoted prices included within Level 1 that are observable for the asset or liability, either directly or indirectly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for the asset or liability</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financial instruments consist of cash and cash equivalents, accounts and other receivables, derivative instruments, contingent consideration, our outstanding notes and other debt, and accounts, interest and dividends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financial instruments at December 31, 2020 and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Prices with Other</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4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32"/>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23"/>
        </w:trPr>
        <w:tc>
          <w:tcPr>
            <w:tcW w:w="5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December 31, 2020</w:t>
            </w:r>
          </w:p>
        </w:tc>
        <w:tc>
          <w:tcPr>
            <w:tcW w:w="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secured notes - 7.875%, due February 15, 2025</w:t>
            </w:r>
          </w:p>
        </w:tc>
        <w:tc>
          <w:tcPr>
            <w:tcW w:w="56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2,410,313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2,410,313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Senior secured notes - 6.00%, due April 15, 2023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561,000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561,000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unsecured notes - 8.25%, due October 15, 2023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1,112,775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1,112,775</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Senior unsecured notes - 7.125%, due December 15, 2024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601,500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601,500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Exchangeable senior unsecured notes - 4.00%, due June 15, 2024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426,058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426,058</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w w:val="92"/>
              </w:rPr>
              <w:t>Senior secured revolving credit facility, variable rate, due April 24, 2022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 liability, net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22,897</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Settlement payable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418,840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418,840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2,957</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5,666,340</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5,663,383</w:t>
            </w: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9"/>
              </w:rPr>
              <w:t>98</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Prices with Other</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4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57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32"/>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23"/>
        </w:trPr>
        <w:tc>
          <w:tcPr>
            <w:tcW w:w="5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December 31, 2019</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Senior secured term loan B - variable rate, due October 24, 2022</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1,998,721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1,998,721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Senior secured notes - 6.00% , due April 15, 2023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528,000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528,000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Senior unsecured notes - 8.25%, due October 15, 2023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971,250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971,250</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Senior unsecured notes - 7.125%, due December 15, 2024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511,500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511,500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Exchangeable senior unsecured notes - 4.00%, due June 15, 2024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309,638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309,638</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gridSpan w:val="2"/>
          </w:tcPr>
          <w:p>
            <w:pPr>
              <w:ind w:left="260"/>
              <w:spacing w:after="0"/>
              <w:rPr>
                <w:sz w:val="20"/>
                <w:szCs w:val="20"/>
                <w:color w:val="auto"/>
              </w:rPr>
            </w:pPr>
            <w:r>
              <w:rPr>
                <w:rFonts w:ascii="Arial" w:cs="Arial" w:eastAsia="Arial" w:hAnsi="Arial"/>
                <w:sz w:val="18"/>
                <w:szCs w:val="18"/>
                <w:color w:val="auto"/>
                <w:w w:val="96"/>
              </w:rPr>
              <w:t>Senior secured revolving credit facility, variable rate, due April 24, 2022</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574,961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574,961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Derivative liability, net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23,679</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Contingent consideration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4,929,256</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4,917,749</w:t>
            </w:r>
          </w:p>
        </w:tc>
        <w:tc>
          <w:tcPr>
            <w:tcW w:w="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total principal balance of our Notes and other debt was $4.97 billion at December 31, 2020, with a fair value of $5.22 billion. The estimated fair value of the Notes and other debt was based on available external pricing data and current market rates for similar debt instruments, among other factors, which are classified as Level 2 inputs within the fair value hierarchy. Derivative instruments are carried at fair value. See Note 11. The fair value of our interest rate swap is determined based on the present value of expected future cash flows using observable, quoted LIBOR swap rates for the full term of the swap and also incorporate credit valuation adjustments to appropriately reflect both Uniti 's own non-performance risk and non-performance risk of the respective counterparties. The Company has determined that the majority of the inputs used to value its derivative instruments fall within Level 2 of the fair value hierarchy; however, the associated credit valuation adjustments utilized Level 3 inputs, such as estimates of credit spreads, to evaluate the likelihood of default by the Company and its counterparties. As of December 31, 2020,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instruments valuation in Level 2 of the fair value hierarchy.</w:t>
      </w:r>
    </w:p>
    <w:p>
      <w:pPr>
        <w:spacing w:after="0" w:line="168" w:lineRule="exact"/>
        <w:rPr>
          <w:sz w:val="20"/>
          <w:szCs w:val="20"/>
          <w:color w:val="auto"/>
        </w:rPr>
      </w:pPr>
    </w:p>
    <w:p>
      <w:pPr>
        <w:ind w:right="40"/>
        <w:spacing w:after="0" w:line="329" w:lineRule="auto"/>
        <w:rPr>
          <w:sz w:val="20"/>
          <w:szCs w:val="20"/>
          <w:color w:val="auto"/>
        </w:rPr>
      </w:pPr>
      <w:r>
        <w:rPr>
          <w:rFonts w:ascii="Arial" w:cs="Arial" w:eastAsia="Arial" w:hAnsi="Arial"/>
          <w:sz w:val="16"/>
          <w:szCs w:val="16"/>
          <w:color w:val="auto"/>
        </w:rPr>
        <w:t>Given the limited trade activity of the Exchangeable Notes, the fair value of the Exchangeable Notes (see Note 13) is determined based on inputs that are observable in the market and have been classified as Level 2 in the fair value hierarchy. Specifically, we estimated the fair value of the Exchangeable Notes based on readily available external pricing information, quoted market prices, and current market rates for similar convertible debt instruments.</w:t>
      </w:r>
    </w:p>
    <w:p>
      <w:pPr>
        <w:spacing w:after="0" w:line="134"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Uniti is required to make a $490.1 million cash payment to Windstream in equal installments over 20 consecutive quarters beginning the first month after Windstream’s emergence (the “Settlement Payable”) (see Note 17). The Settlement Payable was initially recorded at its fair value, which was determined using the present value of required future cash payments and is classified in Level 2 of the fair value hierarchy. The fair value of the Settlement Payable is $418.8 million and is reported as settlement payable on our Consolidated Balance Sheet at December 31, 2020.</w:t>
      </w:r>
    </w:p>
    <w:p>
      <w:pPr>
        <w:spacing w:after="0" w:line="17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As part of the acquisition of Tower Cloud on August 31, 2016, we may be obligated to pay contingent consideration upon achievement of certain defined operational and financial milestones; therefore, we recorded the estimated fair value of future contingent consideration of $3.0 million as of December 31, 2020. The fair value of the contingent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consideration as of December 31, 2020, was determined using a discounted cash flow model and probability adjusted estimates of the operational milestones and is classified as Level 3. During the years ended December 31, 2020 and 2019, we paid $15.7 million and $29.6 million, respectively, for the achievement of certain milestones in accordance with the Tower Cloud merger agreement.</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Changes in the fair value of contingent consideration will be recorded in our Consolidated Statement of Income in the period in which the change occurs. For the year ended December 31, 2020, there was a $7.2 million increase in the fair value of the contingent consideration that was recorded in Other (income) expense on the Consolidated Statements of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 forward of our liability measured at fair value on a recurring basis using unobservable inputs (Level 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restart"/>
          </w:tcPr>
          <w:p>
            <w:pPr>
              <w:jc w:val="center"/>
              <w:ind w:right="28"/>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12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Transfers into</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(Gain)/Loss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1"/>
              </w:rPr>
              <w:t>included in</w:t>
            </w:r>
          </w:p>
        </w:tc>
        <w:tc>
          <w:tcPr>
            <w:tcW w:w="220" w:type="dxa"/>
            <w:vAlign w:val="bottom"/>
          </w:tcPr>
          <w:p>
            <w:pPr>
              <w:spacing w:after="0"/>
              <w:rPr>
                <w:sz w:val="12"/>
                <w:szCs w:val="12"/>
                <w:color w:val="auto"/>
              </w:rPr>
            </w:pPr>
          </w:p>
        </w:tc>
        <w:tc>
          <w:tcPr>
            <w:tcW w:w="8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8"/>
              </w:rPr>
              <w:t>Settlements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4"/>
                <w:szCs w:val="14"/>
                <w:color w:val="auto"/>
              </w:rPr>
            </w:pPr>
          </w:p>
        </w:tc>
        <w:tc>
          <w:tcPr>
            <w:tcW w:w="98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earnings</w:t>
            </w:r>
          </w:p>
        </w:tc>
        <w:tc>
          <w:tcPr>
            <w:tcW w:w="22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11,507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7,163</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w w:val="83"/>
              </w:rPr>
              <w:t>(15,713)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Note 10. Property, Plant and Equipment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w w:val="97"/>
              </w:rPr>
              <w:t>The carrying value of property, plant and equipment is as follows: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Depreciable Lives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96"/>
              </w:rPr>
              <w:t>December 31, 2020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Land</w:t>
            </w:r>
          </w:p>
        </w:tc>
        <w:tc>
          <w:tcPr>
            <w:tcW w:w="1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Indefinite</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0"/>
              </w:rPr>
              <w:t>27,945</w:t>
            </w:r>
          </w:p>
        </w:tc>
        <w:tc>
          <w:tcPr>
            <w:tcW w:w="30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w w:val="90"/>
              </w:rPr>
              <w:t>3 - 40 years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351,305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property interests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w w:val="95"/>
              </w:rPr>
              <w:t>See Note 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2"/>
          </w:tcPr>
          <w:p>
            <w:pPr>
              <w:spacing w:after="0"/>
              <w:rPr>
                <w:sz w:val="20"/>
                <w:szCs w:val="20"/>
                <w:color w:val="auto"/>
              </w:rPr>
            </w:pPr>
            <w:r>
              <w:rPr>
                <w:rFonts w:ascii="Arial" w:cs="Arial" w:eastAsia="Arial" w:hAnsi="Arial"/>
                <w:sz w:val="18"/>
                <w:szCs w:val="18"/>
                <w:color w:val="auto"/>
              </w:rPr>
              <w:t>Poles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30 years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266,758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Fiber</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30 years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3,737,372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3,456,398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5 - 7 years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298,912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293,427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Copper</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20 years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3,850,987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3,792,366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Conduit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30 years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89,773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Tower assets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20 years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Finance lease assets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w w:val="95"/>
              </w:rPr>
              <w:t>See Note 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74,103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w w:val="95"/>
              </w:rPr>
              <w:t>See Note 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0"/>
              </w:rPr>
              <w:t>47,086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4"/>
          </w:tcPr>
          <w:p>
            <w:pPr>
              <w:jc w:val="right"/>
              <w:ind w:right="200"/>
              <w:spacing w:after="0"/>
              <w:rPr>
                <w:sz w:val="20"/>
                <w:szCs w:val="20"/>
                <w:color w:val="auto"/>
              </w:rPr>
            </w:pPr>
            <w:r>
              <w:rPr>
                <w:rFonts w:ascii="Arial" w:cs="Arial" w:eastAsia="Arial" w:hAnsi="Arial"/>
                <w:sz w:val="18"/>
                <w:szCs w:val="18"/>
                <w:color w:val="auto"/>
                <w:w w:val="93"/>
              </w:rPr>
              <w:t>15 - 20 years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10,553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assets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3 - 7 years</w:t>
            </w: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0"/>
              </w:rPr>
              <w:t>13,475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8,776,840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8,683,479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60" w:type="dxa"/>
            <w:vAlign w:val="bottom"/>
            <w:gridSpan w:val="4"/>
            <w:shd w:val="clear" w:color="auto" w:fill="CFF0FC"/>
          </w:tcPr>
          <w:p>
            <w:pPr>
              <w:jc w:val="right"/>
              <w:ind w:right="130"/>
              <w:spacing w:after="0"/>
              <w:rPr>
                <w:sz w:val="20"/>
                <w:szCs w:val="20"/>
                <w:color w:val="auto"/>
              </w:rPr>
            </w:pPr>
            <w:r>
              <w:rPr>
                <w:rFonts w:ascii="Arial" w:cs="Arial" w:eastAsia="Arial" w:hAnsi="Arial"/>
                <w:sz w:val="18"/>
                <w:szCs w:val="18"/>
                <w:color w:val="auto"/>
              </w:rPr>
              <w:t>(5,503,487)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(5,273,534)</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3,273,353</w:t>
            </w:r>
          </w:p>
        </w:tc>
        <w:tc>
          <w:tcPr>
            <w:tcW w:w="30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3,409,945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Finance lease assets above represent fiber leases, where we have the exclusive, unrestricted, and indefeasible right to use one, a pair, or more strands of fiber of a fiber cable.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years ended December 31, 2020, 2019, and 2018 was $301.2 million, $377.3 million and $425.2 million, respectively.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 Instruments and Hedging Activities</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24"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On April 27, 2015, we entered into fixed for floating interest rate swap agreements to mitigate the interest rate risk inherent in our variable rate term loan facility. These interest rate swaps were designated as cash flow hedges and have a notional value of $2.02 billion and mature on October 24,</w:t>
      </w:r>
    </w:p>
    <w:p>
      <w:pPr>
        <w:ind w:right="220"/>
        <w:spacing w:after="0" w:line="253" w:lineRule="auto"/>
        <w:rPr>
          <w:sz w:val="20"/>
          <w:szCs w:val="20"/>
          <w:color w:val="auto"/>
        </w:rPr>
      </w:pPr>
      <w:r>
        <w:rPr>
          <w:rFonts w:ascii="Arial" w:cs="Arial" w:eastAsia="Arial" w:hAnsi="Arial"/>
          <w:sz w:val="18"/>
          <w:szCs w:val="18"/>
          <w:color w:val="auto"/>
        </w:rPr>
        <w:t xml:space="preserve">2022. </w:t>
      </w:r>
      <w:r>
        <w:rPr>
          <w:rFonts w:ascii="Arial" w:cs="Arial" w:eastAsia="Arial" w:hAnsi="Arial"/>
          <w:sz w:val="18"/>
          <w:szCs w:val="18"/>
          <w:color w:val="1F2322"/>
        </w:rPr>
        <w:t>As result of the repayment of the Company’s term loan facility in February of 2020 (see Note 13), the Company entered into receive-fixed interest</w:t>
      </w:r>
      <w:r>
        <w:rPr>
          <w:rFonts w:ascii="Arial" w:cs="Arial" w:eastAsia="Arial" w:hAnsi="Arial"/>
          <w:sz w:val="18"/>
          <w:szCs w:val="18"/>
          <w:color w:val="auto"/>
        </w:rPr>
        <w:t xml:space="preserve"> </w:t>
      </w:r>
      <w:r>
        <w:rPr>
          <w:rFonts w:ascii="Arial" w:cs="Arial" w:eastAsia="Arial" w:hAnsi="Arial"/>
          <w:sz w:val="18"/>
          <w:szCs w:val="18"/>
          <w:color w:val="1F2322"/>
        </w:rPr>
        <w:t>rate swaps to offset its existing pay-fixed interest rate swaps. As a result, the Company discontinued hedge accounting as the hedge accounting requirements were no longer met. Amounts in accumulated other comprehensive (loss) income as of the date of de-designation, will be reclassified to interest expense as the hedged transactions impact earnings. Prospectively, changes in fair value of all interest rate swaps will be recorded directly to earnings.</w:t>
      </w:r>
    </w:p>
    <w:p>
      <w:pPr>
        <w:spacing w:after="0" w:line="19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1F2322"/>
        </w:rPr>
        <w:t>The Company has elected to offset derivative positions that are subject to master netting arrangements with the same counterparty in our Consolidated Balance Sheets. The gross amounts of our derivative instruments subject to master netting arrangements with the same counterparty as of December 31, 2020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Amounts of Assets or</w:t>
            </w:r>
          </w:p>
        </w:tc>
        <w:tc>
          <w:tcPr>
            <w:tcW w:w="0" w:type="dxa"/>
            <w:vAlign w:val="bottom"/>
          </w:tcPr>
          <w:p>
            <w:pPr>
              <w:spacing w:after="0"/>
              <w:rPr>
                <w:sz w:val="1"/>
                <w:szCs w:val="1"/>
                <w:color w:val="auto"/>
              </w:rPr>
            </w:pPr>
          </w:p>
        </w:tc>
      </w:tr>
      <w:tr>
        <w:trPr>
          <w:trHeight w:val="198"/>
        </w:trPr>
        <w:tc>
          <w:tcPr>
            <w:tcW w:w="4240" w:type="dxa"/>
            <w:vAlign w:val="bottom"/>
          </w:tcPr>
          <w:p>
            <w:pPr>
              <w:spacing w:after="0" w:line="198" w:lineRule="exact"/>
              <w:rPr>
                <w:sz w:val="20"/>
                <w:szCs w:val="20"/>
                <w:color w:val="auto"/>
              </w:rPr>
            </w:pPr>
            <w:r>
              <w:rPr>
                <w:rFonts w:ascii="Arial" w:cs="Arial" w:eastAsia="Arial" w:hAnsi="Arial"/>
                <w:sz w:val="18"/>
                <w:szCs w:val="18"/>
                <w:color w:val="auto"/>
              </w:rPr>
              <w:t>Offsetting of Derivative Assets and Liabilities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center"/>
              <w:ind w:right="160"/>
              <w:spacing w:after="0"/>
              <w:rPr>
                <w:sz w:val="20"/>
                <w:szCs w:val="20"/>
                <w:color w:val="auto"/>
              </w:rPr>
            </w:pPr>
            <w:r>
              <w:rPr>
                <w:rFonts w:ascii="Arial" w:cs="Arial" w:eastAsia="Arial" w:hAnsi="Arial"/>
                <w:sz w:val="14"/>
                <w:szCs w:val="14"/>
                <w:b w:val="1"/>
                <w:bCs w:val="1"/>
                <w:color w:val="auto"/>
                <w:w w:val="91"/>
              </w:rPr>
              <w:t>Gross Amounts of</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Gross Amounts Offset in</w:t>
            </w:r>
          </w:p>
        </w:tc>
        <w:tc>
          <w:tcPr>
            <w:tcW w:w="140" w:type="dxa"/>
            <w:vAlign w:val="bottom"/>
          </w:tcPr>
          <w:p>
            <w:pPr>
              <w:spacing w:after="0"/>
              <w:rPr>
                <w:sz w:val="17"/>
                <w:szCs w:val="17"/>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Liabilities presented in the</w:t>
            </w:r>
          </w:p>
        </w:tc>
        <w:tc>
          <w:tcPr>
            <w:tcW w:w="0" w:type="dxa"/>
            <w:vAlign w:val="bottom"/>
          </w:tcPr>
          <w:p>
            <w:pPr>
              <w:spacing w:after="0"/>
              <w:rPr>
                <w:sz w:val="1"/>
                <w:szCs w:val="1"/>
                <w:color w:val="auto"/>
              </w:rPr>
            </w:pPr>
          </w:p>
        </w:tc>
      </w:tr>
      <w:tr>
        <w:trPr>
          <w:trHeight w:val="99"/>
        </w:trPr>
        <w:tc>
          <w:tcPr>
            <w:tcW w:w="4240" w:type="dxa"/>
            <w:vAlign w:val="bottom"/>
            <w:vMerge w:val="restart"/>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40" w:type="dxa"/>
            <w:vAlign w:val="bottom"/>
          </w:tcPr>
          <w:p>
            <w:pPr>
              <w:jc w:val="center"/>
              <w:ind w:right="160"/>
              <w:spacing w:after="0" w:line="99" w:lineRule="exact"/>
              <w:rPr>
                <w:sz w:val="20"/>
                <w:szCs w:val="20"/>
                <w:color w:val="auto"/>
              </w:rPr>
            </w:pPr>
            <w:r>
              <w:rPr>
                <w:rFonts w:ascii="Arial" w:cs="Arial" w:eastAsia="Arial" w:hAnsi="Arial"/>
                <w:sz w:val="11"/>
                <w:szCs w:val="11"/>
                <w:b w:val="1"/>
                <w:bCs w:val="1"/>
                <w:color w:val="auto"/>
              </w:rPr>
              <w:t>Recognized Assets or</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180" w:type="dxa"/>
            <w:vAlign w:val="bottom"/>
            <w:gridSpan w:val="2"/>
          </w:tcPr>
          <w:p>
            <w:pPr>
              <w:jc w:val="center"/>
              <w:ind w:right="440"/>
              <w:spacing w:after="0" w:line="99" w:lineRule="exact"/>
              <w:rPr>
                <w:sz w:val="20"/>
                <w:szCs w:val="20"/>
                <w:color w:val="auto"/>
              </w:rPr>
            </w:pPr>
            <w:r>
              <w:rPr>
                <w:rFonts w:ascii="Arial" w:cs="Arial" w:eastAsia="Arial" w:hAnsi="Arial"/>
                <w:sz w:val="11"/>
                <w:szCs w:val="11"/>
                <w:b w:val="1"/>
                <w:bCs w:val="1"/>
                <w:color w:val="auto"/>
              </w:rPr>
              <w:t>the Consolidated Balance</w:t>
            </w:r>
          </w:p>
        </w:tc>
        <w:tc>
          <w:tcPr>
            <w:tcW w:w="140" w:type="dxa"/>
            <w:vAlign w:val="bottom"/>
          </w:tcPr>
          <w:p>
            <w:pPr>
              <w:spacing w:after="0"/>
              <w:rPr>
                <w:sz w:val="8"/>
                <w:szCs w:val="8"/>
                <w:color w:val="auto"/>
              </w:rPr>
            </w:pPr>
          </w:p>
        </w:tc>
        <w:tc>
          <w:tcPr>
            <w:tcW w:w="2040" w:type="dxa"/>
            <w:vAlign w:val="bottom"/>
            <w:gridSpan w:val="2"/>
          </w:tcPr>
          <w:p>
            <w:pPr>
              <w:jc w:val="center"/>
              <w:ind w:right="280"/>
              <w:spacing w:after="0" w:line="99" w:lineRule="exact"/>
              <w:rPr>
                <w:sz w:val="20"/>
                <w:szCs w:val="20"/>
                <w:color w:val="auto"/>
              </w:rPr>
            </w:pPr>
            <w:r>
              <w:rPr>
                <w:rFonts w:ascii="Arial" w:cs="Arial" w:eastAsia="Arial" w:hAnsi="Arial"/>
                <w:sz w:val="11"/>
                <w:szCs w:val="11"/>
                <w:b w:val="1"/>
                <w:bCs w:val="1"/>
                <w:color w:val="auto"/>
              </w:rPr>
              <w:t>Consolidated</w:t>
            </w:r>
          </w:p>
        </w:tc>
        <w:tc>
          <w:tcPr>
            <w:tcW w:w="0" w:type="dxa"/>
            <w:vAlign w:val="bottom"/>
          </w:tcPr>
          <w:p>
            <w:pPr>
              <w:spacing w:after="0"/>
              <w:rPr>
                <w:sz w:val="1"/>
                <w:szCs w:val="1"/>
                <w:color w:val="auto"/>
              </w:rPr>
            </w:pPr>
          </w:p>
        </w:tc>
      </w:tr>
      <w:tr>
        <w:trPr>
          <w:trHeight w:val="171"/>
        </w:trPr>
        <w:tc>
          <w:tcPr>
            <w:tcW w:w="4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Liabilities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2"/>
              </w:rPr>
              <w:t>Sheets</w:t>
            </w:r>
          </w:p>
        </w:tc>
        <w:tc>
          <w:tcPr>
            <w:tcW w:w="140" w:type="dxa"/>
            <w:vAlign w:val="bottom"/>
          </w:tcPr>
          <w:p>
            <w:pPr>
              <w:spacing w:after="0"/>
              <w:rPr>
                <w:sz w:val="14"/>
                <w:szCs w:val="14"/>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27,869</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2180" w:type="dxa"/>
            <w:vAlign w:val="bottom"/>
            <w:gridSpan w:val="2"/>
          </w:tcPr>
          <w:p>
            <w:pPr>
              <w:ind w:left="1340"/>
              <w:spacing w:after="0"/>
              <w:rPr>
                <w:sz w:val="20"/>
                <w:szCs w:val="20"/>
                <w:color w:val="auto"/>
              </w:rPr>
            </w:pPr>
            <w:r>
              <w:rPr>
                <w:rFonts w:ascii="Arial" w:cs="Arial" w:eastAsia="Arial" w:hAnsi="Arial"/>
                <w:sz w:val="18"/>
                <w:szCs w:val="18"/>
                <w:color w:val="auto"/>
              </w:rPr>
              <w:t>(27,869)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shd w:val="clear" w:color="auto" w:fill="CFF0FC"/>
          </w:tcPr>
          <w:p>
            <w:pPr>
              <w:ind w:left="1340"/>
              <w:spacing w:after="0"/>
              <w:rPr>
                <w:sz w:val="20"/>
                <w:szCs w:val="20"/>
                <w:color w:val="auto"/>
              </w:rPr>
            </w:pPr>
            <w:r>
              <w:rPr>
                <w:rFonts w:ascii="Arial" w:cs="Arial" w:eastAsia="Arial" w:hAnsi="Arial"/>
                <w:sz w:val="18"/>
                <w:szCs w:val="18"/>
                <w:color w:val="auto"/>
                <w:w w:val="83"/>
              </w:rPr>
              <w:t>(27,869)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50,766</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2180" w:type="dxa"/>
            <w:vAlign w:val="bottom"/>
            <w:gridSpan w:val="2"/>
          </w:tcPr>
          <w:p>
            <w:pPr>
              <w:ind w:left="1340"/>
              <w:spacing w:after="0"/>
              <w:rPr>
                <w:sz w:val="20"/>
                <w:szCs w:val="20"/>
                <w:color w:val="auto"/>
              </w:rPr>
            </w:pPr>
            <w:r>
              <w:rPr>
                <w:rFonts w:ascii="Arial" w:cs="Arial" w:eastAsia="Arial" w:hAnsi="Arial"/>
                <w:sz w:val="18"/>
                <w:szCs w:val="18"/>
                <w:color w:val="auto"/>
              </w:rPr>
              <w:t>(27,869)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22,897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50,766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shd w:val="clear" w:color="auto" w:fill="CFF0FC"/>
          </w:tcPr>
          <w:p>
            <w:pPr>
              <w:ind w:left="1340"/>
              <w:spacing w:after="0"/>
              <w:rPr>
                <w:sz w:val="20"/>
                <w:szCs w:val="20"/>
                <w:color w:val="auto"/>
              </w:rPr>
            </w:pPr>
            <w:r>
              <w:rPr>
                <w:rFonts w:ascii="Arial" w:cs="Arial" w:eastAsia="Arial" w:hAnsi="Arial"/>
                <w:sz w:val="18"/>
                <w:szCs w:val="18"/>
                <w:color w:val="auto"/>
                <w:w w:val="83"/>
              </w:rPr>
              <w:t>(27,869)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and the presentation in our Consolidated Balance Sheet: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1"/>
              </w:rPr>
              <w:t>Location on Consolidated</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14"/>
                <w:szCs w:val="14"/>
                <w:color w:val="auto"/>
              </w:rPr>
            </w:pPr>
          </w:p>
        </w:tc>
        <w:tc>
          <w:tcPr>
            <w:tcW w:w="1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1"/>
        </w:trPr>
        <w:tc>
          <w:tcPr>
            <w:tcW w:w="44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160" w:type="dxa"/>
            <w:vAlign w:val="bottom"/>
            <w:tcBorders>
              <w:top w:val="single" w:sz="8" w:color="CFF0FC"/>
            </w:tcBorders>
            <w:shd w:val="clear" w:color="auto" w:fill="CFF0FC"/>
          </w:tcPr>
          <w:p>
            <w:pPr>
              <w:spacing w:after="0"/>
              <w:rPr>
                <w:sz w:val="19"/>
                <w:szCs w:val="19"/>
                <w:color w:val="auto"/>
              </w:rPr>
            </w:pPr>
          </w:p>
        </w:tc>
        <w:tc>
          <w:tcPr>
            <w:tcW w:w="2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Derivative liability, net</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22,897</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23,679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of December 31, 2020, all of the interest rate swaps were valued in net unrealized loss positions and recognized as a liability balance within the derivative liability, net on the Consolidated Balance Sheets. As hedge accounting is no longer applied beginning in February 2020, the unrealized loss amounts are now being recorded directly to earnings. For the year ended December 31, 2020, the amount recorded in other comprehensive income related to the unrealized loss on derivative instruments prior to the February 2020 discontinuance of hedge accounting was $7.7 million. The amount reclassified out of other comprehensive income into interest expense on our Consolidated Statements of Income (Loss) for the year ended December 31, 2020 was $10.8 million.</w:t>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of December 31, 2019, all of the interest rate swaps were valued in net unrealized loss positions and recognized as a liability balance within the derivative liability, net on the Consolidated Balance Sheets. For the years ended December 31, 2019 and 2018, the amount recorded in other comprehensive income related to the derivative instruments was $51.3 million unrealized loss and $21.6 million unrealized gain, respectively. The amount reclassified out of other comprehensive income into interest expense on our Consolidated Statement of Income for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years ended December 31, 2019 and 2018 was $3.3 million interest benefit and $2.6 million interest expense, respectively. For the years ended December 31, 2019 and 2018, there were no ineffective portions of the change in fair value derivatives.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the next twelve months, beginning January 1, 2021, we estimate that $11.3 million will be reclassified as an increase to interest expense.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Exchangeable Notes Hedge Transactions</w:t>
      </w:r>
    </w:p>
    <w:p>
      <w:pPr>
        <w:spacing w:after="0" w:line="225" w:lineRule="exact"/>
        <w:rPr>
          <w:sz w:val="20"/>
          <w:szCs w:val="20"/>
          <w:color w:val="auto"/>
        </w:rPr>
      </w:pPr>
    </w:p>
    <w:p>
      <w:pPr>
        <w:spacing w:after="0" w:line="269" w:lineRule="auto"/>
        <w:rPr>
          <w:rFonts w:ascii="Arial" w:cs="Arial" w:eastAsia="Arial" w:hAnsi="Arial"/>
          <w:sz w:val="17"/>
          <w:szCs w:val="17"/>
          <w:color w:val="auto"/>
        </w:rPr>
      </w:pPr>
      <w:r>
        <w:rPr>
          <w:rFonts w:ascii="Arial" w:cs="Arial" w:eastAsia="Arial" w:hAnsi="Arial"/>
          <w:sz w:val="17"/>
          <w:szCs w:val="17"/>
          <w:color w:val="auto"/>
        </w:rPr>
        <w:t>On June 25, 2019, concurrently with the pricing of the Exchangeable Notes (</w:t>
      </w:r>
      <w:hyperlink r:id="rId99">
        <w:r>
          <w:rPr>
            <w:rFonts w:ascii="Arial" w:cs="Arial" w:eastAsia="Arial" w:hAnsi="Arial"/>
            <w:sz w:val="17"/>
            <w:szCs w:val="17"/>
            <w:u w:val="single" w:color="auto"/>
            <w:color w:val="0000EE"/>
          </w:rPr>
          <w:t>see Note 13</w:t>
        </w:r>
      </w:hyperlink>
      <w:r>
        <w:rPr>
          <w:rFonts w:ascii="Arial" w:cs="Arial" w:eastAsia="Arial" w:hAnsi="Arial"/>
          <w:sz w:val="17"/>
          <w:szCs w:val="17"/>
          <w:color w:val="auto"/>
        </w:rPr>
        <w:t>), and on June 27, 2019, concurrently with the exercise by the Initial Purchasers (as defined below) of their option to purchase additional Exchangeable Notes, Uniti Fiber, the issuer of the Exchangeable Notes, entered into the Note Hedge Transactions with certain of the Counterparties. The Note Hedge Transactions cover, subject to 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spacing w:after="0" w:line="18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Note Hedge Transactions are separate transactions, entered into by Uniti Fiber with the Counterparties, and are not part of the terms of the Exchangeable Notes. Holders of the Exchangeable Notes will not have any rights with respect to the Note Hedge Transactions. Uniti Fiber used approximately $70.0 million of the net proceeds from the offering of the Exchangeable Notes to pay the cost of the Note Hedge Transactions. The Note Hedge Transactions meet certain accounting criteria under GAAP and are recorded in additional paid-in capital on our Consolidated Balance Sheets, are not accounted for as derivatives that are remeasured each reporting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Transactions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to acquire, subject to anti-dilution adjustments, up to approximately 27.8 million shares of the Company’s common stock in the aggregate at an exercise price of approximately $16.42 per share. The maximum number of shares of the Company’s common stock that could be issued pursuant to the Warrants is approximately 55.5 million. The Company offered and sold the Warrants in reliance on the exemption from registration provided by Section 4(a)(2) of the Securities Act of 1933, as amended (the “Securities Act”).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Warrants are separate transactions, entered into by the Company with the Counterparties, and are not part of the terms of the Exchangeable</w:t>
      </w:r>
    </w:p>
    <w:p>
      <w:pPr>
        <w:spacing w:after="0" w:line="35"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Notes. Holders of the Exchangeable Notes will not have any rights with respect to the Warrants. The Company received approximately $50.8 million from the offering and sale of the Warrants. The Warrants meet certain accounting criteria under GAAP, and are recorded in additional paid-in capital on our Consolidated Balance Sheets, are not accounted for as derivatives that are remeasured each reporting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Goodwill and Intangible Assets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part of the transaction with Everstream (see Note 7), we reclassified the associated assets and liabilities held for sale, including $17.8 million of goodwill and $10.7 million of intangible assets.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occurring during the year ended December 31, 2020 and 2019,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0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rPr>
              <w:t>Fiber Infrastructure</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Goodwill at December 31, 2018</w:t>
            </w:r>
          </w:p>
        </w:tc>
        <w:tc>
          <w:tcPr>
            <w:tcW w:w="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692,385</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692,385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Goodwill purchase accounting adjustments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152"/>
              <w:spacing w:after="0"/>
              <w:rPr>
                <w:sz w:val="20"/>
                <w:szCs w:val="20"/>
                <w:color w:val="auto"/>
              </w:rPr>
            </w:pPr>
            <w:r>
              <w:rPr>
                <w:rFonts w:ascii="Arial" w:cs="Arial" w:eastAsia="Arial" w:hAnsi="Arial"/>
                <w:sz w:val="18"/>
                <w:szCs w:val="18"/>
                <w:color w:val="auto"/>
              </w:rPr>
              <w:t>(1,269)</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Goodwill associated with 2019 acquisitions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52"/>
              <w:spacing w:after="0"/>
              <w:rPr>
                <w:sz w:val="20"/>
                <w:szCs w:val="20"/>
                <w:color w:val="auto"/>
              </w:rPr>
            </w:pPr>
            <w:r>
              <w:rPr>
                <w:rFonts w:ascii="Arial" w:cs="Arial" w:eastAsia="Arial" w:hAnsi="Arial"/>
                <w:sz w:val="18"/>
                <w:szCs w:val="18"/>
                <w:color w:val="auto"/>
              </w:rPr>
              <w:t>(444)</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Goodwill at December 31, 2019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690,672</w:t>
            </w:r>
          </w:p>
        </w:tc>
        <w:tc>
          <w:tcPr>
            <w:tcW w:w="3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 (Note 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52"/>
              <w:spacing w:after="0"/>
              <w:rPr>
                <w:sz w:val="20"/>
                <w:szCs w:val="20"/>
                <w:color w:val="auto"/>
              </w:rPr>
            </w:pPr>
            <w:r>
              <w:rPr>
                <w:rFonts w:ascii="Arial" w:cs="Arial" w:eastAsia="Arial" w:hAnsi="Arial"/>
                <w:sz w:val="18"/>
                <w:szCs w:val="18"/>
                <w:color w:val="auto"/>
              </w:rPr>
              <w:t>(71,000)</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(71,000)</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Goodwill reclassified to held for sale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152"/>
              <w:spacing w:after="0"/>
              <w:rPr>
                <w:sz w:val="20"/>
                <w:szCs w:val="20"/>
                <w:color w:val="auto"/>
              </w:rPr>
            </w:pPr>
            <w:r>
              <w:rPr>
                <w:rFonts w:ascii="Arial" w:cs="Arial" w:eastAsia="Arial" w:hAnsi="Arial"/>
                <w:sz w:val="18"/>
                <w:szCs w:val="18"/>
                <w:color w:val="auto"/>
              </w:rPr>
              <w:t>(17,794)</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(17,794)</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at December 31, 2020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601,878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601,878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w w:val="99"/>
              </w:rPr>
              <w:t>The carrying value of our other intangible assets is as follows:</w:t>
            </w: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0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4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3"/>
        </w:trPr>
        <w:tc>
          <w:tcPr>
            <w:tcW w:w="4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176"/>
              <w:spacing w:after="0" w:line="13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Borders>
              <w:top w:val="single" w:sz="8" w:color="auto"/>
            </w:tcBorders>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94"/>
              <w:spacing w:after="0" w:line="13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36"/>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Indefinite life intangible assets:</w:t>
            </w:r>
          </w:p>
        </w:tc>
        <w:tc>
          <w:tcPr>
            <w:tcW w:w="14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right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Trade name</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right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color w:val="auto"/>
              </w:rPr>
              <w:t>Finite life intangible assets: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416,104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(82,989)</w:t>
            </w:r>
          </w:p>
        </w:tc>
        <w:tc>
          <w:tcPr>
            <w:tcW w:w="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450,603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(93,794)</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Contracts (Note 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48,269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(1,068)</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In-place lease </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50,705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 xml:space="preserve">Underlying rights </w:t>
            </w:r>
            <w:r>
              <w:rPr>
                <w:rFonts w:ascii="Arial" w:cs="Arial" w:eastAsia="Arial" w:hAnsi="Arial"/>
                <w:sz w:val="15"/>
                <w:szCs w:val="15"/>
                <w:color w:val="auto"/>
              </w:rPr>
              <w:t>(1)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10,497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124,696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474,870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628,004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(84,145)</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(96,025)</w:t>
            </w:r>
          </w:p>
        </w:tc>
        <w:tc>
          <w:tcPr>
            <w:tcW w:w="160" w:type="dxa"/>
            <w:vAlign w:val="bottom"/>
            <w:shd w:val="clear" w:color="auto" w:fill="CFF0FC"/>
          </w:tcPr>
          <w:p>
            <w:pPr>
              <w:spacing w:after="0"/>
              <w:rPr>
                <w:sz w:val="21"/>
                <w:szCs w:val="21"/>
                <w:color w:val="auto"/>
              </w:rPr>
            </w:pPr>
          </w:p>
        </w:tc>
        <w:tc>
          <w:tcPr>
            <w:tcW w:w="120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intangible assets, net</w:t>
            </w:r>
          </w:p>
        </w:tc>
        <w:tc>
          <w:tcPr>
            <w:tcW w:w="140" w:type="dxa"/>
            <w:vAlign w:val="bottom"/>
            <w:tcBorders>
              <w:bottom w:val="single" w:sz="8" w:color="CFF0FC"/>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390,725</w:t>
            </w:r>
          </w:p>
        </w:tc>
        <w:tc>
          <w:tcPr>
            <w:tcW w:w="24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98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531,979</w:t>
            </w:r>
          </w:p>
        </w:tc>
        <w:tc>
          <w:tcPr>
            <w:tcW w:w="24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2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18"/>
                <w:szCs w:val="18"/>
                <w:color w:val="auto"/>
              </w:rPr>
              <w:t>Finite life intangible liabilities: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Acquired below-market leases</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190,086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(2,200)</w:t>
            </w:r>
          </w:p>
        </w:tc>
        <w:tc>
          <w:tcPr>
            <w:tcW w:w="780" w:type="dxa"/>
            <w:vAlign w:val="bottom"/>
            <w:gridSpan w:val="2"/>
            <w:shd w:val="clear" w:color="auto" w:fill="CFF0FC"/>
          </w:tcPr>
          <w:p>
            <w:pPr>
              <w:jc w:val="right"/>
              <w:ind w:right="51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Total intangible liabilities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Less: accumulated amortization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Total intangible liabilities, net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190,086</w:t>
            </w:r>
          </w:p>
        </w:tc>
        <w:tc>
          <w:tcPr>
            <w:tcW w:w="1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20" w:type="dxa"/>
            <w:vAlign w:val="bottom"/>
          </w:tcPr>
          <w:p>
            <w:pPr>
              <w:spacing w:after="0"/>
              <w:rPr>
                <w:sz w:val="21"/>
                <w:szCs w:val="21"/>
                <w:color w:val="auto"/>
              </w:rPr>
            </w:pPr>
          </w:p>
        </w:tc>
        <w:tc>
          <w:tcPr>
            <w:tcW w:w="2740" w:type="dxa"/>
            <w:vAlign w:val="bottom"/>
            <w:gridSpan w:val="2"/>
          </w:tcPr>
          <w:p>
            <w:pPr>
              <w:jc w:val="right"/>
              <w:ind w:right="1760"/>
              <w:spacing w:after="0"/>
              <w:rPr>
                <w:sz w:val="20"/>
                <w:szCs w:val="20"/>
                <w:color w:val="auto"/>
              </w:rPr>
            </w:pPr>
            <w:r>
              <w:rPr>
                <w:rFonts w:ascii="Arial" w:cs="Arial" w:eastAsia="Arial" w:hAnsi="Arial"/>
                <w:sz w:val="18"/>
                <w:szCs w:val="18"/>
                <w:color w:val="auto"/>
              </w:rPr>
              <w:t>(2,200)</w:t>
            </w:r>
          </w:p>
        </w:tc>
        <w:tc>
          <w:tcPr>
            <w:tcW w:w="6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187,886</w:t>
            </w:r>
          </w:p>
        </w:tc>
        <w:tc>
          <w:tcPr>
            <w:tcW w:w="18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-496570</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-187960</wp:posOffset>
            </wp:positionV>
            <wp:extent cx="71323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4320" w:space="720"/>
            <w:col w:w="6200"/>
          </w:cols>
          <w:pgMar w:left="320" w:top="125" w:right="339" w:bottom="1440" w:gutter="0" w:footer="0" w:header="0"/>
          <w:type w:val="continuous"/>
        </w:sectPr>
      </w:pPr>
    </w:p>
    <w:p>
      <w:pPr>
        <w:ind w:left="440" w:hanging="432"/>
        <w:spacing w:after="0"/>
        <w:tabs>
          <w:tab w:leader="none" w:pos="440" w:val="left"/>
        </w:tabs>
        <w:numPr>
          <w:ilvl w:val="0"/>
          <w:numId w:val="29"/>
        </w:numPr>
        <w:rPr>
          <w:rFonts w:ascii="Arial" w:cs="Arial" w:eastAsia="Arial" w:hAnsi="Arial"/>
          <w:sz w:val="15"/>
          <w:szCs w:val="15"/>
          <w:color w:val="auto"/>
        </w:rPr>
      </w:pPr>
      <w:r>
        <w:rPr>
          <w:rFonts w:ascii="Arial" w:cs="Arial" w:eastAsia="Arial" w:hAnsi="Arial"/>
          <w:sz w:val="18"/>
          <w:szCs w:val="18"/>
          <w:color w:val="auto"/>
        </w:rPr>
        <w:t>The Propco's intangible assets were sold on July 1, 2020. See Note 6.</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December 31, 2020, the remaining weighted average amortization period of the Company’s intangible assets and liabilities was 15.8 years and 18.9 years, respectively. Amortization expense for the years ended December 31, 2020, 2019 and 2018 was $28.2 million, $27.2 million and $25.5 million, respectively. Amortization expense is estimated to be $18.7 million in 2021, $18.7 million in 2022, $18.7 million in 2023, $18.6 million in 2024 and $18.6 million in 2025.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Notes and Other Debt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debt, including the senior secured credit facility and notes described below, are obligations of the Operating Partnership and certain of its subsidiaries as discussed below. The Company is, however, a guarantor of such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6"/>
          </w:tcPr>
          <w:p>
            <w:pPr>
              <w:jc w:val="right"/>
              <w:ind w:right="468"/>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4"/>
                <w:szCs w:val="14"/>
                <w:color w:val="auto"/>
              </w:rPr>
            </w:pPr>
          </w:p>
        </w:tc>
        <w:tc>
          <w:tcPr>
            <w:tcW w:w="14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8"/>
              </w:rPr>
              <w:t>December 31, 2019</w:t>
            </w:r>
          </w:p>
        </w:tc>
        <w:tc>
          <w:tcPr>
            <w:tcW w:w="0" w:type="dxa"/>
            <w:vAlign w:val="bottom"/>
          </w:tcPr>
          <w:p>
            <w:pPr>
              <w:spacing w:after="0"/>
              <w:rPr>
                <w:sz w:val="1"/>
                <w:szCs w:val="1"/>
                <w:color w:val="auto"/>
              </w:rPr>
            </w:pPr>
          </w:p>
        </w:tc>
      </w:tr>
      <w:tr>
        <w:trPr>
          <w:trHeight w:val="237"/>
        </w:trPr>
        <w:tc>
          <w:tcPr>
            <w:tcW w:w="5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12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9"/>
              </w:rPr>
              <w:t>4,965,000</w:t>
            </w:r>
          </w:p>
        </w:tc>
        <w:tc>
          <w:tcPr>
            <w:tcW w:w="3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right w:val="single" w:sz="8" w:color="CFF0FC"/>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5,224,747</w:t>
            </w: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r>
              <w:rPr>
                <w:rFonts w:ascii="Arial" w:cs="Arial" w:eastAsia="Arial" w:hAnsi="Arial"/>
                <w:sz w:val="18"/>
                <w:szCs w:val="18"/>
                <w:color w:val="auto"/>
              </w:rPr>
              <w:t>Less unamortized discount, premium and debt issuance costs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4"/>
          </w:tcPr>
          <w:p>
            <w:pPr>
              <w:jc w:val="right"/>
              <w:ind w:right="168"/>
              <w:spacing w:after="0"/>
              <w:rPr>
                <w:sz w:val="20"/>
                <w:szCs w:val="20"/>
                <w:color w:val="auto"/>
              </w:rPr>
            </w:pPr>
            <w:r>
              <w:rPr>
                <w:rFonts w:ascii="Arial" w:cs="Arial" w:eastAsia="Arial" w:hAnsi="Arial"/>
                <w:sz w:val="18"/>
                <w:szCs w:val="18"/>
                <w:color w:val="auto"/>
              </w:rPr>
              <w:t>(148,476)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(207,068)</w:t>
            </w:r>
          </w:p>
        </w:tc>
        <w:tc>
          <w:tcPr>
            <w:tcW w:w="0" w:type="dxa"/>
            <w:vAlign w:val="bottom"/>
          </w:tcPr>
          <w:p>
            <w:pPr>
              <w:spacing w:after="0"/>
              <w:rPr>
                <w:sz w:val="1"/>
                <w:szCs w:val="1"/>
                <w:color w:val="auto"/>
              </w:rPr>
            </w:pPr>
          </w:p>
        </w:tc>
      </w:tr>
      <w:tr>
        <w:trPr>
          <w:trHeight w:val="237"/>
        </w:trPr>
        <w:tc>
          <w:tcPr>
            <w:tcW w:w="5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Notes and other debt less unamortized discount and debt issuance costs</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02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4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9"/>
              </w:rPr>
              <w:t>4,816,524</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right w:val="single" w:sz="8" w:color="CFF0FC"/>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5,017,679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spacing w:after="0"/>
              <w:rPr>
                <w:sz w:val="20"/>
                <w:szCs w:val="20"/>
                <w:color w:val="auto"/>
              </w:rPr>
            </w:pPr>
            <w:r>
              <w:rPr>
                <w:rFonts w:ascii="Arial" w:cs="Arial" w:eastAsia="Arial" w:hAnsi="Arial"/>
                <w:sz w:val="18"/>
                <w:szCs w:val="18"/>
                <w:color w:val="auto"/>
                <w:w w:val="92"/>
              </w:rPr>
              <w:t>Notes and other debt at December 31, 2020 and 2019 consisted of the following:</w:t>
            </w: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980" w:type="dxa"/>
            <w:vAlign w:val="bottom"/>
            <w:gridSpan w:val="3"/>
            <w:vMerge w:val="continue"/>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33"/>
        </w:trPr>
        <w:tc>
          <w:tcPr>
            <w:tcW w:w="5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107"/>
              <w:spacing w:after="0" w:line="133" w:lineRule="exact"/>
              <w:rPr>
                <w:sz w:val="20"/>
                <w:szCs w:val="20"/>
                <w:color w:val="auto"/>
              </w:rPr>
            </w:pPr>
            <w:r>
              <w:rPr>
                <w:rFonts w:ascii="Arial" w:cs="Arial" w:eastAsia="Arial" w:hAnsi="Arial"/>
                <w:sz w:val="14"/>
                <w:szCs w:val="14"/>
                <w:b w:val="1"/>
                <w:bCs w:val="1"/>
                <w:color w:val="auto"/>
                <w:w w:val="96"/>
              </w:rPr>
              <w:t>Unamortized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56"/>
              <w:spacing w:after="0" w:line="133" w:lineRule="exact"/>
              <w:rPr>
                <w:sz w:val="20"/>
                <w:szCs w:val="20"/>
                <w:color w:val="auto"/>
              </w:rPr>
            </w:pPr>
            <w:r>
              <w:rPr>
                <w:rFonts w:ascii="Arial" w:cs="Arial" w:eastAsia="Arial" w:hAnsi="Arial"/>
                <w:sz w:val="14"/>
                <w:szCs w:val="14"/>
                <w:b w:val="1"/>
                <w:bCs w:val="1"/>
                <w:color w:val="auto"/>
                <w:w w:val="94"/>
              </w:rPr>
              <w:t>Unamortized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Discount,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Discount,</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Premium and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Premium and</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Principal</w:t>
            </w:r>
          </w:p>
        </w:tc>
        <w:tc>
          <w:tcPr>
            <w:tcW w:w="11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Debt Issuance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Debt Issuance</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Costs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09"/>
        </w:trPr>
        <w:tc>
          <w:tcPr>
            <w:tcW w:w="5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Senior secured term loan B - variable rate, due October 24, 2022</w:t>
            </w: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5.66%)</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   $</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2,044,728</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(74,523)</w:t>
            </w:r>
          </w:p>
        </w:tc>
        <w:tc>
          <w:tcPr>
            <w:tcW w:w="0" w:type="dxa"/>
            <w:vAlign w:val="bottom"/>
          </w:tcPr>
          <w:p>
            <w:pPr>
              <w:spacing w:after="0"/>
              <w:rPr>
                <w:sz w:val="1"/>
                <w:szCs w:val="1"/>
                <w:color w:val="auto"/>
              </w:rPr>
            </w:pPr>
          </w:p>
        </w:tc>
      </w:tr>
      <w:tr>
        <w:trPr>
          <w:trHeight w:val="215"/>
        </w:trPr>
        <w:tc>
          <w:tcPr>
            <w:tcW w:w="5660" w:type="dxa"/>
            <w:vAlign w:val="bottom"/>
          </w:tcPr>
          <w:p>
            <w:pPr>
              <w:spacing w:after="0"/>
              <w:rPr>
                <w:sz w:val="20"/>
                <w:szCs w:val="20"/>
                <w:color w:val="auto"/>
              </w:rPr>
            </w:pPr>
            <w:r>
              <w:rPr>
                <w:rFonts w:ascii="Arial" w:cs="Arial" w:eastAsia="Arial" w:hAnsi="Arial"/>
                <w:sz w:val="18"/>
                <w:szCs w:val="18"/>
                <w:color w:val="auto"/>
              </w:rPr>
              <w:t>Senior secured notes - 7.875%, due February 15, 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(discount is based on imputed interest rate of 8.38%)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2,250,000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(39,852)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notes - 6.00%, due April 15, 2023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6.49%)</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(4,053)</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(5,633)</w:t>
            </w:r>
          </w:p>
        </w:tc>
        <w:tc>
          <w:tcPr>
            <w:tcW w:w="0" w:type="dxa"/>
            <w:vAlign w:val="bottom"/>
          </w:tcPr>
          <w:p>
            <w:pPr>
              <w:spacing w:after="0"/>
              <w:rPr>
                <w:sz w:val="1"/>
                <w:szCs w:val="1"/>
                <w:color w:val="auto"/>
              </w:rPr>
            </w:pPr>
          </w:p>
        </w:tc>
      </w:tr>
      <w:tr>
        <w:trPr>
          <w:trHeight w:val="215"/>
        </w:trPr>
        <w:tc>
          <w:tcPr>
            <w:tcW w:w="5660" w:type="dxa"/>
            <w:vAlign w:val="bottom"/>
          </w:tcPr>
          <w:p>
            <w:pPr>
              <w:spacing w:after="0"/>
              <w:rPr>
                <w:sz w:val="20"/>
                <w:szCs w:val="20"/>
                <w:color w:val="auto"/>
              </w:rPr>
            </w:pPr>
            <w:r>
              <w:rPr>
                <w:rFonts w:ascii="Arial" w:cs="Arial" w:eastAsia="Arial" w:hAnsi="Arial"/>
                <w:sz w:val="18"/>
                <w:szCs w:val="18"/>
                <w:color w:val="auto"/>
              </w:rPr>
              <w:t>Senior unsecured notes - 8.25%, due October 15, 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(discount is based on imputed interest rate of 9.06%)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1,110,000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(22,024)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1,110,000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(28,808)</w:t>
            </w:r>
          </w:p>
        </w:tc>
        <w:tc>
          <w:tcPr>
            <w:tcW w:w="0" w:type="dxa"/>
            <w:vAlign w:val="bottom"/>
          </w:tcPr>
          <w:p>
            <w:pPr>
              <w:spacing w:after="0"/>
              <w:rPr>
                <w:sz w:val="1"/>
                <w:szCs w:val="1"/>
                <w:color w:val="auto"/>
              </w:rPr>
            </w:pPr>
          </w:p>
        </w:tc>
      </w:tr>
      <w:tr>
        <w:trPr>
          <w:trHeight w:val="215"/>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Senior unsecured notes - 7.125%, due December 15, 2024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7.38%)</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(5,316)</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15"/>
        </w:trPr>
        <w:tc>
          <w:tcPr>
            <w:tcW w:w="5660" w:type="dxa"/>
            <w:vAlign w:val="bottom"/>
          </w:tcPr>
          <w:p>
            <w:pPr>
              <w:spacing w:after="0"/>
              <w:rPr>
                <w:sz w:val="20"/>
                <w:szCs w:val="20"/>
                <w:color w:val="auto"/>
              </w:rPr>
            </w:pPr>
            <w:r>
              <w:rPr>
                <w:rFonts w:ascii="Arial" w:cs="Arial" w:eastAsia="Arial" w:hAnsi="Arial"/>
                <w:sz w:val="18"/>
                <w:szCs w:val="18"/>
                <w:color w:val="auto"/>
              </w:rPr>
              <w:t>Exchangeable senior unsecured notes - 4.00%, due June 15, 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(discount is based on imputed interest rate of 11.1%)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345,000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(69,608)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345,000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(85,272)</w:t>
            </w:r>
          </w:p>
        </w:tc>
        <w:tc>
          <w:tcPr>
            <w:tcW w:w="0" w:type="dxa"/>
            <w:vAlign w:val="bottom"/>
          </w:tcPr>
          <w:p>
            <w:pPr>
              <w:spacing w:after="0"/>
              <w:rPr>
                <w:sz w:val="1"/>
                <w:szCs w:val="1"/>
                <w:color w:val="auto"/>
              </w:rPr>
            </w:pPr>
          </w:p>
        </w:tc>
      </w:tr>
      <w:tr>
        <w:trPr>
          <w:trHeight w:val="24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w w:val="99"/>
              </w:rPr>
              <w:t>Senior secured revolving credit facility, variable rate, due April 24, 2022</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(7,623)</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575,019</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(6,528)</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gridSpan w:val="3"/>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vMerge w:val="continue"/>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4,965,000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(148,476)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5,224,747</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(207,068)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At December 31, 2020, notes and other debt included the following: (i) $110.0 million under the Revolving Credit Facility (as defined below) pursuant to the credit agreement by and among the Borrowers (as defined below), the guarantors and lenders party thereto and Bank of America, N.A., as administrative agent and collateral agent (the “Credit Agreement”); (ii) $550.0 million aggregate principal amount of 6.00% Senior Secured Notes due April 15, 2023 (the “2023 Secured Notes”); (iii) $1.11 billion aggregate principal amount of 8.25% Senior Unsecured Notes due October 15, 2023 (the “2023 Notes”); (iv) $600.0 million aggregate principal amount of 7.125% Senior Unsecured Notes due December 15, 2024 (the “2024 Notes”); (v) $345 million aggregate principal amount of 4.00% Exchangeable Senior Notes due June 15, 2024 (the “Exchangeable Notes”). On February 10, 2020, the Operating Partnership and certain of its subsidiaries issued $2.25 billion aggregate principal amount of 7.875% senior secured notes due 2025 (the “2025 Secured Notes”) and used the proceeds from the offering to repay all $2.05 billion of outstanding term loans under our senior secured credit facilities and to repay approximately $156.7 million of revolving loans (and terminated related commitments of approximately $157.6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Uniti Group LP, Uniti Group Finance 2019 Inc. and CSL Capital, LLC (the “Borrowers”) are party to the Credit Agreement, which after the Seventh Amendment (as defined below) as of December 31, 2020, provided for a $60.5 million non-extended revolving credit facility that matures on April 24, 2022 (the “Non-Extended Revolving Credit Facility”) and a $500 million revolving credit facility extended that, upon receipt of routine regulatory approvals, will mature on December 10, 2024 (the “Extended Revolving Credit Facility” and together with Non-Extended Revolving Credit facility, the “Revolving Credit Facility”), which provide us with the ability to obtain revolving loans as well as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swingline loans and letters of credit from time to time. All obligations under the Credit Agreement are guaranteed by (i) the Company and (ii) certain of the Operating Partnership’s subsidiaries (the “Subsidiary Guarantors”) and are secured by substantially all of the assets of the Borrowers and the Subsidiary Guarantors.</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Credit Agreement previously provided for a term loan facility, of which all $2.05 billion of outstanding loans was repaid in full in connection with the issuance of the 2025 Secured Notes in February 2020.</w:t>
      </w:r>
    </w:p>
    <w:p>
      <w:pPr>
        <w:spacing w:after="0" w:line="1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December 31, 2020, the Borrowers were in compliance with all of the covenants under the Credit Agreement.</w:t>
      </w:r>
    </w:p>
    <w:p>
      <w:pPr>
        <w:spacing w:after="0" w:line="18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spacing w:after="0" w:line="18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March 18, 2019, we received a limited waiver from our lenders under our Credit Agreement, waiving an event of default related solely to the receipt of a going concern opinion from our auditors for our 2018 audited financial statements. The limited waiver was issued in connection with the fourth amendment (the “Fourth Amendment”) to our Credit Agreement. During the pendency of Windstream’s bankruptcy, the Fourth Amendment generally limited our ability under the Credit Agreement to (i) prepay unsecured indebtedness and (ii) pay cash dividends in excess of 90% of our REIT taxable income, determined without regard to the dividends paid deduction and excluding any net capital gains.</w:t>
      </w:r>
    </w:p>
    <w:p>
      <w:pPr>
        <w:spacing w:after="0" w:line="17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June 24, 2019, we entered into an amendment (the “Fifth Amendment”) to our Credit Agreement to extend the maturity date of $575.9 million of commitments under the Revolving Credit Facility to April 24, 2022 and to pay down approximately $101.6 million of outstanding revolving loans and terminate the related commitments. The maturity date of approximately $72.4 million of other commitments was not extended. On June 28, 2019, the Company repaid approximately $174.0 million in total borrowings, which consisted of the $101.6 million required repayment pursuant to the Fifth Amendment and $72.4 million of non-extended borrowings, thereby terminating the non-extended commitments. As a result, all remaining $575.9 million of commitments will terminate on April 24, 2022, at which time all outstanding borrowings must be repaid. The Company used a portion of the net proceeds from the offering of Exchangeable Notes described below to fund the repayments.</w:t>
      </w:r>
    </w:p>
    <w:p>
      <w:pPr>
        <w:spacing w:after="0" w:line="17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February 10, 2020, we received a limited waiver from our lenders under our Credit Agreement, waiving an event of default related solely to the receipt of a going concern opinion from our auditors for our 2019 audited financial statements. The limited waiver was issued in connection with an amendment (the “Sixth Amendment”) to our Credit Agreement.</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December 10, 2020, we entered into an amendment (the “Seventh Amendment”) to our Credit Agreement. Pursuant to the Seventh Amendment, commitments from new and existing lenders under the Revolving Credit Facility have increased to $500 million and, subject to certain conditions, the maturity date of such commitments has been extended to December 10, 2024. Certain non-extending lender commitments of $60.5 million will mature on April 24, 2022 and will continue to bear interest at rates previously in effect. Prior to the expiration of these commitments, the aggregate size of the Revolving Credit Facility will be $560.5 million from all lenders.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Borrowings under (a) the Non-Extended Revolving Credit Facility bear interest at a rate equal to either a base rate plus an applicable margin ranging from 3.75% to 4.25% or a eurodollar rate plus an applicable margin ranging from 4.75% to 5.25% and (b) the Extended Revolving Credit Facility, upon receipt of routine regulatory approvals, which are expected by the end of the first quarter of 2021, will bear interest at a rate equal to either a base rate plus an applicable margin ranging from 2.75% to 3.50% or a eurodollar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eurodollar borrowings and</w:t>
      </w:r>
    </w:p>
    <w:p>
      <w:pPr>
        <w:spacing w:after="0" w:line="1" w:lineRule="exact"/>
        <w:rPr>
          <w:sz w:val="20"/>
          <w:szCs w:val="20"/>
          <w:color w:val="auto"/>
        </w:rPr>
      </w:pPr>
    </w:p>
    <w:p>
      <w:pPr>
        <w:ind w:right="3980" w:firstLine="8"/>
        <w:spacing w:after="0" w:line="492" w:lineRule="auto"/>
        <w:tabs>
          <w:tab w:leader="none" w:pos="2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average amount available to be drawn under outstanding letters of credit during such quarter. </w:t>
      </w:r>
      <w:r>
        <w:rPr>
          <w:rFonts w:ascii="Arial" w:cs="Arial" w:eastAsia="Arial" w:hAnsi="Arial"/>
          <w:sz w:val="18"/>
          <w:szCs w:val="18"/>
          <w:u w:val="single" w:color="auto"/>
          <w:color w:val="auto"/>
        </w:rPr>
        <w:t>The Notes</w:t>
      </w:r>
    </w:p>
    <w:p>
      <w:pPr>
        <w:spacing w:after="0" w:line="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Borrowers, as co-issuers, have outstanding $550 million aggregate principal amount of the 2023 Secured Notes, of which $400 million was originally issued on April 24, 2015 at an issue price of 100% of par value and the remaining $150 million was issued on June 9, 2016 at an issue price of 99.25% of the par value as an add-on to the existing Secured Notes. The Borrowers, as co-issuers, also have outstanding $1.11 billion aggregate principal amount of the 2023 Notes that were originally issued on April 24, 2015 at an issue price of 97.055% of par value. The 2023 Secured Notes and the 2023 Notes are guaranteed by the Company and the Subsidiary Guarantors.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Operating Partnership and its subsidiaries CSL Capital, LLC and Uniti Fiber, as co-issuers, have outstanding $600 million aggregate principal amount of the 2024 Notes, of which $400 million was originally issued on December 15, 2016 at an issue price of 100% of par value and the remaining $200 million of which was issued on May 8, 2017 at an issue price of 100.50% of par value under a separate indenture and was mandatorily exchanged on August 11, 2017 for 2024 Notes issued as “additional notes” under the indenture governing the 2024 Notes. The 2024 Notes are guaranteed by the Company, Uniti Group Finance 2019 Inc. and the Subsidiary Guarantors.</w:t>
      </w:r>
    </w:p>
    <w:p>
      <w:pPr>
        <w:spacing w:after="0" w:line="18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Operating Partnership, CSL Capital, LLC, Uniti Group Finance 2019 Inc. and Uniti Fiber, as co-issuers, have outstanding $2.25 billion aggregate principal amount of the 2025 Secured Notes, which was issued on February 10, 2020 at an issue price of 100% of par value.</w:t>
      </w:r>
    </w:p>
    <w:p>
      <w:pPr>
        <w:spacing w:after="0" w:line="146"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On February 2, 2021, the Borrowers, as co-issuers, issued $1.11 billion aggregate principal amount of 6.50% Senior Notes due 2029. The Borrowers used the net proceeds to fund the tender offer of substantially all outstanding 2023 Notes, of which $58.8 million remain outstanding. On February 16, 2021, we issued a notice of redemption to redeem all remaining principal amount of the 2023 Notes on April 15,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Exchangeable Notes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June 28, 2019, Uniti Fiber, a subsidiary of the Company, issued $345 million aggregate principal amount of the Exchangeable Notes. The Exchangeable Notes are senior unsecured notes and are guaranteed by the Company and each of the Company’s subsidiaries (other than Uniti Fiber) that is an issuer, obligor or guarantor under the Company’s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Fiber’s election, subject to limitations under the Company's Credit Agreement. The Exchangeable Notes will mature on June 15, 2024, unless earlier exchanged, redeemed or repurchased.</w:t>
      </w:r>
    </w:p>
    <w:p>
      <w:pPr>
        <w:spacing w:after="0" w:line="17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Uniti Fiber issued the Exchangeable Notes pursuant to an indenture, dated as of June 28, 2019 (the “Indenture”), among Uniti Fiber, the Company, the other guarantors party thereto and Deutsche Bank Trust Company Americas, as trustee. Prior to the close of business on the business day immediately preceding March 15, 2024, the Exchangeable Notes are exchangeable only upon satisfaction of certain conditions and during certain periods described in the Indenture, and thereafter, the Exchangeable Notes are exchangeable at any time until the close of business on the second scheduled trading day immediately preceding the maturity date. The Exchangeable Notes are exchangeable on the terms set forth in the Indenture into cash, shares of the Company’s common stock, or 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combination thereof, at Uniti Fiber’s election, subject to limitations under the Company's Credit Agreement. The exchange rate is initially 80.4602 shares of the Company’s common stock per $1,000 principal amount of Exchangeable Notes (equivalent to an initial exchange price of approximately $12.43 per share of the Company’s common stock). The exchange rate is subject to adjustment in some circumstances as described in the Indenture. In addition, following certain corporate events that occur prior to the maturity date or Uniti Fiber’s delivery of a notice of redemption, Uniti Fiber will increase, in certain circumstances, the exchange rate for a holder who elects to exchange its Exchangeable Notes in connection with such corporate event or notice of redemption, as the case may be.</w:t>
      </w:r>
    </w:p>
    <w:p>
      <w:pPr>
        <w:spacing w:after="0" w:line="192"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If Uniti Fiber or the Company undergoes a fundamental change (as defined in the Indenture), subject to certain conditions, holders may require Uniti Fiber to repurchase for cash all or part of their Exchangeable Notes at a repurchase price equal to 100% of the principal amount of the Exchangeable Notes to be repurchased, plus accrued and unpaid interest, if any, to, but not including, the fundamental change repurchase date.</w:t>
      </w:r>
    </w:p>
    <w:p>
      <w:pPr>
        <w:spacing w:after="0" w:line="16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Uniti Fiber may redeem all or a portion of the Exchangeable Notes, at any time, at a cash redemption price equal to 100% of the principal amount of the Exchangeable Notes to be redeemed, plus accrued and unpaid interest to, but not including, the redemption date, if the Company’s board of directors determines such redemption is necessary to preserve the Company's status as a real estate investment trust for U.S. federal income tax purposes. Uniti Fiber may not otherwise redeem the Exchangeable Notes prior to June 20, 2022. On or after June 20, 2022 and prior to the 42nd scheduled trading day immediately preceding the maturity date, if the last reported sale price per share of the Company’s common stock has been at least 130% of the exchange price for the Exchangeable Notes for certain specified periods, Uniti Fiber may redeem all or a portion of the Exchangeable Notes at a cash redemption price equal to 100% of the principal amount of the Exchangeable Notes to be redeemed plus accrued and unpaid interest to, but not including, the redemption date.</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28, 2019, Uniti Fiber, the Company and Barclays Capital Inc., on behalf of the initial purchasers involved in the offering of the Exchangeable Notes (the “Initial Purchasers”), entered into a registration rights agreement with respect to the Company’s common stock deliverable upon exchange of the Exchangeable Notes (the “Registration Rights Agreement”). Under the Registration Rights Agreement, the Company has agreed to file a shelf registration statement to register the resale of the common stock of the Company deliverable upon exchange of the Exchangeable Notes. The Company agreed to use its commercially reasonable efforts to cause such shelf registration statement to become effective on or prior to the 365th day after the issue date of the Exchangeable Notes.</w:t>
      </w:r>
    </w:p>
    <w:p>
      <w:pPr>
        <w:spacing w:after="0" w:line="19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Under GAAP, certain convertible debt instruments that may be settled in cash upon conversion are required to be separately accounted for as liability and equity components of the instrument in a manner that reflects the issuer’s non-convertible debt borrowing rate. Accordingly, in accounting for the issuance of the Exchangeable Notes, the Company separated the Exchangeable Notes into liability and equity components. The carrying amount of the liability component was calculated by measuring the fair value of a similar liability that does not have an associated convertible feature.</w:t>
      </w:r>
    </w:p>
    <w:p>
      <w:pPr>
        <w:spacing w:after="0" w:line="1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carrying amount of the equity component, which is recognized as a debt discount, represents the difference between the proceeds from the issuance of the Exchangeable Notes and the fair value of the liability component of the Exchangeable Notes. The excess of the principal amount of the liability component over its carrying amount will be amortized to interest expense using an effective interest rate of 11.1% over the term of the Exchangeable Notes. The equity component is not remeasured as long as it continues to meet the conditions for equity classification.</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Debt issuance costs related to the Exchangeable Notes were comprised of commissions payable to the Initial Purchasers of $10.4 million and third-party costs of approximately $1.4 million.</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accounting for the debt issuance costs related to the issuance of the Exchangeable Notes, the Company allocated the total amount incurred to the liability and equity components based on their relative values. Debt issuance costs attributable to the liability component were recorded as a contra-liability and are presented net against the Exchangeable Notes balance on our Consolidated Balance Sheets. These costs are amortized to interest expense using the effective interest method over the term of the Exchangeable Notes. Debt issuance costs of $2.9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the equity component are netted with the equity component in stockholders’ equity, which netted to $80.8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Deferred financing costs were incurred in connection with the issuance of the Notes and the Facilities. These costs are amortized using the effective interest method over the term of the related indebtedness, and are included in interest expense in our Consolidated Statements of Income. For the year ended December 31, 2020, 2019 and 2018, we recognized $15.3 million, $16.2 million and $14.7 million of non-cash interest expense, respectively, related to the amortization of deferred financing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Aggregate annual maturities of our long-term obligations at December 31, 2020 are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700" w:type="dxa"/>
            <w:vAlign w:val="bottom"/>
            <w:tcBorders>
              <w:bottom w:val="single" w:sz="8" w:color="CFF0FC"/>
            </w:tcBorders>
          </w:tcPr>
          <w:p>
            <w:pPr>
              <w:spacing w:after="0"/>
              <w:rPr>
                <w:sz w:val="14"/>
                <w:szCs w:val="14"/>
                <w:color w:val="auto"/>
              </w:rPr>
            </w:pPr>
          </w:p>
        </w:tc>
        <w:tc>
          <w:tcPr>
            <w:tcW w:w="13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23"/>
        </w:trPr>
        <w:tc>
          <w:tcPr>
            <w:tcW w:w="91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9100" w:type="dxa"/>
            <w:vAlign w:val="bottom"/>
          </w:tcPr>
          <w:p>
            <w:pPr>
              <w:spacing w:after="0"/>
              <w:rPr>
                <w:sz w:val="20"/>
                <w:szCs w:val="20"/>
                <w:color w:val="auto"/>
              </w:rPr>
            </w:pPr>
            <w:r>
              <w:rPr>
                <w:rFonts w:ascii="Arial" w:cs="Arial" w:eastAsia="Arial" w:hAnsi="Arial"/>
                <w:sz w:val="18"/>
                <w:szCs w:val="18"/>
                <w:color w:val="auto"/>
              </w:rPr>
              <w:t>2022</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110,000</w:t>
            </w:r>
          </w:p>
        </w:tc>
        <w:tc>
          <w:tcPr>
            <w:tcW w:w="120" w:type="dxa"/>
            <w:vAlign w:val="bottom"/>
          </w:tcPr>
          <w:p>
            <w:pPr>
              <w:spacing w:after="0"/>
              <w:rPr>
                <w:sz w:val="19"/>
                <w:szCs w:val="19"/>
                <w:color w:val="auto"/>
              </w:rPr>
            </w:pPr>
          </w:p>
        </w:tc>
      </w:tr>
      <w:tr>
        <w:trPr>
          <w:trHeight w:val="230"/>
        </w:trPr>
        <w:tc>
          <w:tcPr>
            <w:tcW w:w="91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1,660,000</w:t>
            </w:r>
          </w:p>
        </w:tc>
        <w:tc>
          <w:tcPr>
            <w:tcW w:w="120" w:type="dxa"/>
            <w:vAlign w:val="bottom"/>
            <w:shd w:val="clear" w:color="auto" w:fill="CFF0FC"/>
          </w:tcPr>
          <w:p>
            <w:pPr>
              <w:spacing w:after="0"/>
              <w:rPr>
                <w:sz w:val="19"/>
                <w:szCs w:val="19"/>
                <w:color w:val="auto"/>
              </w:rPr>
            </w:pPr>
          </w:p>
        </w:tc>
      </w:tr>
      <w:tr>
        <w:trPr>
          <w:trHeight w:val="229"/>
        </w:trPr>
        <w:tc>
          <w:tcPr>
            <w:tcW w:w="9100" w:type="dxa"/>
            <w:vAlign w:val="bottom"/>
          </w:tcPr>
          <w:p>
            <w:pPr>
              <w:spacing w:after="0"/>
              <w:rPr>
                <w:sz w:val="20"/>
                <w:szCs w:val="20"/>
                <w:color w:val="auto"/>
              </w:rPr>
            </w:pPr>
            <w:r>
              <w:rPr>
                <w:rFonts w:ascii="Arial" w:cs="Arial" w:eastAsia="Arial" w:hAnsi="Arial"/>
                <w:sz w:val="18"/>
                <w:szCs w:val="18"/>
                <w:color w:val="auto"/>
              </w:rPr>
              <w:t>2024</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945,000</w:t>
            </w:r>
          </w:p>
        </w:tc>
        <w:tc>
          <w:tcPr>
            <w:tcW w:w="120" w:type="dxa"/>
            <w:vAlign w:val="bottom"/>
          </w:tcPr>
          <w:p>
            <w:pPr>
              <w:spacing w:after="0"/>
              <w:rPr>
                <w:sz w:val="19"/>
                <w:szCs w:val="19"/>
                <w:color w:val="auto"/>
              </w:rPr>
            </w:pPr>
          </w:p>
        </w:tc>
      </w:tr>
      <w:tr>
        <w:trPr>
          <w:trHeight w:val="229"/>
        </w:trPr>
        <w:tc>
          <w:tcPr>
            <w:tcW w:w="91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7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2,250,000</w:t>
            </w:r>
          </w:p>
        </w:tc>
        <w:tc>
          <w:tcPr>
            <w:tcW w:w="120" w:type="dxa"/>
            <w:vAlign w:val="bottom"/>
            <w:shd w:val="clear" w:color="auto" w:fill="CFF0FC"/>
          </w:tcPr>
          <w:p>
            <w:pPr>
              <w:spacing w:after="0"/>
              <w:rPr>
                <w:sz w:val="19"/>
                <w:szCs w:val="19"/>
                <w:color w:val="auto"/>
              </w:rPr>
            </w:pPr>
          </w:p>
        </w:tc>
      </w:tr>
      <w:tr>
        <w:trPr>
          <w:trHeight w:val="230"/>
        </w:trPr>
        <w:tc>
          <w:tcPr>
            <w:tcW w:w="9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37"/>
        </w:trPr>
        <w:tc>
          <w:tcPr>
            <w:tcW w:w="9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4,965,000</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9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Stock-Based Compensation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Company’s Board of Directors adopted the Uniti Group Inc. 2015 Equity Incentive Plan (the “Equity Plan”), which is administered by the Compensation Committee of the Board of Directors. Awards issuable under the Equity Plan include incentive stock options, “non-qualified” stock options, stock appreciation rights, performance units and performance shares, restricted shares, and restricted stock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Awards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During the year ended December 31, 2020, the Company granted 996,037 shares of restricted stock to employees, which had a fair value of $10.4 million as of the date of grant. We calculate the grant date fair value of non-vested shares of restricted stock awards using the closing sale prices on the trading day on the grant date. The restricted stock awards are amortized on a straight-line basis to expense over the vesting period, which is generally three years. As of December 31, 2020, there were 3,137,412 shares available for future issuance under the Equity Plan. The following table sets forth the number of unvested restricted stock awards and the weighted-average fair value of these awards at the date of grant:</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2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Restricted Awards</w:t>
            </w:r>
          </w:p>
        </w:tc>
        <w:tc>
          <w:tcPr>
            <w:tcW w:w="1980" w:type="dxa"/>
            <w:vAlign w:val="bottom"/>
            <w:gridSpan w:val="2"/>
          </w:tcPr>
          <w:p>
            <w:pPr>
              <w:spacing w:after="0"/>
              <w:rPr>
                <w:sz w:val="20"/>
                <w:szCs w:val="20"/>
                <w:color w:val="auto"/>
              </w:rPr>
            </w:pPr>
            <w:r>
              <w:rPr>
                <w:rFonts w:ascii="Arial" w:cs="Arial" w:eastAsia="Arial" w:hAnsi="Arial"/>
                <w:sz w:val="14"/>
                <w:szCs w:val="14"/>
                <w:b w:val="1"/>
                <w:bCs w:val="1"/>
                <w:color w:val="auto"/>
                <w:w w:val="93"/>
              </w:rPr>
              <w:t>Weighted Average Fair Value at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1440" w:type="dxa"/>
            <w:vAlign w:val="bottom"/>
          </w:tcPr>
          <w:p>
            <w:pPr>
              <w:ind w:left="620"/>
              <w:spacing w:after="0"/>
              <w:rPr>
                <w:sz w:val="20"/>
                <w:szCs w:val="20"/>
                <w:color w:val="auto"/>
              </w:rPr>
            </w:pPr>
            <w:r>
              <w:rPr>
                <w:rFonts w:ascii="Arial" w:cs="Arial" w:eastAsia="Arial" w:hAnsi="Arial"/>
                <w:sz w:val="14"/>
                <w:szCs w:val="14"/>
                <w:b w:val="1"/>
                <w:bCs w:val="1"/>
                <w:color w:val="auto"/>
              </w:rPr>
              <w:t>Grant Date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Value</w:t>
            </w:r>
            <w:r>
              <w:rPr>
                <w:rFonts w:ascii="Arial" w:cs="Arial" w:eastAsia="Arial" w:hAnsi="Arial"/>
                <w:sz w:val="12"/>
                <w:szCs w:val="12"/>
                <w:b w:val="1"/>
                <w:bCs w:val="1"/>
                <w:color w:val="auto"/>
                <w:w w:val="94"/>
              </w:rPr>
              <w:t>(1)</w:t>
            </w:r>
            <w:r>
              <w:rPr>
                <w:rFonts w:ascii="Arial" w:cs="Arial" w:eastAsia="Arial" w:hAnsi="Arial"/>
                <w:sz w:val="14"/>
                <w:szCs w:val="14"/>
                <w:b w:val="1"/>
                <w:bCs w:val="1"/>
                <w:color w:val="auto"/>
                <w:w w:val="94"/>
              </w:rPr>
              <w:t xml:space="preserve"> ($000s)</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December 31, 2019</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1,122,085</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996,037</w:t>
            </w:r>
          </w:p>
        </w:tc>
        <w:tc>
          <w:tcPr>
            <w:tcW w:w="26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10.39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2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(32,257)</w:t>
            </w:r>
          </w:p>
        </w:tc>
        <w:tc>
          <w:tcPr>
            <w:tcW w:w="14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Vested</w:t>
            </w:r>
          </w:p>
        </w:tc>
        <w:tc>
          <w:tcPr>
            <w:tcW w:w="2240" w:type="dxa"/>
            <w:vAlign w:val="bottom"/>
            <w:gridSpan w:val="2"/>
          </w:tcPr>
          <w:p>
            <w:pPr>
              <w:jc w:val="right"/>
              <w:ind w:right="180"/>
              <w:spacing w:after="0"/>
              <w:rPr>
                <w:sz w:val="20"/>
                <w:szCs w:val="20"/>
                <w:color w:val="auto"/>
              </w:rPr>
            </w:pPr>
            <w:r>
              <w:rPr>
                <w:rFonts w:ascii="Arial" w:cs="Arial" w:eastAsia="Arial" w:hAnsi="Arial"/>
                <w:sz w:val="18"/>
                <w:szCs w:val="18"/>
                <w:color w:val="auto"/>
              </w:rPr>
              <w:t>(524,450)</w:t>
            </w:r>
          </w:p>
        </w:tc>
        <w:tc>
          <w:tcPr>
            <w:tcW w:w="14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December 31, 2020</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1,561,415</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480" w:type="dxa"/>
            <w:vAlign w:val="bottom"/>
            <w:tcBorders>
              <w:top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18,315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(1)</w:t>
            </w: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466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660" w:type="dxa"/>
            <w:vAlign w:val="bottom"/>
          </w:tcPr>
          <w:p>
            <w:pPr>
              <w:spacing w:after="0"/>
              <w:rPr>
                <w:sz w:val="24"/>
                <w:szCs w:val="24"/>
                <w:color w:val="auto"/>
              </w:rPr>
            </w:pPr>
          </w:p>
        </w:tc>
        <w:tc>
          <w:tcPr>
            <w:tcW w:w="1980" w:type="dxa"/>
            <w:vAlign w:val="bottom"/>
          </w:tcPr>
          <w:p>
            <w:pPr>
              <w:jc w:val="right"/>
              <w:ind w:right="793"/>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220" w:right="160"/>
        <w:spacing w:after="0" w:line="263" w:lineRule="auto"/>
        <w:rPr>
          <w:sz w:val="20"/>
          <w:szCs w:val="20"/>
          <w:color w:val="auto"/>
        </w:rPr>
      </w:pPr>
      <w:r>
        <w:rPr>
          <w:rFonts w:ascii="Arial" w:cs="Arial" w:eastAsia="Arial" w:hAnsi="Arial"/>
          <w:sz w:val="18"/>
          <w:szCs w:val="18"/>
          <w:color w:val="auto"/>
        </w:rPr>
        <w:t>The aggregate intrinsic value is calculated as the market value of our common stock as of December 31, 2020. The market value as of December 31, 2020 was $11.73 per share, which was the closing price of our common stock reported for transactions effected on the NASDAQ Global Select Market on December 31, 2020, the final trading day of 2020.</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2019, there were 833,448 shares of restricted stock granted with a weighted-average fair value of $11.62 per</w:t>
      </w:r>
    </w:p>
    <w:p>
      <w:pPr>
        <w:spacing w:after="0" w:line="35"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share. During the year ended December 31, 2018, there were 396,705 shares of restricted stock granted with a weighted-average fair value of $14.02 per share.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total fair value of shares vested for the years ended December 31, 2020, 2019 and 2018 was $8.6 million, $6.4 million and $6.9 million, respectively.</w:t>
      </w:r>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2020, total unrecognized compensation expense on restricted awards was approximately $11.7 million, and the expense is expected to be recognized over a weighted average vesting period of 1.0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grants long-term incentives to members of management in the form of performance-based restricted stock units (“PSUs”) under the Equity Plan. The number of PSUs earned is based on the Company’s achievement of specified performance goals, over a specified performance period, and may range from 0% to 200% of the target shares. The PSUs have a service condition that will expire at the end of the three-year performance period provided that the holder continues to be employed by the Company at the end of the performance period. Holders of PSUs are entitled to dividend equivalents, which will be accrued and paid in cash upon the vesting of a PSU. Dividend equivalents are forfeited to the extent that the underlying PSU is forfeited.</w:t>
      </w:r>
    </w:p>
    <w:p>
      <w:pPr>
        <w:spacing w:after="0" w:line="16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March 4, 2020, we issued 322,209 PSUs equal to 100% of the target amount, with an aggregate fair value of $5.0 million on the grant date. The PSUs, in addition to a service condition, are subject to the Company’s performance versus the total return of the MSCI US REIT Index and a triple-net lease peer group, as defined by the Compensation Committee. Upon evaluating the results of the market conditions, the final number of shares is determined, and such shares vest based on satisfaction of the service condition. The PSUs are amortized on a straight-line basis over the vesting period. During the year ended December 31, 2020, no PSUs were forfeited due to termination of service. The following table sets forth the number of unvested PSUs and the weighted-average fair value of these awards at the date of grant: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2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Performance Awards</w:t>
            </w:r>
          </w:p>
        </w:tc>
        <w:tc>
          <w:tcPr>
            <w:tcW w:w="1980" w:type="dxa"/>
            <w:vAlign w:val="bottom"/>
            <w:gridSpan w:val="2"/>
          </w:tcPr>
          <w:p>
            <w:pPr>
              <w:spacing w:after="0"/>
              <w:rPr>
                <w:sz w:val="20"/>
                <w:szCs w:val="20"/>
                <w:color w:val="auto"/>
              </w:rPr>
            </w:pPr>
            <w:r>
              <w:rPr>
                <w:rFonts w:ascii="Arial" w:cs="Arial" w:eastAsia="Arial" w:hAnsi="Arial"/>
                <w:sz w:val="14"/>
                <w:szCs w:val="14"/>
                <w:b w:val="1"/>
                <w:bCs w:val="1"/>
                <w:color w:val="auto"/>
                <w:w w:val="93"/>
              </w:rPr>
              <w:t>Weighted Average Fair Value at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1440" w:type="dxa"/>
            <w:vAlign w:val="bottom"/>
          </w:tcPr>
          <w:p>
            <w:pPr>
              <w:ind w:left="620"/>
              <w:spacing w:after="0"/>
              <w:rPr>
                <w:sz w:val="20"/>
                <w:szCs w:val="20"/>
                <w:color w:val="auto"/>
              </w:rPr>
            </w:pPr>
            <w:r>
              <w:rPr>
                <w:rFonts w:ascii="Arial" w:cs="Arial" w:eastAsia="Arial" w:hAnsi="Arial"/>
                <w:sz w:val="14"/>
                <w:szCs w:val="14"/>
                <w:b w:val="1"/>
                <w:bCs w:val="1"/>
                <w:color w:val="auto"/>
              </w:rPr>
              <w:t>Grant Date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Value</w:t>
            </w:r>
            <w:r>
              <w:rPr>
                <w:rFonts w:ascii="Arial" w:cs="Arial" w:eastAsia="Arial" w:hAnsi="Arial"/>
                <w:sz w:val="12"/>
                <w:szCs w:val="12"/>
                <w:b w:val="1"/>
                <w:bCs w:val="1"/>
                <w:color w:val="auto"/>
                <w:w w:val="94"/>
              </w:rPr>
              <w:t>(1)</w:t>
            </w:r>
            <w:r>
              <w:rPr>
                <w:rFonts w:ascii="Arial" w:cs="Arial" w:eastAsia="Arial" w:hAnsi="Arial"/>
                <w:sz w:val="14"/>
                <w:szCs w:val="14"/>
                <w:b w:val="1"/>
                <w:bCs w:val="1"/>
                <w:color w:val="auto"/>
                <w:w w:val="94"/>
              </w:rPr>
              <w:t xml:space="preserve"> ($000s)</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December 31, 2019</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517,061</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322,209</w:t>
            </w:r>
          </w:p>
        </w:tc>
        <w:tc>
          <w:tcPr>
            <w:tcW w:w="26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15.45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2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(132,700)</w:t>
            </w:r>
          </w:p>
        </w:tc>
        <w:tc>
          <w:tcPr>
            <w:tcW w:w="14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Vested</w:t>
            </w:r>
          </w:p>
        </w:tc>
        <w:tc>
          <w:tcPr>
            <w:tcW w:w="2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December 31, 2020</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706,570</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480" w:type="dxa"/>
            <w:vAlign w:val="bottom"/>
            <w:tcBorders>
              <w:top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right="160" w:hanging="212"/>
        <w:spacing w:after="0" w:line="263" w:lineRule="auto"/>
        <w:tabs>
          <w:tab w:leader="none" w:pos="220" w:val="left"/>
        </w:tabs>
        <w:numPr>
          <w:ilvl w:val="0"/>
          <w:numId w:val="31"/>
        </w:numPr>
        <w:rPr>
          <w:rFonts w:ascii="Arial" w:cs="Arial" w:eastAsia="Arial" w:hAnsi="Arial"/>
          <w:sz w:val="15"/>
          <w:szCs w:val="15"/>
          <w:color w:val="auto"/>
        </w:rPr>
      </w:pPr>
      <w:r>
        <w:rPr>
          <w:rFonts w:ascii="Arial" w:cs="Arial" w:eastAsia="Arial" w:hAnsi="Arial"/>
          <w:sz w:val="18"/>
          <w:szCs w:val="18"/>
          <w:color w:val="auto"/>
        </w:rPr>
        <w:t>The aggregate intrinsic value is calculated as the market value of our common stock as of December 31, 2020. The market value as of December 31, 2020 was $11.73 per share, which was the closing price of our common stock reported for transactions effected on the NASDAQ Global Select Market on December 31, 2020, the final trading day of 2020.</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year ended December 31, 2019, there were 255,517 PSUs granted with a weighted-average fair value of $18.99 per share. During the year ended December 31, 2018, there were 169,549 PSUs granted with a weighted-average fair value of $19.30 per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of December 31, 2020, total unrecognized compensation expense related to PSUs was approximately $5.5 million, and the weighted-average vesting period was 1.4 years. The fair value of each PSU award is estimated at the date of grant using a Monte Carlo simulation. The simulation requires assumptions for expected volatility, risk-free return, and dividend yield. Our assumptions include a 0% dividend yield, which is the mathematical equivalent to reinvesting the dividends over the three-year performance period as is consistent with the terms of the PSUs. The following table summarizes the assumptions used to value the PSUs granted during the years ended December 31, 2020, 2019 and 2018:</w:t>
      </w:r>
    </w:p>
    <w:p>
      <w:pPr>
        <w:spacing w:after="0" w:line="262"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6350</wp:posOffset>
            </wp:positionV>
            <wp:extent cx="41319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gridSpan w:val="2"/>
          </w:tcPr>
          <w:p>
            <w:pPr>
              <w:ind w:left="5400"/>
              <w:spacing w:after="0"/>
              <w:rPr>
                <w:sz w:val="20"/>
                <w:szCs w:val="20"/>
                <w:color w:val="auto"/>
              </w:rPr>
            </w:pPr>
            <w:r>
              <w:rPr>
                <w:rFonts w:ascii="Arial" w:cs="Arial" w:eastAsia="Arial" w:hAnsi="Arial"/>
                <w:sz w:val="14"/>
                <w:szCs w:val="14"/>
                <w:b w:val="1"/>
                <w:bCs w:val="1"/>
                <w:color w:val="auto"/>
              </w:rPr>
              <w:t>2020</w:t>
            </w:r>
          </w:p>
        </w:tc>
        <w:tc>
          <w:tcPr>
            <w:tcW w:w="22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tcPr>
          <w:p>
            <w:pPr>
              <w:jc w:val="right"/>
              <w:ind w:right="75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3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top w:val="single" w:sz="8" w:color="CFF0FC"/>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59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63.0%</w:t>
            </w:r>
          </w:p>
        </w:tc>
        <w:tc>
          <w:tcPr>
            <w:tcW w:w="13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57.5%</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48.5%</w:t>
            </w:r>
          </w:p>
        </w:tc>
      </w:tr>
      <w:tr>
        <w:trPr>
          <w:trHeight w:val="229"/>
        </w:trPr>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annual dividend</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w:t>
            </w:r>
          </w:p>
        </w:tc>
        <w:tc>
          <w:tcPr>
            <w:tcW w:w="1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w:t>
            </w: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Risk free rate</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13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On May 17, 2018, our stockholders approved and adopted the Uniti Group Inc. Employee Stock Purchase Plan (the “ESPP”). The ESPP authorizes us to issue up to 2,000,000 shares of our common stock to any of our employees so long as the employee is employed on the first day of the applicable offering period. Under the ESPP, there are two six-month plan periods during each calendar year, one beginning January 1 and ending on June 30, and one beginning on July 1 and ending on December 31. Under the terms of the ESPP, employees can choose each plan period to have up to 15% of their annual base earnings, limited to $25,000 withheld to purchase our common stock. The purchase price of the stock is 85% of the lower of its beginning-of-period or end-of-period market price. Under the ESPP the Company issued 96,788 and 83,287 shares during the years ended December 31, 2020 and 2019, respectively. Under the ESPP, no shares were sold to employees during the year ended 2018. As of December 31, 2020, there were 1,819,925 shares available for future issuance under the ESPP. The following table summarizes the assumptions used to value the purchase rights granted under the ESPP during the years ended December 31, 2020, 2019 and 2018:</w:t>
      </w:r>
    </w:p>
    <w:p>
      <w:pPr>
        <w:spacing w:after="0" w:line="267"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6350</wp:posOffset>
            </wp:positionV>
            <wp:extent cx="41319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gridSpan w:val="2"/>
          </w:tcPr>
          <w:p>
            <w:pPr>
              <w:ind w:left="5400"/>
              <w:spacing w:after="0"/>
              <w:rPr>
                <w:sz w:val="20"/>
                <w:szCs w:val="20"/>
                <w:color w:val="auto"/>
              </w:rPr>
            </w:pPr>
            <w:r>
              <w:rPr>
                <w:rFonts w:ascii="Arial" w:cs="Arial" w:eastAsia="Arial" w:hAnsi="Arial"/>
                <w:sz w:val="14"/>
                <w:szCs w:val="14"/>
                <w:b w:val="1"/>
                <w:bCs w:val="1"/>
                <w:color w:val="auto"/>
              </w:rPr>
              <w:t>2020</w:t>
            </w:r>
          </w:p>
        </w:tc>
        <w:tc>
          <w:tcPr>
            <w:tcW w:w="22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tcPr>
          <w:p>
            <w:pPr>
              <w:jc w:val="right"/>
              <w:ind w:right="75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3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00" w:type="dxa"/>
            <w:vAlign w:val="bottom"/>
            <w:tcBorders>
              <w:top w:val="single" w:sz="8" w:color="CFF0FC"/>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72.0%</w:t>
            </w:r>
          </w:p>
        </w:tc>
        <w:tc>
          <w:tcPr>
            <w:tcW w:w="13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r>
      <w:tr>
        <w:trPr>
          <w:trHeight w:val="229"/>
        </w:trPr>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annual dividend</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w:t>
            </w:r>
          </w:p>
        </w:tc>
        <w:tc>
          <w:tcPr>
            <w:tcW w:w="1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w:t>
            </w: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w:t>
            </w: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Risk free rate</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3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bl>
    <w:p>
      <w:pPr>
        <w:spacing w:after="0" w:line="201"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For the years ended December 31, 2020, 2019 and 2018, we recognized $13.7 million, $10.8 million and $8.1 million, respectively, of compensation expense related to restricted stock awards, performance-based awards and the ESPP, which is recorded in general and administrative expense on our Consolidated Statement of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 xml:space="preserve">Our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also issue PSUs that contain forfeitable rights to receive dividends and are therefore considered non-participating restrictive shares and are not dilutive under the two-class method until performance conditions are met. During the year ended December 31, 2020, approximately 707,000 PSUs were excluded from the computation of diluted net loss per share because their effect is anti-dilutive as a result of our net loss for the period. During the year ended December 31, 2019, approximately 517,000 PSUs were excluded from the computation of diluted earnings per share because the performance conditions had not been met.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Prior to the second quarter of 2019, the earnings-per-share impact of the Company’s 3% Series A Convertible Preferred Stock, $0.0001 par value (the “Series A Shares”) </w:t>
      </w:r>
      <w:hyperlink w:anchor="page121">
        <w:r>
          <w:rPr>
            <w:rFonts w:ascii="Arial" w:cs="Arial" w:eastAsia="Arial" w:hAnsi="Arial"/>
            <w:sz w:val="17"/>
            <w:szCs w:val="17"/>
            <w:color w:val="auto"/>
          </w:rPr>
          <w:t xml:space="preserve">(See </w:t>
        </w:r>
        <w:r>
          <w:rPr>
            <w:rFonts w:ascii="Arial" w:cs="Arial" w:eastAsia="Arial" w:hAnsi="Arial"/>
            <w:sz w:val="17"/>
            <w:szCs w:val="17"/>
            <w:u w:val="single" w:color="auto"/>
            <w:color w:val="auto"/>
          </w:rPr>
          <w:t>Note</w:t>
        </w:r>
        <w:r>
          <w:rPr>
            <w:rFonts w:ascii="Arial" w:cs="Arial" w:eastAsia="Arial" w:hAnsi="Arial"/>
            <w:sz w:val="17"/>
            <w:szCs w:val="17"/>
            <w:color w:val="auto"/>
          </w:rPr>
          <w:t xml:space="preserve"> </w:t>
        </w:r>
      </w:hyperlink>
      <w:r>
        <w:rPr>
          <w:rFonts w:ascii="Arial" w:cs="Arial" w:eastAsia="Arial" w:hAnsi="Arial"/>
          <w:sz w:val="17"/>
          <w:szCs w:val="17"/>
          <w:color w:val="auto"/>
        </w:rPr>
        <w:t>21), issued in connection with the May 2, 2016 acquisition of PEG Bandwidth, LLC, was calculated using the net share settlement method, whereby the redemption value of the instrument is assumed to be settled in cash and only the conversion premium, if any, is assumed to be settled in shares. The Series A Shares provided Uniti the option to settle the instrument in cash or shares. During the second quarter of 2019, the Company received notice from the holder of the Series A Shares of its election to convert all its shares, and the Company made an election to issue shares upon conversion, which occurred on July 2, 2019. As a result, the earnings-per-share impact for the year ended December 31, 2019 is calculated based on the shares outstanding from the issuance date through December 31, 2019.</w:t>
      </w:r>
    </w:p>
    <w:p>
      <w:pPr>
        <w:spacing w:after="0" w:line="17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dilutive effect of the Exchangeable Notes (see Note 13)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the number of weighted average shares. The dilutive effect of the Warrants (see Note 8) is calculated using the treasury-stock method. During the years ended December 31, 2020 and 2019, the Warrants were excluded from diluted shares outstanding because the exercise price exceeded the average market price of our common stock for the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-589915</wp:posOffset>
            </wp:positionV>
            <wp:extent cx="5391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539115" cy="8255"/>
                    </a:xfrm>
                    <a:prstGeom prst="rect">
                      <a:avLst/>
                    </a:prstGeom>
                    <a:noFill/>
                  </pic:spPr>
                </pic:pic>
              </a:graphicData>
            </a:graphic>
          </wp:anchor>
        </w:drawing>
      </w:r>
    </w:p>
    <w:p>
      <w:pPr>
        <w:spacing w:after="0" w:line="156" w:lineRule="exact"/>
        <w:rPr>
          <w:sz w:val="20"/>
          <w:szCs w:val="20"/>
          <w:color w:val="auto"/>
        </w:rPr>
      </w:pPr>
    </w:p>
    <w:p>
      <w:pPr>
        <w:ind w:right="80"/>
        <w:spacing w:after="0" w:line="25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As part of the acquisition of Tower Cloud on August 31, 2016, we may be obligated to pay contingent consideration upon achievement of certain defined </w:t>
      </w:r>
      <w:hyperlink w:anchor="page93">
        <w:r>
          <w:rPr>
            <w:rFonts w:ascii="Arial" w:cs="Arial" w:eastAsia="Arial" w:hAnsi="Arial"/>
            <w:sz w:val="18"/>
            <w:szCs w:val="18"/>
            <w:color w:val="auto"/>
          </w:rPr>
          <w:t xml:space="preserve">operational milestones. See </w:t>
        </w:r>
        <w:r>
          <w:rPr>
            <w:rFonts w:ascii="Arial" w:cs="Arial" w:eastAsia="Arial" w:hAnsi="Arial"/>
            <w:sz w:val="18"/>
            <w:szCs w:val="18"/>
            <w:u w:val="single" w:color="auto"/>
            <w:color w:val="0000EE"/>
          </w:rPr>
          <w:t>Note 9. At the Company’s discretion, a combination of cash and Uniti common shares may be used to satisfy the contingent</w:t>
        </w:r>
      </w:hyperlink>
      <w:r>
        <w:rPr>
          <w:rFonts w:ascii="Arial" w:cs="Arial" w:eastAsia="Arial" w:hAnsi="Arial"/>
          <w:sz w:val="18"/>
          <w:szCs w:val="18"/>
          <w:color w:val="auto"/>
        </w:rPr>
        <w:t xml:space="preserve"> </w:t>
      </w:r>
      <w:hyperlink w:anchor="page93">
        <w:r>
          <w:rPr>
            <w:rFonts w:ascii="Arial" w:cs="Arial" w:eastAsia="Arial" w:hAnsi="Arial"/>
            <w:sz w:val="18"/>
            <w:szCs w:val="18"/>
            <w:u w:val="single" w:color="auto"/>
            <w:color w:val="0000EE"/>
          </w:rPr>
          <w:t>consideration payments, provided that at least 50% of the aggregate amount of payments is satisfied in cash. The arrangement provides Uniti the option to</w:t>
        </w:r>
      </w:hyperlink>
      <w:r>
        <w:rPr>
          <w:rFonts w:ascii="Arial" w:cs="Arial" w:eastAsia="Arial" w:hAnsi="Arial"/>
          <w:sz w:val="18"/>
          <w:szCs w:val="18"/>
          <w:u w:val="single" w:color="auto"/>
          <w:color w:val="0000EE"/>
        </w:rPr>
        <w:t xml:space="preserve"> </w:t>
      </w:r>
      <w:hyperlink w:anchor="page93">
        <w:r>
          <w:rPr>
            <w:rFonts w:ascii="Arial" w:cs="Arial" w:eastAsia="Arial" w:hAnsi="Arial"/>
            <w:sz w:val="18"/>
            <w:szCs w:val="18"/>
            <w:u w:val="single" w:color="auto"/>
            <w:color w:val="0000EE"/>
          </w:rPr>
          <w:t>cash settle, and it is our policy to settle 100% of the obligation in cash upon the achievement of the defined milestones. As such, there is no impact to our</w:t>
        </w:r>
      </w:hyperlink>
      <w:r>
        <w:rPr>
          <w:rFonts w:ascii="Arial" w:cs="Arial" w:eastAsia="Arial" w:hAnsi="Arial"/>
          <w:sz w:val="18"/>
          <w:szCs w:val="18"/>
          <w:u w:val="single" w:color="auto"/>
          <w:color w:val="0000EE"/>
        </w:rPr>
        <w:t xml:space="preserve"> </w:t>
      </w:r>
      <w:hyperlink w:anchor="page93">
        <w:r>
          <w:rPr>
            <w:rFonts w:ascii="Arial" w:cs="Arial" w:eastAsia="Arial" w:hAnsi="Arial"/>
            <w:sz w:val="18"/>
            <w:szCs w:val="18"/>
            <w:u w:val="single" w:color="auto"/>
            <w:color w:val="0000EE"/>
          </w:rPr>
          <w:t>share count for the purposes of the earnings per share calculation.</w:t>
        </w:r>
      </w:hyperlink>
    </w:p>
    <w:p>
      <w:pPr>
        <w:spacing w:after="0" w:line="188"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computation of basic and diluted earnings per share under the two-class method: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per share data)</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Net (loss) income attributable to shareholders</w:t>
            </w:r>
          </w:p>
        </w:tc>
        <w:tc>
          <w:tcPr>
            <w:tcW w:w="5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(706,301)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10,582</w:t>
            </w:r>
          </w:p>
        </w:tc>
        <w:tc>
          <w:tcPr>
            <w:tcW w:w="160" w:type="dxa"/>
            <w:vAlign w:val="bottom"/>
          </w:tcPr>
          <w:p>
            <w:pPr>
              <w:spacing w:after="0"/>
              <w:rPr>
                <w:sz w:val="19"/>
                <w:szCs w:val="19"/>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16,187</w:t>
            </w:r>
          </w:p>
        </w:tc>
        <w:tc>
          <w:tcPr>
            <w:tcW w:w="120" w:type="dxa"/>
            <w:vAlign w:val="bottom"/>
          </w:tcPr>
          <w:p>
            <w:pPr>
              <w:spacing w:after="0"/>
              <w:rPr>
                <w:sz w:val="19"/>
                <w:szCs w:val="19"/>
                <w:color w:val="auto"/>
              </w:rPr>
            </w:pPr>
          </w:p>
        </w:tc>
      </w:tr>
      <w:tr>
        <w:trPr>
          <w:trHeight w:val="229"/>
        </w:trPr>
        <w:tc>
          <w:tcPr>
            <w:tcW w:w="4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Less: Income allocated to participating securities</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(1,078)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(549)</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(2,594)</w:t>
            </w:r>
          </w:p>
        </w:tc>
      </w:tr>
      <w:tr>
        <w:trPr>
          <w:trHeight w:val="229"/>
        </w:trPr>
        <w:tc>
          <w:tcPr>
            <w:tcW w:w="4980" w:type="dxa"/>
            <w:vAlign w:val="bottom"/>
          </w:tcPr>
          <w:p>
            <w:pPr>
              <w:ind w:left="500"/>
              <w:spacing w:after="0"/>
              <w:rPr>
                <w:sz w:val="20"/>
                <w:szCs w:val="20"/>
                <w:color w:val="auto"/>
              </w:rPr>
            </w:pPr>
            <w:r>
              <w:rPr>
                <w:rFonts w:ascii="Arial" w:cs="Arial" w:eastAsia="Arial" w:hAnsi="Arial"/>
                <w:sz w:val="18"/>
                <w:szCs w:val="18"/>
                <w:color w:val="auto"/>
              </w:rPr>
              <w:t>Dividends declared on convertible preferred stock</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(2,624)</w:t>
            </w:r>
          </w:p>
        </w:tc>
      </w:tr>
      <w:tr>
        <w:trPr>
          <w:trHeight w:val="230"/>
        </w:trPr>
        <w:tc>
          <w:tcPr>
            <w:tcW w:w="4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discount on convertible preferred stock</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(2,980)</w:t>
            </w:r>
          </w:p>
        </w:tc>
      </w:tr>
      <w:tr>
        <w:trPr>
          <w:trHeight w:val="223"/>
        </w:trPr>
        <w:tc>
          <w:tcPr>
            <w:tcW w:w="4980" w:type="dxa"/>
            <w:vAlign w:val="bottom"/>
          </w:tcPr>
          <w:p>
            <w:pPr>
              <w:ind w:left="260"/>
              <w:spacing w:after="0"/>
              <w:rPr>
                <w:sz w:val="20"/>
                <w:szCs w:val="20"/>
                <w:color w:val="auto"/>
              </w:rPr>
            </w:pPr>
            <w:r>
              <w:rPr>
                <w:rFonts w:ascii="Arial" w:cs="Arial" w:eastAsia="Arial" w:hAnsi="Arial"/>
                <w:sz w:val="18"/>
                <w:szCs w:val="18"/>
                <w:color w:val="auto"/>
              </w:rPr>
              <w:t>Net (loss) income attributable to common shares</w:t>
            </w:r>
          </w:p>
        </w:tc>
        <w:tc>
          <w:tcPr>
            <w:tcW w:w="14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(707,388)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7,989</w:t>
            </w:r>
          </w:p>
        </w:tc>
        <w:tc>
          <w:tcPr>
            <w:tcW w:w="12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203,600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187,358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176,169</w:t>
            </w:r>
          </w:p>
        </w:tc>
        <w:tc>
          <w:tcPr>
            <w:tcW w:w="120" w:type="dxa"/>
            <w:vAlign w:val="bottom"/>
            <w:tcBorders>
              <w:bottom w:val="single" w:sz="8" w:color="CFF0FC"/>
            </w:tcBorders>
          </w:tcPr>
          <w:p>
            <w:pPr>
              <w:spacing w:after="0"/>
              <w:rPr>
                <w:sz w:val="19"/>
                <w:szCs w:val="19"/>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(loss) earnings per common share</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24"/>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4"/>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per share data)</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Net (loss) income attributable to shareholders</w:t>
            </w:r>
          </w:p>
        </w:tc>
        <w:tc>
          <w:tcPr>
            <w:tcW w:w="5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(706,301)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10,582</w:t>
            </w:r>
          </w:p>
        </w:tc>
        <w:tc>
          <w:tcPr>
            <w:tcW w:w="160" w:type="dxa"/>
            <w:vAlign w:val="bottom"/>
          </w:tcPr>
          <w:p>
            <w:pPr>
              <w:spacing w:after="0"/>
              <w:rPr>
                <w:sz w:val="19"/>
                <w:szCs w:val="19"/>
                <w:color w:val="auto"/>
              </w:rPr>
            </w:pP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16,187</w:t>
            </w:r>
          </w:p>
        </w:tc>
        <w:tc>
          <w:tcPr>
            <w:tcW w:w="120" w:type="dxa"/>
            <w:vAlign w:val="bottom"/>
          </w:tcPr>
          <w:p>
            <w:pPr>
              <w:spacing w:after="0"/>
              <w:rPr>
                <w:sz w:val="19"/>
                <w:szCs w:val="19"/>
                <w:color w:val="auto"/>
              </w:rPr>
            </w:pPr>
          </w:p>
        </w:tc>
      </w:tr>
      <w:tr>
        <w:trPr>
          <w:trHeight w:val="229"/>
        </w:trPr>
        <w:tc>
          <w:tcPr>
            <w:tcW w:w="4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Less: Income allocated to participating securities</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(1,078)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(549)</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(1,665)</w:t>
            </w:r>
          </w:p>
        </w:tc>
      </w:tr>
      <w:tr>
        <w:trPr>
          <w:trHeight w:val="229"/>
        </w:trPr>
        <w:tc>
          <w:tcPr>
            <w:tcW w:w="4980" w:type="dxa"/>
            <w:vAlign w:val="bottom"/>
          </w:tcPr>
          <w:p>
            <w:pPr>
              <w:ind w:left="500"/>
              <w:spacing w:after="0"/>
              <w:rPr>
                <w:sz w:val="20"/>
                <w:szCs w:val="20"/>
                <w:color w:val="auto"/>
              </w:rPr>
            </w:pPr>
            <w:r>
              <w:rPr>
                <w:rFonts w:ascii="Arial" w:cs="Arial" w:eastAsia="Arial" w:hAnsi="Arial"/>
                <w:sz w:val="18"/>
                <w:szCs w:val="18"/>
                <w:color w:val="auto"/>
              </w:rPr>
              <w:t>Dividends declared on convertible preferred stock</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(2,624)</w:t>
            </w:r>
          </w:p>
        </w:tc>
      </w:tr>
      <w:tr>
        <w:trPr>
          <w:trHeight w:val="230"/>
        </w:trPr>
        <w:tc>
          <w:tcPr>
            <w:tcW w:w="4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discount on convertible preferred stock</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(2,980)</w:t>
            </w:r>
          </w:p>
        </w:tc>
      </w:tr>
      <w:tr>
        <w:trPr>
          <w:trHeight w:val="229"/>
        </w:trPr>
        <w:tc>
          <w:tcPr>
            <w:tcW w:w="4980" w:type="dxa"/>
            <w:vAlign w:val="bottom"/>
          </w:tcPr>
          <w:p>
            <w:pPr>
              <w:ind w:left="500"/>
              <w:spacing w:after="0"/>
              <w:rPr>
                <w:sz w:val="20"/>
                <w:szCs w:val="20"/>
                <w:color w:val="auto"/>
              </w:rPr>
            </w:pPr>
            <w:r>
              <w:rPr>
                <w:rFonts w:ascii="Arial" w:cs="Arial" w:eastAsia="Arial" w:hAnsi="Arial"/>
                <w:sz w:val="18"/>
                <w:szCs w:val="18"/>
                <w:color w:val="auto"/>
              </w:rPr>
              <w:t>Impact on if-converted dilutive securities</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4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Mark-to-market gain on share settled contingent</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consideration arrangements</w:t>
            </w: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(1,433)</w:t>
            </w:r>
          </w:p>
        </w:tc>
      </w:tr>
      <w:tr>
        <w:trPr>
          <w:trHeight w:val="223"/>
        </w:trPr>
        <w:tc>
          <w:tcPr>
            <w:tcW w:w="4980" w:type="dxa"/>
            <w:vAlign w:val="bottom"/>
          </w:tcPr>
          <w:p>
            <w:pPr>
              <w:ind w:left="260"/>
              <w:spacing w:after="0"/>
              <w:rPr>
                <w:sz w:val="20"/>
                <w:szCs w:val="20"/>
                <w:color w:val="auto"/>
              </w:rPr>
            </w:pPr>
            <w:r>
              <w:rPr>
                <w:rFonts w:ascii="Arial" w:cs="Arial" w:eastAsia="Arial" w:hAnsi="Arial"/>
                <w:sz w:val="18"/>
                <w:szCs w:val="18"/>
                <w:color w:val="auto"/>
              </w:rPr>
              <w:t>Net (loss) income attributable to common shares</w:t>
            </w:r>
          </w:p>
        </w:tc>
        <w:tc>
          <w:tcPr>
            <w:tcW w:w="14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(707,388)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7,485</w:t>
            </w:r>
          </w:p>
        </w:tc>
        <w:tc>
          <w:tcPr>
            <w:tcW w:w="12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203,600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187,358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176,169</w:t>
            </w:r>
          </w:p>
        </w:tc>
        <w:tc>
          <w:tcPr>
            <w:tcW w:w="120" w:type="dxa"/>
            <w:vAlign w:val="bottom"/>
          </w:tcPr>
          <w:p>
            <w:pPr>
              <w:spacing w:after="0"/>
              <w:rPr>
                <w:sz w:val="19"/>
                <w:szCs w:val="19"/>
                <w:color w:val="auto"/>
              </w:rPr>
            </w:pPr>
          </w:p>
        </w:tc>
      </w:tr>
      <w:tr>
        <w:trPr>
          <w:trHeight w:val="230"/>
        </w:trPr>
        <w:tc>
          <w:tcPr>
            <w:tcW w:w="4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Contingent consideration (See Note 9)</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FF0FC"/>
          </w:tcPr>
          <w:p>
            <w:pPr>
              <w:spacing w:after="0"/>
              <w:rPr>
                <w:sz w:val="19"/>
                <w:szCs w:val="19"/>
                <w:color w:val="auto"/>
              </w:rPr>
            </w:pPr>
          </w:p>
        </w:tc>
      </w:tr>
      <w:tr>
        <w:trPr>
          <w:trHeight w:val="230"/>
        </w:trPr>
        <w:tc>
          <w:tcPr>
            <w:tcW w:w="4980" w:type="dxa"/>
            <w:vAlign w:val="bottom"/>
          </w:tcPr>
          <w:p>
            <w:pPr>
              <w:ind w:left="500"/>
              <w:spacing w:after="0"/>
              <w:rPr>
                <w:sz w:val="20"/>
                <w:szCs w:val="20"/>
                <w:color w:val="auto"/>
              </w:rPr>
            </w:pPr>
            <w:r>
              <w:rPr>
                <w:rFonts w:ascii="Arial" w:cs="Arial" w:eastAsia="Arial" w:hAnsi="Arial"/>
                <w:sz w:val="18"/>
                <w:szCs w:val="18"/>
                <w:color w:val="auto"/>
              </w:rPr>
              <w:t>Impact on if-converted dilutive securities</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Effect of dilutive non-participating securities</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FF0FC"/>
          </w:tcPr>
          <w:p>
            <w:pPr>
              <w:spacing w:after="0"/>
              <w:rPr>
                <w:sz w:val="19"/>
                <w:szCs w:val="19"/>
                <w:color w:val="auto"/>
              </w:rPr>
            </w:pPr>
          </w:p>
        </w:tc>
      </w:tr>
      <w:tr>
        <w:trPr>
          <w:trHeight w:val="223"/>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89"/>
              </w:rPr>
              <w:t>Weighted-average shares for dilutive earnings per common share</w:t>
            </w:r>
          </w:p>
        </w:tc>
        <w:tc>
          <w:tcPr>
            <w:tcW w:w="14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203,600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187,358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177,071</w:t>
            </w:r>
          </w:p>
        </w:tc>
        <w:tc>
          <w:tcPr>
            <w:tcW w:w="120" w:type="dxa"/>
            <w:vAlign w:val="bottom"/>
            <w:tcBorders>
              <w:bottom w:val="single" w:sz="8" w:color="CFF0FC"/>
            </w:tcBorders>
          </w:tcPr>
          <w:p>
            <w:pPr>
              <w:spacing w:after="0"/>
              <w:rPr>
                <w:sz w:val="19"/>
                <w:szCs w:val="19"/>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Dilutive (loss) earnings per common share</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Information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Historically our management, including our chief executive officer, who is our chief operating decision maker, managed our operations as four operating business segments in addition to our corporate operations, as described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below. Due to the sale of our towers business and wind down of the Consumer CLEC Business, starting in 2021, we will manage our operations focused on our two primary businesses, Leasing and Fiber Infrastructure.</w:t>
      </w:r>
    </w:p>
    <w:p>
      <w:pPr>
        <w:spacing w:after="0" w:line="17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i w:val="1"/>
          <w:iCs w:val="1"/>
          <w:u w:val="single" w:color="auto"/>
          <w:color w:val="auto"/>
        </w:rPr>
        <w:t>Leasing</w:t>
      </w:r>
      <w:r>
        <w:rPr>
          <w:rFonts w:ascii="Arial" w:cs="Arial" w:eastAsia="Arial" w:hAnsi="Arial"/>
          <w:sz w:val="16"/>
          <w:szCs w:val="16"/>
          <w:color w:val="auto"/>
        </w:rPr>
        <w:t>: Represents a component of our REIT operations and includes the results from our leasing business, Uniti Leasing, which is engaged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of mission-critical communications assets and leasing them back to anchor customers on either an exclusive or shared-tenant basis.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color w:val="auto"/>
        </w:rPr>
        <w:t>: Represents the operations of our fiber business, Uniti Fiber, which is a leading provider of infrastructure solutions, including cell site</w:t>
      </w:r>
      <w:r>
        <w:rPr>
          <w:rFonts w:ascii="Arial" w:cs="Arial" w:eastAsia="Arial" w:hAnsi="Arial"/>
          <w:sz w:val="18"/>
          <w:szCs w:val="18"/>
          <w:i w:val="1"/>
          <w:iCs w:val="1"/>
          <w:color w:val="auto"/>
        </w:rPr>
        <w:t xml:space="preserve"> </w:t>
      </w:r>
      <w:r>
        <w:rPr>
          <w:rFonts w:ascii="Arial" w:cs="Arial" w:eastAsia="Arial" w:hAnsi="Arial"/>
          <w:sz w:val="18"/>
          <w:szCs w:val="18"/>
          <w:color w:val="auto"/>
        </w:rPr>
        <w:t>backhaul and dark fiber, to the telecommunications industry.</w:t>
      </w:r>
    </w:p>
    <w:p>
      <w:pPr>
        <w:spacing w:after="0" w:line="17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u w:val="single" w:color="auto"/>
          <w:color w:val="auto"/>
        </w:rPr>
        <w:t>Towers</w:t>
      </w:r>
      <w:r>
        <w:rPr>
          <w:rFonts w:ascii="Arial" w:cs="Arial" w:eastAsia="Arial" w:hAnsi="Arial"/>
          <w:sz w:val="16"/>
          <w:szCs w:val="16"/>
          <w:color w:val="auto"/>
        </w:rPr>
        <w:t>: Represents the operations of our former towers business, Uniti Towers, through which we acquired and constructed tower and tower-related real</w:t>
      </w:r>
      <w:r>
        <w:rPr>
          <w:rFonts w:ascii="Arial" w:cs="Arial" w:eastAsia="Arial" w:hAnsi="Arial"/>
          <w:sz w:val="16"/>
          <w:szCs w:val="16"/>
          <w:i w:val="1"/>
          <w:iCs w:val="1"/>
          <w:color w:val="auto"/>
        </w:rPr>
        <w:t xml:space="preserve"> </w:t>
      </w:r>
      <w:r>
        <w:rPr>
          <w:rFonts w:ascii="Arial" w:cs="Arial" w:eastAsia="Arial" w:hAnsi="Arial"/>
          <w:sz w:val="16"/>
          <w:szCs w:val="16"/>
          <w:color w:val="auto"/>
        </w:rPr>
        <w:t>estate and leased space on communications towers to wireless service providers and other tenants in the United States. On April 2, 2019, the Company completed the sale of LATAM, and on May 23, 2019, the Company completed the sale of substantially all of its ground lease business located across the United States. On June 1, 2020, the Company completed the sale of its U.S. tower business to Melody for total cash consideration of $225.8 million. The Company retained a 10% investment interest in the U.S. tower business through a newly formed limited partnership with Melody. See Note 6</w:t>
      </w:r>
      <w:r>
        <w:rPr>
          <w:rFonts w:ascii="Arial" w:cs="Arial" w:eastAsia="Arial" w:hAnsi="Arial"/>
          <w:sz w:val="16"/>
          <w:szCs w:val="16"/>
          <w:i w:val="1"/>
          <w:iCs w:val="1"/>
          <w:color w:val="auto"/>
        </w:rPr>
        <w:t>.</w:t>
      </w:r>
    </w:p>
    <w:p>
      <w:pPr>
        <w:spacing w:after="0" w:line="16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color w:val="auto"/>
        </w:rPr>
        <w:t>: Represents the operations of Talk America Services (“Talk America”) through which we operated the Consumer CLEC Business,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Uniti’s separation and spin-off from Windstream (the “Spin-Off”) was reported as an integrated operation within Windstream. Talk America provided local telephone, high-speed internet and long distance services to customers in the eastern and central United States. In 2019, we commenced a wind down of our Consumer CLEC business, which we substantially completed during the second quarter of 2020.</w:t>
      </w:r>
    </w:p>
    <w:p>
      <w:pPr>
        <w:spacing w:after="0" w:line="171"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i w:val="1"/>
          <w:iCs w:val="1"/>
          <w:u w:val="single" w:color="auto"/>
          <w:color w:val="auto"/>
        </w:rPr>
        <w:t>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our corporate office and shared service functions. Certain costs and expenses, primarily related to headcount,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fees and similar charges, that are directly attributable to operations of our business segments are allocated to the respective segments.</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and costs associated with the implementation of our enterprise resource planning system, costs related to the settlement with Windstream, amortization of non-cash rights-of-use, the write off of unamortized deferred financing costs, costs incurred as a result of the early repayment of debt, including early tender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related to our segments is presented below for the years ended December 31, 2020, 2019 and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93"/>
              </w:rPr>
              <w:t>Year Ended December 31, 2020</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Fiber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Consumer</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0"/>
              </w:rPr>
              <w:t>Total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Leasing</w:t>
            </w: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Towers</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2"/>
                <w:szCs w:val="12"/>
                <w:color w:val="auto"/>
              </w:rPr>
            </w:pPr>
          </w:p>
        </w:tc>
        <w:tc>
          <w:tcPr>
            <w:tcW w:w="98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5"/>
              </w:rPr>
              <w:t>Reportable</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CLEC</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745,915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314,363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1,067,041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737,337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112,289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(30,323)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818,835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201,321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126,211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Settlement expense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 impairment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Transaction related and other costs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sale of real estate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(86,267)</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(15,203)</w:t>
            </w:r>
          </w:p>
        </w:tc>
        <w:tc>
          <w:tcPr>
            <w:tcW w:w="0" w:type="dxa"/>
            <w:vAlign w:val="bottom"/>
          </w:tcPr>
          <w:p>
            <w:pPr>
              <w:spacing w:after="0"/>
              <w:rPr>
                <w:sz w:val="1"/>
                <w:szCs w:val="1"/>
                <w:color w:val="auto"/>
              </w:rPr>
            </w:pPr>
          </w:p>
        </w:tc>
      </w:tr>
      <w:tr>
        <w:trPr>
          <w:trHeight w:val="215"/>
        </w:trPr>
        <w:tc>
          <w:tcPr>
            <w:tcW w:w="4200" w:type="dxa"/>
            <w:vAlign w:val="bottom"/>
          </w:tcPr>
          <w:p>
            <w:pPr>
              <w:ind w:left="140"/>
              <w:spacing w:after="0"/>
              <w:rPr>
                <w:sz w:val="20"/>
                <w:szCs w:val="20"/>
                <w:color w:val="auto"/>
              </w:rPr>
            </w:pPr>
            <w:r>
              <w:rPr>
                <w:rFonts w:ascii="Arial" w:cs="Arial" w:eastAsia="Arial" w:hAnsi="Arial"/>
                <w:sz w:val="18"/>
                <w:szCs w:val="18"/>
                <w:color w:val="auto"/>
                <w:w w:val="93"/>
              </w:rPr>
              <w:t>Adjustments or equity in earnings from unconsolidated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200" w:type="dxa"/>
            <w:vAlign w:val="bottom"/>
            <w:vMerge w:val="restart"/>
          </w:tcPr>
          <w:p>
            <w:pPr>
              <w:ind w:left="140"/>
              <w:spacing w:after="0"/>
              <w:rPr>
                <w:sz w:val="20"/>
                <w:szCs w:val="20"/>
                <w:color w:val="auto"/>
              </w:rPr>
            </w:pPr>
            <w:r>
              <w:rPr>
                <w:rFonts w:ascii="Arial" w:cs="Arial" w:eastAsia="Arial" w:hAnsi="Arial"/>
                <w:sz w:val="18"/>
                <w:szCs w:val="18"/>
                <w:color w:val="auto"/>
              </w:rPr>
              <w:t>entities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00" w:type="dxa"/>
            <w:vAlign w:val="bottom"/>
            <w:tcBorders>
              <w:bottom w:val="single" w:sz="8" w:color="CFF0FC"/>
            </w:tcBorders>
            <w:vMerge w:val="continue"/>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780" w:type="dxa"/>
            <w:vAlign w:val="bottom"/>
            <w:tcBorders>
              <w:bottom w:val="single" w:sz="8" w:color="CFF0FC"/>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200" w:type="dxa"/>
            <w:vAlign w:val="bottom"/>
            <w:tcBorders>
              <w:bottom w:val="single" w:sz="8" w:color="CFF0FC"/>
            </w:tcBorders>
          </w:tcPr>
          <w:p>
            <w:pPr>
              <w:spacing w:after="0"/>
              <w:rPr>
                <w:sz w:val="9"/>
                <w:szCs w:val="9"/>
                <w:color w:val="auto"/>
              </w:rPr>
            </w:pPr>
          </w:p>
        </w:tc>
        <w:tc>
          <w:tcPr>
            <w:tcW w:w="740" w:type="dxa"/>
            <w:vAlign w:val="bottom"/>
            <w:tcBorders>
              <w:bottom w:val="single" w:sz="8" w:color="CFF0FC"/>
            </w:tcBorders>
          </w:tcPr>
          <w:p>
            <w:pPr>
              <w:spacing w:after="0"/>
              <w:rPr>
                <w:sz w:val="9"/>
                <w:szCs w:val="9"/>
                <w:color w:val="auto"/>
              </w:rPr>
            </w:pPr>
          </w:p>
        </w:tc>
        <w:tc>
          <w:tcPr>
            <w:tcW w:w="200" w:type="dxa"/>
            <w:vAlign w:val="bottom"/>
            <w:tcBorders>
              <w:bottom w:val="single" w:sz="8" w:color="CFF0FC"/>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900" w:type="dxa"/>
            <w:vAlign w:val="bottom"/>
            <w:tcBorders>
              <w:bottom w:val="single" w:sz="8" w:color="CFF0FC"/>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820" w:type="dxa"/>
            <w:vAlign w:val="bottom"/>
            <w:tcBorders>
              <w:bottom w:val="single" w:sz="8" w:color="CFF0FC"/>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820" w:type="dxa"/>
            <w:vAlign w:val="bottom"/>
            <w:tcBorders>
              <w:bottom w:val="single" w:sz="8" w:color="CFF0FC"/>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(718,812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15"/>
                <w:szCs w:val="15"/>
                <w:color w:val="auto"/>
              </w:rPr>
              <w:t>(1)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169,306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197,023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390,491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93"/>
              </w:rPr>
              <w:t>Year Ended December 31, 2019</w:t>
            </w: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Fiber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Consumer</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0"/>
              </w:rPr>
              <w:t>Total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Leasing</w:t>
            </w: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Towers</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2"/>
                <w:szCs w:val="12"/>
                <w:color w:val="auto"/>
              </w:rPr>
            </w:pPr>
          </w:p>
        </w:tc>
        <w:tc>
          <w:tcPr>
            <w:tcW w:w="98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5"/>
              </w:rPr>
              <w:t>Reportable</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CLEC</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716,640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315,605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1,057,611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1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711,119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126,754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(26,494)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812,739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282,107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114,566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6,474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405,754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(24,219)</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Transaction related and other costs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43,708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sale of real estate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(28,995)</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7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74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82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82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15"/>
                <w:szCs w:val="15"/>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338,543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233,506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99,234</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671,298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Fiber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Consumer</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0"/>
              </w:rPr>
              <w:t>Total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Leasing</w:t>
            </w: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Towers</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Reportable</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CLEC</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699,847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289,239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1,017,634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697,545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123,389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(21,759)</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802,883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337,126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105,651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451,750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(4,504)</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Transaction related and other costs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(5,421)</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63"/>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7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74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82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82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15"/>
                <w:szCs w:val="15"/>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152,140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199,689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74,932</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426,875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left="440" w:right="120" w:hanging="432"/>
        <w:spacing w:after="0" w:line="342" w:lineRule="auto"/>
        <w:tabs>
          <w:tab w:leader="none" w:pos="440" w:val="left"/>
        </w:tabs>
        <w:numPr>
          <w:ilvl w:val="0"/>
          <w:numId w:val="32"/>
        </w:numPr>
        <w:rPr>
          <w:rFonts w:ascii="Arial" w:cs="Arial" w:eastAsia="Arial" w:hAnsi="Arial"/>
          <w:sz w:val="13"/>
          <w:szCs w:val="13"/>
          <w:color w:val="auto"/>
        </w:rPr>
      </w:pPr>
      <w:r>
        <w:rPr>
          <w:rFonts w:ascii="Arial" w:cs="Arial" w:eastAsia="Arial" w:hAnsi="Arial"/>
          <w:sz w:val="16"/>
          <w:szCs w:val="16"/>
          <w:color w:val="auto"/>
        </w:rPr>
        <w:t>Segment capital expenditures represents capital expenditures, the Windstream Asset Purchase Agreement, Bluebird and NMS asset acquisitions (see Note 6) and ground lease investments as reported in the investing activities section of the Consolidated Statement of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business segment as of December 31, 2020 and December 31, 2019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8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36"/>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Leasing</w:t>
            </w:r>
          </w:p>
        </w:tc>
        <w:tc>
          <w:tcPr>
            <w:tcW w:w="6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2,295,289</w:t>
            </w:r>
          </w:p>
        </w:tc>
        <w:tc>
          <w:tcPr>
            <w:tcW w:w="30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2,341,734</w:t>
            </w:r>
          </w:p>
        </w:tc>
        <w:tc>
          <w:tcPr>
            <w:tcW w:w="100" w:type="dxa"/>
            <w:vAlign w:val="bottom"/>
            <w:shd w:val="clear" w:color="auto" w:fill="CFF0FC"/>
          </w:tcPr>
          <w:p>
            <w:pPr>
              <w:spacing w:after="0"/>
              <w:rPr>
                <w:sz w:val="20"/>
                <w:szCs w:val="20"/>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Fiber Infrastructure</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2,354,569</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2,362,267</w:t>
            </w:r>
          </w:p>
        </w:tc>
        <w:tc>
          <w:tcPr>
            <w:tcW w:w="100" w:type="dxa"/>
            <w:vAlign w:val="bottom"/>
          </w:tcPr>
          <w:p>
            <w:pPr>
              <w:spacing w:after="0"/>
              <w:rPr>
                <w:sz w:val="19"/>
                <w:szCs w:val="19"/>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Towers</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235,888</w:t>
            </w:r>
          </w:p>
        </w:tc>
        <w:tc>
          <w:tcPr>
            <w:tcW w:w="100" w:type="dxa"/>
            <w:vAlign w:val="bottom"/>
            <w:shd w:val="clear" w:color="auto" w:fill="CFF0FC"/>
          </w:tcPr>
          <w:p>
            <w:pPr>
              <w:spacing w:after="0"/>
              <w:rPr>
                <w:sz w:val="19"/>
                <w:szCs w:val="19"/>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color w:val="auto"/>
              </w:rPr>
              <w:t>Consumer CLEC</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8,707</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10,687</w:t>
            </w:r>
          </w:p>
        </w:tc>
        <w:tc>
          <w:tcPr>
            <w:tcW w:w="100" w:type="dxa"/>
            <w:vAlign w:val="bottom"/>
          </w:tcPr>
          <w:p>
            <w:pPr>
              <w:spacing w:after="0"/>
              <w:rPr>
                <w:sz w:val="19"/>
                <w:szCs w:val="19"/>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1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73,253</w:t>
            </w:r>
          </w:p>
        </w:tc>
        <w:tc>
          <w:tcPr>
            <w:tcW w:w="3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66,424</w:t>
            </w:r>
          </w:p>
        </w:tc>
        <w:tc>
          <w:tcPr>
            <w:tcW w:w="100" w:type="dxa"/>
            <w:vAlign w:val="bottom"/>
            <w:shd w:val="clear" w:color="auto" w:fill="CFF0FC"/>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Total of reportable segments</w:t>
            </w: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4,731,818</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5,017,000</w:t>
            </w:r>
          </w:p>
        </w:tc>
        <w:tc>
          <w:tcPr>
            <w:tcW w:w="10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2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Pursuant to the Separation and Distribution Agreement entered into with Windstream in connection with the Spin-Off,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and the successor Windstream Leases,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to us by Windstream.</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July 25, 2019, in connection with Windstream’s bankruptcy, Windstream Holdings and Windstream Services, LLC (“Windstream Services”) filed a complaint with the U.S. Bankruptcy Court for the Southern District of New York (the “Bankruptcy Court”) in an adversary proceeding against Uniti and certain of its affiliates, alleging, among other things, that the Master Lease should be recharacterized as a financing arrangement, that certain rent payments and TCIs made by Windstream under the Master Lease constitute constructive fraudulent transfers, that the Master Lease is a lease of personal property and that Uniti breached certain of its obligations under the Master Lease. On March 2, 2020, Uniti and Windstream jointly announced that they agreed to the Settlement to resolve any and all claims and causes of action that have been or may be asserted against Uniti by Windstream, including all litigation brought by Windstream and certain of its creditors in the context of Windstream’s bankruptcy, and on May 12, 2020, the Bankruptcy Court entered an order approving Windstream’s assumption of the Master Lease as part of the Settlement. As a result, during the second quarter of 2020, we estimated that $650.0 million of the consideration paid to Windstream should be classified as settlement of litigation, and therefore, recorded a $650.0 million charge. The charge represented our estimated fair value of the litigation settlement component of the Settlement.</w:t>
      </w:r>
    </w:p>
    <w:p>
      <w:pPr>
        <w:spacing w:after="0" w:line="16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September 21, 2020, Windstream emerged from bankruptcy. In connection with Windstream’s emergence from bankruptcy, Uniti and Windstream implemented the Settlement, pursuant to which Uniti and Windstream agreed to mutual releases with respect to any and all liability related to any claims and causes of action between them, including those brought by Windstream and certain of its creditors relating to Windstream’s Chapter 11 proceedings and the Master Lease.</w:t>
      </w:r>
    </w:p>
    <w:p>
      <w:pPr>
        <w:spacing w:after="0" w:line="18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On May 26, 2020, UMB Bank, National Association and U.S. Bank National Association, in their respective capacities as indenture trustees of Windstream’s bonds filed a notice of appeal in the United States District Court for the Southern District of New York from the bankruptcy court’s May 12, 2020 order approving the settlement. The appeal was fully briefed on September 10, 2020. The district court has not yet issued a ruling on the appeal.</w:t>
      </w:r>
    </w:p>
    <w:p>
      <w:pPr>
        <w:spacing w:after="0" w:line="14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Under the Settlement Agreement, in addition to completing the transactions and executing the Windstream Leases (see Note 5), Uniti is required to make quarterly cash payments of $24.5 million to Windstream for 20 consecutive quarters beginning the first month after Windstream’s emergence. Uniti may prepay any installments falling due on or after the first anniversary of the Settlement’s effective date (discounted at a 9% rate). This obligation has been recorded at its initial fair value of $438.6 million and is reported as settlement payable on our Consolidated Balance Sheet at December 31, 2020. The difference between the initial fair value of the obligation and total undiscounted cash payments, $490.1 million, will be recognized as interest expense within our Consolidated Statements of Income (Loss) at an effective rate of 4.7%, over 20 quarters beginning October 1,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Purchase Agreements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September 9, 2020, Uniti entered into stock purchase agreements (each, a “Stock Purchase Agreement”) with certain first lien creditors of Windstream to replace and codify the terms set forth in the previously-filed binding letters of intent, pursuant to which on September 18, 2020 Uniti sold an aggregate of 38,633,470 shares of Uniti common stock, par value $0.0001 per share (the “Settlement Common Stock”), at $6.33 per share, which represents the closing price of Uniti common stock on the date when an agreement in principle of the basic outline of the Settlement was first reached. Uniti transferred the proceeds from the sale of the Settlement Common Stock to Windstream as consideration relating to the Asset Purchase Agreement and in partial settlement of the litigation with Windstream.</w:t>
      </w:r>
    </w:p>
    <w:p>
      <w:pPr>
        <w:spacing w:after="0" w:line="192"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Asset Purchase Agreement</w:t>
      </w:r>
      <w:r>
        <w:rPr>
          <w:rFonts w:ascii="Arial" w:cs="Arial" w:eastAsia="Arial" w:hAnsi="Arial"/>
          <w:sz w:val="18"/>
          <w:szCs w:val="18"/>
          <w:color w:val="auto"/>
        </w:rPr>
        <w:t xml:space="preserve"> (</w:t>
      </w:r>
      <w:hyperlink r:id="rId154">
        <w:r>
          <w:rPr>
            <w:rFonts w:ascii="Arial" w:cs="Arial" w:eastAsia="Arial" w:hAnsi="Arial"/>
            <w:sz w:val="18"/>
            <w:szCs w:val="18"/>
            <w:u w:val="single" w:color="auto"/>
            <w:color w:val="0000EE"/>
          </w:rPr>
          <w:t>see Note 6</w:t>
        </w:r>
      </w:hyperlink>
      <w:r>
        <w:rPr>
          <w:rFonts w:ascii="Arial" w:cs="Arial" w:eastAsia="Arial" w:hAnsi="Arial"/>
          <w:sz w:val="18"/>
          <w:szCs w:val="18"/>
          <w:color w:val="auto"/>
        </w:rPr>
        <w:t>)</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September 18, 2020, and in furtherance of the Settlement Agreement, Uniti and Windstream closed an asset purchase agreement, as amended by a letter agreement (collectively, the “Asset Purchase Agreement”), pursuant to which (a) Uniti paid to Windstream approximately $284.6 million and (b) Windstream (i) granted to Uniti exclusive rights to use 1.8 million fiber strand miles leased by Windstream under the CLEC MLA, which fiber strands are either unutilized or utilized under certain dark fiber indefeasible rights of use (“IRUs”) that were simultaneously transferred to Uniti, (ii) conveyed to Uniti fiber assets (and underlying rights) consisting of 0.4 million fiber strand miles (covering 4,000 route miles) owned by Windstream, and (iii) transferred and assigned to subsidiaries of Uniti dark fiber IRUs relating to (x) the fiber strand miles granted to Uniti under the CLEC MLA (and described in clause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 and (y) the fiber assets (and underlying rights) for the 0.4 million fiber strand miles conveyed to Uniti (and described in clause (ii)), which IRUs generated $28.9 million of annual EBITDA in the aggregate as of closing of the Asset Purchase Agreement. In addition, upon the transfer of the Windstream owned fiber assets (described in clause (ii) above), Uniti granted to Windstream a 20-year IRU for certain strands included in the transferred fiber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Litigation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July 3, 2019, SLF Holdings, LLC (“SLF”) filed a complaint against the Company, Uniti Fiber, and certain current and former officers of the Company (collectively, the “Defendants”) in the United States District Court for the Southern District of Alabama, in connection with Uniti Fiber’s purchase of Southern Light, LLC from SLF in July 2017. The complaint asserted claims for fraud and conspiracy, as well as claims under federal and Alabama securities laws, alleging that Defendants improperly failed to disclose to SLF the risk that the Spin-Off and entry into the Master Lease violated certain debt covenants of Windstream. On September 26, 2019, the action was transferred to United States District Court for the District of Delaware. On November 18, 2019, SLF filed an amended complaint, adding allegations that Defendants also failed to fully disclose the risk that the Master Lease purportedly could be recharacterized as a financing instead of “true lease.” The amended complaint seeks compensatory and punitive damages, as well as reformation of the purchase agreement for the sale. On December 18, 2019, Defendants moved to dismiss the amended complaint in its entirety. That motion was fully briefed as of February 7, 2020, and a hearing on the motion was heard on May 12, 2020. On November 4, 2020, the court granted the Defendants’ motion and dismissed SLF’s amended complaint, in its entirety, with prejudice. On December 1, 2020, SLF filed a notice of appeal to the United States Court of Appeals for the Third Circuit from the district court’s dismissal order. On January 26, 2021, the Third Circuit assigned the case for mediation, which is scheduled for March 8, 2021. As of the date of this Annual Report on Form 10-K, we are unable to estimate a reasonably possible range of loss and therefore have not recorded any liabilities associated with these claims in our Consolidated Balance Sheet.</w:t>
      </w:r>
    </w:p>
    <w:p>
      <w:pPr>
        <w:spacing w:after="0" w:line="17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Beginning on October 25, 2019, several purported shareholders filed separate putative class actions in the U.S. District Court for the Eastern District of Arkansas against the Company and certain of our officers, alleging violations of the federal securities laws (the “Shareholder Actions”), based on claims similar to those asserted in the SLF Action. On March 12, 2020, the U.S. District Court for the Eastern District of Arkansas consolidated the Shareholder Actions and appointed lead plaintiffs and lead counsel in the consolidated cases under the caption In re Uniti Group Inc. Securities Litigation. On May 11, 2020, lead plaintiffs filed a consolidated amended complaint in the consolidated Shareholder Actions. The consolidated amended complaint seeks to represent investors who acquired the Company’s securities between April 20, 2015 and February 15, 2019. The Shareholder Actions assert claims under Sections 10(b) and 20(a) of the Exchange Act and Rule 10b-5 promulgated thereunder, alleging that the Company made materially false and misleading statements by allegedly failing to disclose, among other things, the risk that the Spin-Off and entry into the Master Lease violated certain debt covenants of Windstream and/or the risk that the Master Lease purportedly could be recharacterized as a financing instead of “true lease.” The Shareholder Actions seek class certification, unspecified monetary damages, costs and attorneys’ fees and other relief. On July 10, 2020, defendants moved to dismiss the consolidated amended complaint. Briefing on that motion is complete, but no decision has been issued. We intend to defend this matter vigorously, and, because it is still in its preliminary stages, we have not yet determined what effect this lawsuit will have, if any, on our financial position or results of operations. As of the date of this Annual Report on Form 10-K, we are unable to estimate a reasonably possible range of loss and therefore have not recorded any liabilities associated with these claims in our Consolidated Balance Sheet.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Consolidated Balance Sheet as of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Changes in accumulated other comprehensive income (loss) by component is as follows for the years ended December 31, 2020, 2019 and 2018:</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FF0FC"/>
            </w:tcBorders>
          </w:tcPr>
          <w:p>
            <w:pPr>
              <w:spacing w:after="0"/>
              <w:rPr>
                <w:sz w:val="20"/>
                <w:szCs w:val="20"/>
                <w:color w:val="auto"/>
              </w:rPr>
            </w:pPr>
          </w:p>
        </w:tc>
      </w:tr>
      <w:tr>
        <w:trPr>
          <w:trHeight w:val="237"/>
        </w:trPr>
        <w:tc>
          <w:tcPr>
            <w:tcW w:w="6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flow hedge changes in fair value gain (loss):</w:t>
            </w: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6280" w:type="dxa"/>
            <w:vAlign w:val="bottom"/>
            <w:gridSpan w:val="2"/>
          </w:tcPr>
          <w:p>
            <w:pPr>
              <w:ind w:left="26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(23,442)</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30,042</w:t>
            </w:r>
          </w:p>
        </w:tc>
        <w:tc>
          <w:tcPr>
            <w:tcW w:w="140" w:type="dxa"/>
            <w:vAlign w:val="bottom"/>
          </w:tcPr>
          <w:p>
            <w:pPr>
              <w:spacing w:after="0"/>
              <w:rPr>
                <w:sz w:val="21"/>
                <w:szCs w:val="21"/>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6,351</w:t>
            </w:r>
          </w:p>
        </w:tc>
        <w:tc>
          <w:tcPr>
            <w:tcW w:w="120" w:type="dxa"/>
            <w:vAlign w:val="bottom"/>
          </w:tcPr>
          <w:p>
            <w:pPr>
              <w:spacing w:after="0"/>
              <w:rPr>
                <w:sz w:val="21"/>
                <w:szCs w:val="21"/>
                <w:color w:val="auto"/>
              </w:rPr>
            </w:pPr>
          </w:p>
        </w:tc>
      </w:tr>
      <w:tr>
        <w:trPr>
          <w:trHeight w:val="243"/>
        </w:trPr>
        <w:tc>
          <w:tcPr>
            <w:tcW w:w="6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 reclassifications</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(7,713)</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(51,288)</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21,626</w:t>
            </w:r>
          </w:p>
        </w:tc>
        <w:tc>
          <w:tcPr>
            <w:tcW w:w="120" w:type="dxa"/>
            <w:vAlign w:val="bottom"/>
            <w:shd w:val="clear" w:color="auto" w:fill="CFF0FC"/>
          </w:tcPr>
          <w:p>
            <w:pPr>
              <w:spacing w:after="0"/>
              <w:rPr>
                <w:sz w:val="21"/>
                <w:szCs w:val="21"/>
                <w:color w:val="auto"/>
              </w:rPr>
            </w:pPr>
          </w:p>
        </w:tc>
      </w:tr>
      <w:tr>
        <w:trPr>
          <w:trHeight w:val="243"/>
        </w:trPr>
        <w:tc>
          <w:tcPr>
            <w:tcW w:w="6280" w:type="dxa"/>
            <w:vAlign w:val="bottom"/>
            <w:gridSpan w:val="2"/>
          </w:tcPr>
          <w:p>
            <w:pPr>
              <w:ind w:left="260"/>
              <w:spacing w:after="0"/>
              <w:rPr>
                <w:sz w:val="20"/>
                <w:szCs w:val="20"/>
                <w:color w:val="auto"/>
              </w:rPr>
            </w:pPr>
            <w:r>
              <w:rPr>
                <w:rFonts w:ascii="Arial" w:cs="Arial" w:eastAsia="Arial" w:hAnsi="Arial"/>
                <w:sz w:val="18"/>
                <w:szCs w:val="18"/>
                <w:color w:val="auto"/>
              </w:rPr>
              <w:t>Amounts reclassified from accumulated other comprehensive income</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21"/>
                <w:szCs w:val="21"/>
                <w:color w:val="auto"/>
              </w:rPr>
            </w:pPr>
          </w:p>
        </w:tc>
      </w:tr>
      <w:tr>
        <w:trPr>
          <w:trHeight w:val="20"/>
        </w:trPr>
        <w:tc>
          <w:tcPr>
            <w:tcW w:w="6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7"/>
        </w:trPr>
        <w:tc>
          <w:tcPr>
            <w:tcW w:w="6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(30,478)</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(24,570)</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30,601</w:t>
            </w:r>
          </w:p>
        </w:tc>
        <w:tc>
          <w:tcPr>
            <w:tcW w:w="120" w:type="dxa"/>
            <w:vAlign w:val="bottom"/>
            <w:shd w:val="clear" w:color="auto" w:fill="CFF0FC"/>
          </w:tcPr>
          <w:p>
            <w:pPr>
              <w:spacing w:after="0"/>
              <w:rPr>
                <w:sz w:val="20"/>
                <w:szCs w:val="20"/>
                <w:color w:val="auto"/>
              </w:rPr>
            </w:pPr>
          </w:p>
        </w:tc>
      </w:tr>
      <w:tr>
        <w:trPr>
          <w:trHeight w:val="243"/>
        </w:trPr>
        <w:tc>
          <w:tcPr>
            <w:tcW w:w="6280" w:type="dxa"/>
            <w:vAlign w:val="bottom"/>
            <w:gridSpan w:val="2"/>
          </w:tcPr>
          <w:p>
            <w:pPr>
              <w:ind w:left="260"/>
              <w:spacing w:after="0"/>
              <w:rPr>
                <w:sz w:val="20"/>
                <w:szCs w:val="20"/>
                <w:color w:val="auto"/>
              </w:rPr>
            </w:pPr>
            <w:r>
              <w:rPr>
                <w:rFonts w:ascii="Arial" w:cs="Arial" w:eastAsia="Arial" w:hAnsi="Arial"/>
                <w:sz w:val="18"/>
                <w:szCs w:val="18"/>
                <w:color w:val="auto"/>
                <w:w w:val="95"/>
              </w:rPr>
              <w:t>Less: Other comprehensive income (loss) attributable to noncontrolling interest</w:t>
            </w:r>
          </w:p>
        </w:tc>
        <w:tc>
          <w:tcPr>
            <w:tcW w:w="3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1"/>
                <w:szCs w:val="21"/>
                <w:color w:val="auto"/>
              </w:rPr>
            </w:pPr>
          </w:p>
        </w:tc>
      </w:tr>
      <w:tr>
        <w:trPr>
          <w:trHeight w:val="20"/>
        </w:trPr>
        <w:tc>
          <w:tcPr>
            <w:tcW w:w="6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7"/>
        </w:trPr>
        <w:tc>
          <w:tcPr>
            <w:tcW w:w="6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Balance at end of period</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(30,353)</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(23,442)</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30,042</w:t>
            </w:r>
          </w:p>
        </w:tc>
        <w:tc>
          <w:tcPr>
            <w:tcW w:w="120" w:type="dxa"/>
            <w:vAlign w:val="bottom"/>
            <w:shd w:val="clear" w:color="auto" w:fill="CFF0FC"/>
          </w:tcPr>
          <w:p>
            <w:pPr>
              <w:spacing w:after="0"/>
              <w:rPr>
                <w:sz w:val="20"/>
                <w:szCs w:val="20"/>
                <w:color w:val="auto"/>
              </w:rPr>
            </w:pPr>
          </w:p>
        </w:tc>
      </w:tr>
      <w:tr>
        <w:trPr>
          <w:trHeight w:val="237"/>
        </w:trPr>
        <w:tc>
          <w:tcPr>
            <w:tcW w:w="6280" w:type="dxa"/>
            <w:vAlign w:val="bottom"/>
            <w:gridSpan w:val="2"/>
          </w:tcPr>
          <w:p>
            <w:pPr>
              <w:spacing w:after="0"/>
              <w:rPr>
                <w:sz w:val="20"/>
                <w:szCs w:val="20"/>
                <w:color w:val="auto"/>
              </w:rPr>
            </w:pPr>
            <w:r>
              <w:rPr>
                <w:rFonts w:ascii="Arial" w:cs="Arial" w:eastAsia="Arial" w:hAnsi="Arial"/>
                <w:sz w:val="18"/>
                <w:szCs w:val="18"/>
                <w:color w:val="auto"/>
              </w:rPr>
              <w:t>Interest rate swap termination:</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6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Balance at beginning of period attributable to common shareholders</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Amounts reclassified from accumulated other comprehensive income</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10,155</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r>
      <w:tr>
        <w:trPr>
          <w:trHeight w:val="237"/>
        </w:trPr>
        <w:tc>
          <w:tcPr>
            <w:tcW w:w="6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Balance at end of period</w:t>
            </w: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w w:val="95"/>
              </w:rPr>
              <w:t>Less: Other comprehensive income (loss) attributable to noncontrolling interest</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r>
      <w:tr>
        <w:trPr>
          <w:trHeight w:val="237"/>
        </w:trPr>
        <w:tc>
          <w:tcPr>
            <w:tcW w:w="6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Balance at end of period attributable to common shareholders</w:t>
            </w: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gridSpan w:val="2"/>
          </w:tcPr>
          <w:p>
            <w:pPr>
              <w:spacing w:after="0"/>
              <w:rPr>
                <w:sz w:val="20"/>
                <w:szCs w:val="20"/>
                <w:color w:val="auto"/>
              </w:rPr>
            </w:pPr>
            <w:r>
              <w:rPr>
                <w:rFonts w:ascii="Arial" w:cs="Arial" w:eastAsia="Arial" w:hAnsi="Arial"/>
                <w:sz w:val="18"/>
                <w:szCs w:val="18"/>
                <w:color w:val="auto"/>
              </w:rPr>
              <w:t>Foreign currency translation gain (loss):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Balance at beginning of period</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120" w:type="dxa"/>
            <w:vAlign w:val="bottom"/>
            <w:shd w:val="clear" w:color="auto" w:fill="CFF0FC"/>
          </w:tcPr>
          <w:p>
            <w:pPr>
              <w:spacing w:after="0"/>
              <w:rPr>
                <w:sz w:val="21"/>
                <w:szCs w:val="21"/>
                <w:color w:val="auto"/>
              </w:rPr>
            </w:pPr>
          </w:p>
        </w:tc>
      </w:tr>
      <w:tr>
        <w:trPr>
          <w:trHeight w:val="243"/>
        </w:trPr>
        <w:tc>
          <w:tcPr>
            <w:tcW w:w="6280" w:type="dxa"/>
            <w:vAlign w:val="bottom"/>
            <w:gridSpan w:val="2"/>
          </w:tcPr>
          <w:p>
            <w:pPr>
              <w:ind w:left="260"/>
              <w:spacing w:after="0"/>
              <w:rPr>
                <w:sz w:val="20"/>
                <w:szCs w:val="20"/>
                <w:color w:val="auto"/>
              </w:rPr>
            </w:pPr>
            <w:r>
              <w:rPr>
                <w:rFonts w:ascii="Arial" w:cs="Arial" w:eastAsia="Arial" w:hAnsi="Arial"/>
                <w:sz w:val="18"/>
                <w:szCs w:val="18"/>
                <w:color w:val="auto"/>
              </w:rPr>
              <w:t>Translation adjustments</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(1,440)</w:t>
            </w:r>
          </w:p>
        </w:tc>
      </w:tr>
      <w:tr>
        <w:trPr>
          <w:trHeight w:val="243"/>
        </w:trPr>
        <w:tc>
          <w:tcPr>
            <w:tcW w:w="6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Amounts reclassified from accumulated other comprehensive income</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6"/>
        </w:trPr>
        <w:tc>
          <w:tcPr>
            <w:tcW w:w="6280" w:type="dxa"/>
            <w:vAlign w:val="bottom"/>
            <w:gridSpan w:val="2"/>
          </w:tcPr>
          <w:p>
            <w:pPr>
              <w:ind w:left="260"/>
              <w:spacing w:after="0"/>
              <w:rPr>
                <w:sz w:val="20"/>
                <w:szCs w:val="20"/>
                <w:color w:val="auto"/>
              </w:rPr>
            </w:pPr>
            <w:r>
              <w:rPr>
                <w:rFonts w:ascii="Arial" w:cs="Arial" w:eastAsia="Arial" w:hAnsi="Arial"/>
                <w:sz w:val="18"/>
                <w:szCs w:val="18"/>
                <w:color w:val="auto"/>
              </w:rPr>
              <w:t>Net other comprehensive income (loss)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r>
      <w:tr>
        <w:trPr>
          <w:trHeight w:val="243"/>
        </w:trPr>
        <w:tc>
          <w:tcPr>
            <w:tcW w:w="6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5"/>
              </w:rPr>
              <w:t>Less: Other comprehensive income (loss) attributable to noncontrolling interest</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w:t>
            </w:r>
          </w:p>
        </w:tc>
      </w:tr>
      <w:tr>
        <w:trPr>
          <w:trHeight w:val="237"/>
        </w:trPr>
        <w:tc>
          <w:tcPr>
            <w:tcW w:w="62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FF0FC"/>
            </w:tcBorders>
          </w:tcPr>
          <w:p>
            <w:pPr>
              <w:spacing w:after="0"/>
              <w:rPr>
                <w:sz w:val="20"/>
                <w:szCs w:val="20"/>
                <w:color w:val="auto"/>
              </w:rPr>
            </w:pPr>
          </w:p>
        </w:tc>
      </w:tr>
      <w:tr>
        <w:trPr>
          <w:trHeight w:val="223"/>
        </w:trPr>
        <w:tc>
          <w:tcPr>
            <w:tcW w:w="6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Accumulated other comprehensive income (loss) at end of period</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(20,367)</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(23,442)</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30,105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Income Taxes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elected on our initial U.S. federal income tax return to be treated as a REIT under the Internal Revenue Code of 1986, as amended (the “Code”). To qualify as a REIT, we must distribute at least 90% of our annual REIT taxable income, determined without regard to the dividends paid deduction and excluding any capital gains,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unless certain relief provisions apply, we will be subject to U.S. federal income tax, including any applicable alternative minimum tax for open taxable years through 2017,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were entitled to relief under certain Code provisions, we also would be disqualified from reelecting to be taxed as a REIT for the four taxable years following the year in which we failed to qualify as a REIT.</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Subject to the restrictions imposed by our 7.875% senior secured notes due 2025 (see Note 13), our ability to make cash distributions to our shareholders in amounts exceeding 90% of our good faith estimate, as of the date on which the first quarterly dividend for the relevant year is declared, of our REIT taxable income for such year, determined without regard to the dividends paid deduction and excluding any capital gains, until we reduce our net leverage ratio. As a result, we may be required to record a provision in our Consolidated Financial Statements for U.S. federal income taxes related to the activities of the REIT and its passthrough subsidiaries for any undistributed income.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We have elected to treat the subsidiaries through which we operate Uniti Fiber and Talk America, as well as certain portions of Uniti Towers, 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TRSs. TRSs enable us to engage in activities that result in income that does not constitute qualifying income for a REIT. Our TRSs are subject to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federal, state and local corporate income taxes.</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Income tax expense (benefit) for the years ended December 31, 2020, 2019 and 2018 as reported in the accompanying Consolidated Statements of Income was comprised of the following:</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42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4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860" w:type="dxa"/>
            <w:vAlign w:val="bottom"/>
          </w:tcPr>
          <w:p>
            <w:pPr>
              <w:ind w:left="260"/>
              <w:spacing w:after="0"/>
              <w:rPr>
                <w:sz w:val="20"/>
                <w:szCs w:val="20"/>
                <w:color w:val="auto"/>
              </w:rPr>
            </w:pPr>
            <w:r>
              <w:rPr>
                <w:rFonts w:ascii="Arial" w:cs="Arial" w:eastAsia="Arial" w:hAnsi="Arial"/>
                <w:sz w:val="18"/>
                <w:szCs w:val="18"/>
                <w:color w:val="auto"/>
              </w:rPr>
              <w:t>Federal</w:t>
            </w:r>
          </w:p>
        </w:tc>
        <w:tc>
          <w:tcPr>
            <w:tcW w:w="8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(901)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10,401</w:t>
            </w:r>
          </w:p>
        </w:tc>
        <w:tc>
          <w:tcPr>
            <w:tcW w:w="240" w:type="dxa"/>
            <w:vAlign w:val="bottom"/>
          </w:tcPr>
          <w:p>
            <w:pPr>
              <w:spacing w:after="0"/>
              <w:rPr>
                <w:sz w:val="19"/>
                <w:szCs w:val="19"/>
                <w:color w:val="auto"/>
              </w:rPr>
            </w:pPr>
          </w:p>
        </w:tc>
        <w:tc>
          <w:tcPr>
            <w:tcW w:w="420" w:type="dxa"/>
            <w:vAlign w:val="bottom"/>
            <w:gridSpan w:val="2"/>
          </w:tcPr>
          <w:p>
            <w:pPr>
              <w:jc w:val="right"/>
              <w:ind w:right="289"/>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4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w:t>
            </w:r>
          </w:p>
        </w:tc>
        <w:tc>
          <w:tcPr>
            <w:tcW w:w="4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4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expense</w:t>
            </w:r>
          </w:p>
        </w:tc>
        <w:tc>
          <w:tcPr>
            <w:tcW w:w="4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4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Federal</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(7,665)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(9,378)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(5,451)</w:t>
            </w: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4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(6,226)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(2,050)</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(1,770)</w:t>
            </w:r>
          </w:p>
        </w:tc>
      </w:tr>
      <w:tr>
        <w:trPr>
          <w:trHeight w:val="229"/>
        </w:trPr>
        <w:tc>
          <w:tcPr>
            <w:tcW w:w="4860" w:type="dxa"/>
            <w:vAlign w:val="bottom"/>
          </w:tcPr>
          <w:p>
            <w:pPr>
              <w:ind w:left="260"/>
              <w:spacing w:after="0"/>
              <w:rPr>
                <w:sz w:val="20"/>
                <w:szCs w:val="20"/>
                <w:color w:val="auto"/>
              </w:rPr>
            </w:pPr>
            <w:r>
              <w:rPr>
                <w:rFonts w:ascii="Arial" w:cs="Arial" w:eastAsia="Arial" w:hAnsi="Arial"/>
                <w:sz w:val="18"/>
                <w:szCs w:val="18"/>
                <w:color w:val="auto"/>
              </w:rPr>
              <w:t>Foreign</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r>
      <w:tr>
        <w:trPr>
          <w:trHeight w:val="223"/>
        </w:trPr>
        <w:tc>
          <w:tcPr>
            <w:tcW w:w="486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deferred expense</w:t>
            </w:r>
          </w:p>
        </w:tc>
        <w:tc>
          <w:tcPr>
            <w:tcW w:w="4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(11,428)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Total income tax (benefit) expense</w:t>
            </w:r>
          </w:p>
        </w:tc>
        <w:tc>
          <w:tcPr>
            <w:tcW w:w="4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w:t>
            </w:r>
          </w:p>
        </w:tc>
        <w:tc>
          <w:tcPr>
            <w:tcW w:w="10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An income tax expense reconciliation between the U.S. statutory tax rate and the effective tax rate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1"/>
              </w:rPr>
              <w:t>Year Ended December 31,</w:t>
            </w: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1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20"/>
                <w:szCs w:val="20"/>
                <w:color w:val="auto"/>
              </w:rPr>
            </w:pPr>
          </w:p>
        </w:tc>
        <w:tc>
          <w:tcPr>
            <w:tcW w:w="1620" w:type="dxa"/>
            <w:vAlign w:val="bottom"/>
          </w:tcPr>
          <w:p>
            <w:pPr>
              <w:jc w:val="right"/>
              <w:ind w:right="69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right"/>
              <w:ind w:right="69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r>
      <w:tr>
        <w:trPr>
          <w:trHeight w:val="223"/>
        </w:trPr>
        <w:tc>
          <w:tcPr>
            <w:tcW w:w="5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Income from continuing operations, before tax</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(734,015)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15,571</w:t>
            </w: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Income tax at U.S. statutory federal rate</w:t>
            </w:r>
          </w:p>
        </w:tc>
        <w:tc>
          <w:tcPr>
            <w:tcW w:w="2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(154,143)</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3,270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19"/>
                <w:szCs w:val="19"/>
                <w:color w:val="auto"/>
              </w:rPr>
            </w:pPr>
          </w:p>
        </w:tc>
      </w:tr>
      <w:tr>
        <w:trPr>
          <w:trHeight w:val="230"/>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Increases (decreases) resulting from:</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State taxes, net of federal benefit</w:t>
            </w:r>
          </w:p>
        </w:tc>
        <w:tc>
          <w:tcPr>
            <w:tcW w:w="2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(655)</w:t>
            </w:r>
          </w:p>
        </w:tc>
      </w:tr>
      <w:tr>
        <w:trPr>
          <w:trHeight w:val="230"/>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Benefit of REIT status</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129,742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(2,188)</w:t>
            </w:r>
          </w:p>
        </w:tc>
        <w:tc>
          <w:tcPr>
            <w:tcW w:w="4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(5,687)</w:t>
            </w:r>
          </w:p>
        </w:tc>
      </w:tr>
      <w:tr>
        <w:trPr>
          <w:trHeight w:val="230"/>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14,910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Return to accrual</w:t>
            </w:r>
          </w:p>
        </w:tc>
        <w:tc>
          <w:tcPr>
            <w:tcW w:w="2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(2,795)</w:t>
            </w: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r>
      <w:tr>
        <w:trPr>
          <w:trHeight w:val="229"/>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Permanent differences</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r>
      <w:tr>
        <w:trPr>
          <w:trHeight w:val="230"/>
        </w:trPr>
        <w:tc>
          <w:tcPr>
            <w:tcW w:w="5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Foreign taxes</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2,948</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w:t>
            </w:r>
          </w:p>
        </w:tc>
      </w:tr>
      <w:tr>
        <w:trPr>
          <w:trHeight w:val="230"/>
        </w:trPr>
        <w:tc>
          <w:tcPr>
            <w:tcW w:w="5160" w:type="dxa"/>
            <w:vAlign w:val="bottom"/>
            <w:gridSpan w:val="2"/>
          </w:tcPr>
          <w:p>
            <w:pPr>
              <w:ind w:left="260"/>
              <w:spacing w:after="0"/>
              <w:rPr>
                <w:sz w:val="20"/>
                <w:szCs w:val="20"/>
                <w:color w:val="auto"/>
              </w:rPr>
            </w:pPr>
            <w:r>
              <w:rPr>
                <w:rFonts w:ascii="Arial" w:cs="Arial" w:eastAsia="Arial" w:hAnsi="Arial"/>
                <w:sz w:val="18"/>
                <w:szCs w:val="18"/>
                <w:color w:val="auto"/>
              </w:rPr>
              <w:t>Rate differential</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(1,319)</w:t>
            </w:r>
          </w:p>
        </w:tc>
      </w:tr>
      <w:tr>
        <w:trPr>
          <w:trHeight w:val="223"/>
        </w:trPr>
        <w:tc>
          <w:tcPr>
            <w:tcW w:w="51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ind w:right="1152"/>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on income from continuing operations differs from tax at the statutory rate primarily due to our status as a REIT.</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Deferred tax assets and liabilities are recognized for the estimated future tax consequences attributable to differences between the financial statement carrying amounts of existing assets and liabilities and their respective tax bases.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deferred tax assets and liabilities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6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34,207</w:t>
            </w:r>
          </w:p>
        </w:tc>
        <w:tc>
          <w:tcPr>
            <w:tcW w:w="160" w:type="dxa"/>
            <w:vAlign w:val="bottom"/>
          </w:tcPr>
          <w:p>
            <w:pPr>
              <w:spacing w:after="0"/>
              <w:rPr>
                <w:sz w:val="19"/>
                <w:szCs w:val="19"/>
                <w:color w:val="auto"/>
              </w:rPr>
            </w:pP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25,507</w:t>
            </w:r>
          </w:p>
        </w:tc>
        <w:tc>
          <w:tcPr>
            <w:tcW w:w="100" w:type="dxa"/>
            <w:vAlign w:val="bottom"/>
          </w:tcPr>
          <w:p>
            <w:pPr>
              <w:spacing w:after="0"/>
              <w:rPr>
                <w:sz w:val="19"/>
                <w:szCs w:val="19"/>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bonuses</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29"/>
        </w:trPr>
        <w:tc>
          <w:tcPr>
            <w:tcW w:w="60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19"/>
                <w:szCs w:val="19"/>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r>
      <w:tr>
        <w:trPr>
          <w:trHeight w:val="229"/>
        </w:trPr>
        <w:tc>
          <w:tcPr>
            <w:tcW w:w="6060" w:type="dxa"/>
            <w:vAlign w:val="bottom"/>
          </w:tcPr>
          <w:p>
            <w:pPr>
              <w:ind w:left="260"/>
              <w:spacing w:after="0"/>
              <w:rPr>
                <w:sz w:val="20"/>
                <w:szCs w:val="20"/>
                <w:color w:val="auto"/>
              </w:rPr>
            </w:pPr>
            <w:r>
              <w:rPr>
                <w:rFonts w:ascii="Arial" w:cs="Arial" w:eastAsia="Arial" w:hAnsi="Arial"/>
                <w:sz w:val="18"/>
                <w:szCs w:val="18"/>
                <w:color w:val="auto"/>
              </w:rPr>
              <w:t>Asset retirement obligation</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 reserve</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FF0FC"/>
          </w:tcPr>
          <w:p>
            <w:pPr>
              <w:spacing w:after="0"/>
              <w:rPr>
                <w:sz w:val="19"/>
                <w:szCs w:val="19"/>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Excess business interest expense</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19"/>
                <w:szCs w:val="19"/>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asset liability</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19,264</w:t>
            </w:r>
          </w:p>
        </w:tc>
        <w:tc>
          <w:tcPr>
            <w:tcW w:w="100" w:type="dxa"/>
            <w:vAlign w:val="bottom"/>
            <w:shd w:val="clear" w:color="auto" w:fill="CFF0FC"/>
          </w:tcPr>
          <w:p>
            <w:pPr>
              <w:spacing w:after="0"/>
              <w:rPr>
                <w:sz w:val="19"/>
                <w:szCs w:val="19"/>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Settlement obligation</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FF0FC"/>
          </w:tcPr>
          <w:p>
            <w:pPr>
              <w:spacing w:after="0"/>
              <w:rPr>
                <w:sz w:val="19"/>
                <w:szCs w:val="19"/>
                <w:color w:val="auto"/>
              </w:rPr>
            </w:pPr>
          </w:p>
        </w:tc>
      </w:tr>
      <w:tr>
        <w:trPr>
          <w:trHeight w:val="229"/>
        </w:trPr>
        <w:tc>
          <w:tcPr>
            <w:tcW w:w="6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126,464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116,736</w:t>
            </w:r>
          </w:p>
        </w:tc>
        <w:tc>
          <w:tcPr>
            <w:tcW w:w="100" w:type="dxa"/>
            <w:vAlign w:val="bottom"/>
            <w:tcBorders>
              <w:bottom w:val="single" w:sz="8" w:color="CFF0FC"/>
            </w:tcBorders>
          </w:tcPr>
          <w:p>
            <w:pPr>
              <w:spacing w:after="0"/>
              <w:rPr>
                <w:sz w:val="19"/>
                <w:szCs w:val="19"/>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167,597</w:t>
            </w:r>
          </w:p>
        </w:tc>
        <w:tc>
          <w:tcPr>
            <w:tcW w:w="100" w:type="dxa"/>
            <w:vAlign w:val="bottom"/>
            <w:shd w:val="clear" w:color="auto" w:fill="CFF0FC"/>
          </w:tcPr>
          <w:p>
            <w:pPr>
              <w:spacing w:after="0"/>
              <w:rPr>
                <w:sz w:val="19"/>
                <w:szCs w:val="19"/>
                <w:color w:val="auto"/>
              </w:rPr>
            </w:pPr>
          </w:p>
        </w:tc>
      </w:tr>
      <w:tr>
        <w:trPr>
          <w:trHeight w:val="229"/>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 net of valuation allowance</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167,597</w:t>
            </w:r>
          </w:p>
        </w:tc>
        <w:tc>
          <w:tcPr>
            <w:tcW w:w="100" w:type="dxa"/>
            <w:vAlign w:val="bottom"/>
            <w:shd w:val="clear" w:color="auto" w:fill="CFF0FC"/>
          </w:tcPr>
          <w:p>
            <w:pPr>
              <w:spacing w:after="0"/>
              <w:rPr>
                <w:sz w:val="19"/>
                <w:szCs w:val="19"/>
                <w:color w:val="auto"/>
              </w:rPr>
            </w:pPr>
          </w:p>
        </w:tc>
      </w:tr>
      <w:tr>
        <w:trPr>
          <w:trHeight w:val="229"/>
        </w:trPr>
        <w:tc>
          <w:tcPr>
            <w:tcW w:w="6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060" w:type="dxa"/>
            <w:vAlign w:val="bottom"/>
          </w:tcPr>
          <w:p>
            <w:pPr>
              <w:ind w:left="260"/>
              <w:spacing w:after="0"/>
              <w:rPr>
                <w:sz w:val="20"/>
                <w:szCs w:val="20"/>
                <w:color w:val="auto"/>
              </w:rPr>
            </w:pPr>
            <w:r>
              <w:rPr>
                <w:rFonts w:ascii="Arial" w:cs="Arial" w:eastAsia="Arial" w:hAnsi="Arial"/>
                <w:sz w:val="18"/>
                <w:szCs w:val="18"/>
                <w:color w:val="auto"/>
              </w:rPr>
              <w:t>Property, plant and equipment</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(103,441)</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(106,716)</w:t>
            </w: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list intangible</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(42,898)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(46,164)</w:t>
            </w: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Other intangible amortization</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(24,852)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(15,486)</w:t>
            </w: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 of use asset</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(18,443)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(18,012)</w:t>
            </w: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Deferred or prepaid costs</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(2,121)</w:t>
            </w: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discount and interest expense</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(2,034)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(2,890)</w:t>
            </w: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(639)</w:t>
            </w:r>
          </w:p>
        </w:tc>
      </w:tr>
      <w:tr>
        <w:trPr>
          <w:trHeight w:val="223"/>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(194,729)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0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liability, net</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(24,431)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Company’s deferred tax assets were primarily the result of U.S. federal and state NOL carryforwards.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each reporting date, the Company’s management considers new evidence, both positive and negative, that could impact management’s view with regard to future realization of deferred tax assets. Given the Company has significant deferred tax liabilities, management determined that sufficient positive evidence exists as of December 31, 2020, to conclude that it is more likely than not that all of its deferred tax assets are realizable, and therefore, no valuation allowance has been recorded.</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August 31, 2016, we acquired 100% of the outstanding equity of Tower Cloud, Inc., which had federal NOL carryforwards of approximately $81.2 million at the date of the acquisition. As a result of the change in ownership, the utilization of Tower Cloud, Inc. NOL carryforwards is subject to limitations imposed by the Code. Approximately $18.3 million of the Tower Cloud, Inc. NOL carryforward was utilized in 2017. The remaining Tower Cloud, Inc. NOL carryforwards will expire between 2026 and 2036.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total federal NOL carryforwards as of December 31, 2020 of approximately $165.2 million which will expire between 2026 and 2037, and approximately $321.0 million which will not expire but the utilization of which will be limited to 80% of taxable income annually under provisions enacted in the Tax Cut and Jobs Act.</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With the exception of Tower Cloud, Inc. and Uniti Fiber Holdings Inc., our 2017 returns remain open to examination. As Tower Cloud, Inc. and Uniti Fiber Holdings Inc. have NOLs available to carry forward, the applicable tax years will generally remain open to examination several years after the applicable loss carryforwards have been utilized or expire.</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or its subsidiaries file tax returns in the U.S. federal jurisdiction, various state and local jurisdictions, and certain foreign jurisdictions. A reconciliation of the Company’s beginning and ending liability for unrecognized tax benefits is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540" w:type="dxa"/>
            <w:vAlign w:val="bottom"/>
          </w:tcPr>
          <w:p>
            <w:pPr>
              <w:spacing w:after="0"/>
              <w:rPr>
                <w:sz w:val="14"/>
                <w:szCs w:val="14"/>
                <w:color w:val="auto"/>
              </w:rPr>
            </w:pPr>
          </w:p>
        </w:tc>
        <w:tc>
          <w:tcPr>
            <w:tcW w:w="1740" w:type="dxa"/>
            <w:vAlign w:val="bottom"/>
          </w:tcPr>
          <w:p>
            <w:pPr>
              <w:jc w:val="right"/>
              <w:ind w:right="91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tcPr>
          <w:p>
            <w:pPr>
              <w:jc w:val="right"/>
              <w:ind w:right="9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23"/>
        </w:trPr>
        <w:tc>
          <w:tcPr>
            <w:tcW w:w="6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January 1</w:t>
            </w:r>
          </w:p>
        </w:tc>
        <w:tc>
          <w:tcPr>
            <w:tcW w:w="1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2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Additions related to acquisitions</w:t>
            </w:r>
          </w:p>
        </w:tc>
        <w:tc>
          <w:tcPr>
            <w:tcW w:w="5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Additions for tax positions for the current year</w:t>
            </w:r>
          </w:p>
        </w:tc>
        <w:tc>
          <w:tcPr>
            <w:tcW w:w="5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FF0FC"/>
          </w:tcPr>
          <w:p>
            <w:pPr>
              <w:spacing w:after="0"/>
              <w:rPr>
                <w:sz w:val="19"/>
                <w:szCs w:val="19"/>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Additions for tax positions of prior years</w:t>
            </w:r>
          </w:p>
        </w:tc>
        <w:tc>
          <w:tcPr>
            <w:tcW w:w="5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Reductions for tax positions of prior years</w:t>
            </w:r>
          </w:p>
        </w:tc>
        <w:tc>
          <w:tcPr>
            <w:tcW w:w="5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(3,036)</w:t>
            </w:r>
          </w:p>
        </w:tc>
      </w:tr>
      <w:tr>
        <w:trPr>
          <w:trHeight w:val="229"/>
        </w:trPr>
        <w:tc>
          <w:tcPr>
            <w:tcW w:w="6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Settlements</w:t>
            </w: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63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2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entire liability for unrecognized tax benefit would affect the annual effective tax rate if recognized.</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recognizes accrued interest and penalties related to unrecognized tax benefits as additional tax expense. The Company recorded $0.1 million of interest expense and penalties for the period ending December 31, 2020. The Company’s balance of accrued interest and penalties related to unrecognized tax benefits as of December 31, 2020 was $1.3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Supplemental Cash Flow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 expense and income taxes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41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80" w:type="dxa"/>
            <w:vAlign w:val="bottom"/>
          </w:tcPr>
          <w:p>
            <w:pPr>
              <w:spacing w:after="0"/>
              <w:rPr>
                <w:sz w:val="20"/>
                <w:szCs w:val="20"/>
                <w:color w:val="auto"/>
              </w:rPr>
            </w:pPr>
          </w:p>
        </w:tc>
        <w:tc>
          <w:tcPr>
            <w:tcW w:w="1560" w:type="dxa"/>
            <w:vAlign w:val="bottom"/>
          </w:tcPr>
          <w:p>
            <w:pPr>
              <w:jc w:val="right"/>
              <w:ind w:right="802"/>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jc w:val="right"/>
              <w:ind w:right="804"/>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82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r>
      <w:tr>
        <w:trPr>
          <w:trHeight w:val="210"/>
        </w:trPr>
        <w:tc>
          <w:tcPr>
            <w:tcW w:w="3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Cash payments for:</w:t>
            </w:r>
          </w:p>
        </w:tc>
        <w:tc>
          <w:tcPr>
            <w:tcW w:w="3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160" w:type="dxa"/>
            <w:vAlign w:val="bottom"/>
            <w:gridSpan w:val="2"/>
          </w:tcPr>
          <w:p>
            <w:pPr>
              <w:ind w:left="260"/>
              <w:spacing w:after="0"/>
              <w:rPr>
                <w:sz w:val="20"/>
                <w:szCs w:val="20"/>
                <w:color w:val="auto"/>
              </w:rPr>
            </w:pPr>
            <w:r>
              <w:rPr>
                <w:rFonts w:ascii="Arial" w:cs="Arial" w:eastAsia="Arial" w:hAnsi="Arial"/>
                <w:sz w:val="16"/>
                <w:szCs w:val="16"/>
                <w:color w:val="auto"/>
              </w:rPr>
              <w:t>Interest (net of capitalized interest)</w:t>
            </w: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314,276</w:t>
            </w:r>
          </w:p>
        </w:tc>
        <w:tc>
          <w:tcPr>
            <w:tcW w:w="4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344,464</w:t>
            </w:r>
          </w:p>
        </w:tc>
        <w:tc>
          <w:tcPr>
            <w:tcW w:w="420" w:type="dxa"/>
            <w:vAlign w:val="bottom"/>
          </w:tcPr>
          <w:p>
            <w:pPr>
              <w:spacing w:after="0"/>
              <w:rPr>
                <w:sz w:val="18"/>
                <w:szCs w:val="18"/>
                <w:color w:val="auto"/>
              </w:rPr>
            </w:pP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281,364</w:t>
            </w:r>
          </w:p>
        </w:tc>
        <w:tc>
          <w:tcPr>
            <w:tcW w:w="100" w:type="dxa"/>
            <w:vAlign w:val="bottom"/>
          </w:tcPr>
          <w:p>
            <w:pPr>
              <w:spacing w:after="0"/>
              <w:rPr>
                <w:sz w:val="18"/>
                <w:szCs w:val="18"/>
                <w:color w:val="auto"/>
              </w:rPr>
            </w:pPr>
          </w:p>
        </w:tc>
      </w:tr>
      <w:tr>
        <w:trPr>
          <w:trHeight w:val="219"/>
        </w:trPr>
        <w:tc>
          <w:tcPr>
            <w:tcW w:w="4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Income Taxes</w:t>
            </w:r>
          </w:p>
        </w:tc>
        <w:tc>
          <w:tcPr>
            <w:tcW w:w="480" w:type="dxa"/>
            <w:vAlign w:val="bottom"/>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1,155</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16,073</w:t>
            </w: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1,688</w:t>
            </w:r>
          </w:p>
        </w:tc>
        <w:tc>
          <w:tcPr>
            <w:tcW w:w="10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Capital Stock</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September 9, 2020, Uniti entered into stock purchase agreements (see Note 17) with certain first lien creditors of Windstream to replace and codify the terms set forth in the previously-filed binding letters of intent, pursuant to which on September 18, 2020 Uniti sold an aggregate of 38,633,470 shares of Uniti common stock, par value $0.0001 per share (the “Settlement Common Stock”), at $6.33 per share, which represents the closing price of Uniti common stock on the date when an agreement in principle of the basic outline of the Settlement was first reached. Uniti transferred the proceeds from the sale of the Settlement Common Stock to Windstream as consideration relating to the Asset Purchase Agreement and settlement of the litigation with Windstream. The issuance and sale of the Settlement Common Stock was made in reliance upon the exemption from registration requirements pursuant to Section 4(a)(2) of the Securities Act of 1933, as amended. Certain recipients of the Settlement Common Stock are subject to a one-year lock up, and all recipients are subject to a customary standstill agreement. No recipient will receive any governance rights in connection with the issuance. The binding letters of intent and the Stock Purchase Agreements also provide for customary registration rights.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June 22, 2020, we established an at-the-market common stock offering program (the “ATM Program”) to sell shares of our common stock, par value $0.0001 per share, having an aggregate offering price of up to $250 million. This offering supersedes and replaces the $250 million program we commenced on September 2, 2016, which had approximately $117.1 million available for issuance under such program. We have not made any sales under the refreshed ATM Program. This program is intended to provide additional financial flexibility and an alternative mechanism to access the capital markets at an efficient cost as and when we need financing, including for acquisitions.</w:t>
      </w:r>
    </w:p>
    <w:p>
      <w:pPr>
        <w:spacing w:after="0" w:line="18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On July 2, 2019, the Company issued 8,677,163 shares of its commons stock in connection with the conversion by PEG Bandwidth Holdings, LLC of 87,500 shares of the Series A Shares. The Company issued common stock with a total value of $87.5 million, with the total number of shares calculated based on the five-day volume weighted average price of its common stock ending on June 27, 2019. Upon conversion, all outstanding Series A Shares were cancelled and no longer remain outstanding. The issuance by the Company of the common stock was made in reliance upon the exception from registration requirements pursuant to Section 3(a)(9) of the Securities Act.</w:t>
      </w:r>
    </w:p>
    <w:p>
      <w:pPr>
        <w:spacing w:after="0" w:line="18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are authorized to issue up to 500,000,000 shares of voting common stock and 50,000,000 shares of preferred stock, of which 231,261,958 and 0 shares, respectively, were outstanding at December 31, 2020. We had 268,738,042 shares of voting common stock available for issuance at December 31,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Dividends (Distributions)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Distributions with respect to our common stock is characterized for federal income tax purposes as taxable ordinary dividends, capital gains dividends, non-dividend distribution or a combination thereof. For the years ended December 31, 2020, 2019, and 2018, our common stock distribution per share was $0.60, $0.97 and $2.40, respectively, characterized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6"/>
        </w:trPr>
        <w:tc>
          <w:tcPr>
            <w:tcW w:w="4240" w:type="dxa"/>
            <w:vAlign w:val="bottom"/>
            <w:tcBorders>
              <w:bottom w:val="single" w:sz="8" w:color="CFF0FC"/>
            </w:tcBorders>
          </w:tcPr>
          <w:p>
            <w:pPr>
              <w:spacing w:after="0"/>
              <w:rPr>
                <w:sz w:val="20"/>
                <w:szCs w:val="20"/>
                <w:color w:val="auto"/>
              </w:rPr>
            </w:pPr>
          </w:p>
        </w:tc>
        <w:tc>
          <w:tcPr>
            <w:tcW w:w="15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2"/>
                <w:szCs w:val="12"/>
                <w:b w:val="1"/>
                <w:bCs w:val="1"/>
                <w:color w:val="auto"/>
              </w:rPr>
              <w:t>(1)</w:t>
            </w:r>
          </w:p>
        </w:tc>
        <w:tc>
          <w:tcPr>
            <w:tcW w:w="56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2"/>
                <w:szCs w:val="12"/>
                <w:b w:val="1"/>
                <w:bCs w:val="1"/>
                <w:color w:val="auto"/>
              </w:rPr>
              <w:t>(2)</w:t>
            </w:r>
          </w:p>
        </w:tc>
        <w:tc>
          <w:tcPr>
            <w:tcW w:w="260" w:type="dxa"/>
            <w:vAlign w:val="bottom"/>
            <w:tcBorders>
              <w:bottom w:val="single" w:sz="8" w:color="CFF0FC"/>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0"/>
                <w:szCs w:val="20"/>
                <w:color w:val="auto"/>
              </w:rPr>
            </w:pPr>
          </w:p>
        </w:tc>
      </w:tr>
      <w:tr>
        <w:trPr>
          <w:trHeight w:val="237"/>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Ordinary dividends</w:t>
            </w:r>
          </w:p>
        </w:tc>
        <w:tc>
          <w:tcPr>
            <w:tcW w:w="1500" w:type="dxa"/>
            <w:vAlign w:val="bottom"/>
            <w:shd w:val="clear" w:color="auto" w:fill="CFF0FC"/>
          </w:tcPr>
          <w:p>
            <w:pPr>
              <w:jc w:val="right"/>
              <w:ind w:right="131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0.52</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26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FF0FC"/>
          </w:tcPr>
          <w:p>
            <w:pPr>
              <w:spacing w:after="0"/>
              <w:rPr>
                <w:sz w:val="20"/>
                <w:szCs w:val="20"/>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Capital gain distribution</w:t>
            </w:r>
          </w:p>
        </w:tc>
        <w:tc>
          <w:tcPr>
            <w:tcW w:w="1500" w:type="dxa"/>
            <w:vAlign w:val="bottom"/>
          </w:tcPr>
          <w:p>
            <w:pPr>
              <w:jc w:val="right"/>
              <w:ind w:right="131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0.08</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4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Non-dividend distributions</w:t>
            </w:r>
          </w:p>
        </w:tc>
        <w:tc>
          <w:tcPr>
            <w:tcW w:w="15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120" w:type="dxa"/>
            <w:vAlign w:val="bottom"/>
            <w:shd w:val="clear" w:color="auto" w:fill="CFF0FC"/>
          </w:tcPr>
          <w:p>
            <w:pPr>
              <w:spacing w:after="0"/>
              <w:rPr>
                <w:sz w:val="21"/>
                <w:szCs w:val="21"/>
                <w:color w:val="auto"/>
              </w:rPr>
            </w:pP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tcPr>
          <w:p>
            <w:pPr>
              <w:jc w:val="right"/>
              <w:ind w:right="131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0.97</w:t>
            </w:r>
          </w:p>
        </w:tc>
        <w:tc>
          <w:tcPr>
            <w:tcW w:w="26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r>
    </w:tbl>
    <w:p>
      <w:pPr>
        <w:spacing w:after="0" w:line="202" w:lineRule="exact"/>
        <w:rPr>
          <w:sz w:val="20"/>
          <w:szCs w:val="20"/>
          <w:color w:val="auto"/>
        </w:rPr>
      </w:pPr>
    </w:p>
    <w:p>
      <w:pPr>
        <w:ind w:left="440" w:right="600" w:hanging="415"/>
        <w:spacing w:after="0" w:line="342" w:lineRule="auto"/>
        <w:tabs>
          <w:tab w:leader="none" w:pos="375" w:val="left"/>
        </w:tabs>
        <w:numPr>
          <w:ilvl w:val="1"/>
          <w:numId w:val="33"/>
        </w:numPr>
        <w:rPr>
          <w:rFonts w:ascii="Arial" w:cs="Arial" w:eastAsia="Arial" w:hAnsi="Arial"/>
          <w:sz w:val="13"/>
          <w:szCs w:val="13"/>
          <w:color w:val="auto"/>
        </w:rPr>
      </w:pPr>
      <w:r>
        <w:rPr>
          <w:rFonts w:ascii="Arial" w:cs="Arial" w:eastAsia="Arial" w:hAnsi="Arial"/>
          <w:sz w:val="16"/>
          <w:szCs w:val="16"/>
          <w:color w:val="auto"/>
        </w:rPr>
        <w:t>Pursuant to Internal Revenue Code Section 857(b)(9), if you were a stockholder of record as of December 15, 2020, your dividend payment of $0.1500 per share received in January 2021 was reported on Form 1099-DIV for the 2020 taxable year for federal income tax purposes.</w:t>
      </w:r>
    </w:p>
    <w:p>
      <w:pPr>
        <w:spacing w:after="0" w:line="123" w:lineRule="exact"/>
        <w:rPr>
          <w:rFonts w:ascii="Arial" w:cs="Arial" w:eastAsia="Arial" w:hAnsi="Arial"/>
          <w:sz w:val="13"/>
          <w:szCs w:val="13"/>
          <w:color w:val="auto"/>
        </w:rPr>
      </w:pPr>
    </w:p>
    <w:p>
      <w:pPr>
        <w:ind w:left="440" w:right="540" w:hanging="432"/>
        <w:spacing w:after="0" w:line="342" w:lineRule="auto"/>
        <w:tabs>
          <w:tab w:leader="none" w:pos="440" w:val="left"/>
        </w:tabs>
        <w:numPr>
          <w:ilvl w:val="0"/>
          <w:numId w:val="34"/>
        </w:numPr>
        <w:rPr>
          <w:rFonts w:ascii="Arial" w:cs="Arial" w:eastAsia="Arial" w:hAnsi="Arial"/>
          <w:sz w:val="13"/>
          <w:szCs w:val="13"/>
          <w:color w:val="auto"/>
        </w:rPr>
      </w:pPr>
      <w:r>
        <w:rPr>
          <w:rFonts w:ascii="Arial" w:cs="Arial" w:eastAsia="Arial" w:hAnsi="Arial"/>
          <w:sz w:val="16"/>
          <w:szCs w:val="16"/>
          <w:color w:val="auto"/>
        </w:rPr>
        <w:t>Pursuant to Internal Revenue Code Section 857(b)(9), if you were a stockholder of record as of December 31, 2019, your dividend payment of $0.2200 per share received in January 2020 was reported on Form 1099-DIV for the 2019 taxable year for federal income tax purposes.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Employee Benefit Plan</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sponsor a defined contribution plan under section 401(k) of the Internal Revenue Code, which covers employees who are 21 years of age and over. Under this plan, we match voluntary employee contributions at a rate of 100% for the first 3% of an employee’s annual compensation and at a rate of 50% for the next 2% of an employee’s annual compensation. Employees vest in our contribution immediately. Our expense related to the plan recognized for the years ended December 31, 2020, 2019 and 2018 was $2.2 million, $1.7 million and $1.2 million, respectively.</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sponsor a deferred compensation plan. The plan is established and maintained by the Company primarily to permit certain management or highly compensated employees of the Company and its subsidiaries, within the meaning of Section 301(a) of the Employee Retirement Income Security Act of 1974, as amended (“ERISA”), to defer a percentage of their compensation. The plan is an unfunded deferred compensation plan intended to qualify for the exemptions provided in, and shall be administered in a manner consistent with Section 201, 301 and 401 of ERISA and Section 409A of the Internal Revenue Code of 1986, as amended.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 2021, the Operating Partnership, Uniti Group Finance 2019 Inc. and CSL Capital, LLC issued $1.11 billion aggregate principal amount of 6.50% Senior Notes due 2029. The net proceeds from the offering were used to fund the tender offer of substantially all outstanding 2023 Notes, of which $58.8 million remain outstanding. On February 16, 2021, we issued a notice of redemption to redeem all remaining principal amount of the 2023 Notes on April 15, 2021.</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established disclosure controls and procedures, as such term is defined in Rule 13a-15(e) under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December 31, 2020. Based on this evaluation, our principal executive officer and principal financial officer concluded that our disclosure controls and procedures were not effective as of December 31, 2020, due to the material weakness in our internal control over financial reporting, as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7" w:lineRule="exact"/>
        <w:rPr>
          <w:sz w:val="20"/>
          <w:szCs w:val="20"/>
          <w:color w:val="auto"/>
        </w:rPr>
      </w:pPr>
    </w:p>
    <w:p>
      <w:pPr>
        <w:ind w:left="880" w:right="80" w:hanging="440"/>
        <w:spacing w:after="0" w:line="258"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ind w:left="880" w:right="460" w:hanging="440"/>
        <w:spacing w:after="0" w:line="255"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9"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the degree of compliance with the policies or procedures may deteriorate.</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Our management, with the participation of our principal executive officer and principal financial officer, assessed the effectiveness of our internal control over financial reporting as of December 31, 2020.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w:t>
      </w:r>
    </w:p>
    <w:p>
      <w:pPr>
        <w:spacing w:after="0" w:line="18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Based on this assessment, management concluded that the Company did not maintain effective internal control over financial reporting as of December 31, 2020 due to the following material weakness. The Company had ineffective controls over the annual goodwill impairment assessment, specifically, the control activities over the determination</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of the carrying value to be used in the assessment of goodwill impairment did not operate effectively due to an insufficient complement of qualified personnel. The control deficiency described above created a reasonable possibility that a material misstatement to the consolidated financial statements would not be prevented or detected on a timely basis. Therefore, we concluded that the deficiency represents a material weakness in the Company’s internal control over financial reporting and our internal control over financial reporting was not effective as of December 31, 2020.</w:t>
      </w:r>
    </w:p>
    <w:p>
      <w:pPr>
        <w:spacing w:after="0" w:line="17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This material weakness resulted in a material adjustment to the goodwill balance on the consolidated balance sheet and a goodwill impairment charge on the consolidated income statement, which were corrected prior to issuance of the consolidated financial statements as of and for the year ended December 31, 2020.</w:t>
      </w:r>
    </w:p>
    <w:p>
      <w:pPr>
        <w:spacing w:after="0" w:line="18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Company’s independent registered public accounting firm, KPMG LLP, who audited the consolidated financial statements included in this Annual Report on Form 10-K, issued an adverse opinion on the effectiveness of the Company’s internal control over financial reporting. KPMG LLP’s report appears in Part II, Item 8 of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as such term is defined in Rule 13a-15(f) under the Exchange Act, during the quarter ended December 31, 2020 that have materially affected, or are reasonably likely to materially affect, our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Management is implementing remedial actions to ensure that the material weakness is remediated such that the existing controls will operate effectively. The remedial actions we are taking, and expect to take, include educating and re-training control owners regarding the accounting standards related to goodwill and the associated impairment determination and hiring or contracting with appropriate resources to enable adequate time and knowledge to effectively operate associated controls.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believe that these actions, and the improvements we expect to achieve as a result, will effectively remediate the material weakness. However, the material weakness in our internal control over financial reporting will not be considered remediated until the operation of the remediated control is sufficiently tested. We expect that the remediation of this material weakness will be completed in fiscal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Except as set forth below, the information required by this item is incorporated by reference from the definitive proxy statement to be filed within 120 days after December 31, 2020, pursuant to Regulation 14A under the Exchange Act in connection with our 2021 annual meeting of stockholders.</w:t>
      </w:r>
    </w:p>
    <w:p>
      <w:pPr>
        <w:spacing w:after="0" w:line="14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 xml:space="preserve">We have a code of ethics as defined in Item 406 of Regulation S-K, which code applies to all of our directors and employees, including our principal executive officer, principal financial officer, principal accounting officer or controller, and persons performing similar functions. A copy of this code of ethics, titled “Code of Business Conduct and Ethics and Whistleblower Policy,” is available free of charge in the </w:t>
      </w:r>
      <w:r>
        <w:rPr>
          <w:rFonts w:ascii="Arial" w:cs="Arial" w:eastAsia="Arial" w:hAnsi="Arial"/>
          <w:sz w:val="17"/>
          <w:szCs w:val="17"/>
          <w:i w:val="1"/>
          <w:iCs w:val="1"/>
          <w:color w:val="auto"/>
        </w:rPr>
        <w:t>Corporate Governance</w:t>
      </w:r>
      <w:r>
        <w:rPr>
          <w:rFonts w:ascii="Arial" w:cs="Arial" w:eastAsia="Arial" w:hAnsi="Arial"/>
          <w:sz w:val="17"/>
          <w:szCs w:val="17"/>
          <w:color w:val="auto"/>
        </w:rPr>
        <w:t xml:space="preserve"> section of the About Us page on our website at www.uniti.com. We intend to satisfy the disclosure requirements of Form 8-K regarding any amendment to, or a waiver from, any provision of our code of ethics by posting such amendment or waiver on our website.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definitive proxy statement to be filed within 120 days after December 31, 2020, pursuant to Regulation 14A under the Exchange Act in connection with our 2021 annual meeting of stockholders.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Except as set forth below, the information required by this item is incorporated by reference from the definitive proxy statement to be filed within 120 days after December 31, 2020, pursuant to Regulation 14A under the Exchange Act in connection with our 2021 annual meeting of stockholders.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about our equity compensation plan as of December 31, 2020:</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w:t>
      </w:r>
      <w:r>
        <w:rPr>
          <w:rFonts w:ascii="Arial" w:cs="Arial" w:eastAsia="Arial" w:hAnsi="Arial"/>
          <w:sz w:val="10"/>
          <w:szCs w:val="10"/>
          <w:b w:val="1"/>
          <w:bCs w:val="1"/>
          <w:color w:val="auto"/>
        </w:rPr>
        <w:t>QUITY</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OMPENSATION</w:t>
      </w:r>
      <w:r>
        <w:rPr>
          <w:rFonts w:ascii="Arial" w:cs="Arial" w:eastAsia="Arial" w:hAnsi="Arial"/>
          <w:sz w:val="16"/>
          <w:szCs w:val="16"/>
          <w:b w:val="1"/>
          <w:bCs w:val="1"/>
          <w:color w:val="auto"/>
        </w:rPr>
        <w:t xml:space="preserve"> P</w:t>
      </w:r>
      <w:r>
        <w:rPr>
          <w:rFonts w:ascii="Arial" w:cs="Arial" w:eastAsia="Arial" w:hAnsi="Arial"/>
          <w:sz w:val="10"/>
          <w:szCs w:val="10"/>
          <w:b w:val="1"/>
          <w:bCs w:val="1"/>
          <w:color w:val="auto"/>
        </w:rPr>
        <w:t>LAN</w:t>
      </w:r>
      <w:r>
        <w:rPr>
          <w:rFonts w:ascii="Arial" w:cs="Arial" w:eastAsia="Arial" w:hAnsi="Arial"/>
          <w:sz w:val="16"/>
          <w:szCs w:val="16"/>
          <w:b w:val="1"/>
          <w:bCs w:val="1"/>
          <w:color w:val="auto"/>
        </w:rPr>
        <w:t xml:space="preserve"> I</w:t>
      </w:r>
      <w:r>
        <w:rPr>
          <w:rFonts w:ascii="Arial" w:cs="Arial" w:eastAsia="Arial" w:hAnsi="Arial"/>
          <w:sz w:val="10"/>
          <w:szCs w:val="10"/>
          <w:b w:val="1"/>
          <w:bCs w:val="1"/>
          <w:color w:val="auto"/>
        </w:rPr>
        <w:t>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-116205</wp:posOffset>
            </wp:positionV>
            <wp:extent cx="4877435" cy="29235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4877435" cy="2923540"/>
                    </a:xfrm>
                    <a:prstGeom prst="rect">
                      <a:avLst/>
                    </a:prstGeom>
                    <a:noFill/>
                  </pic:spPr>
                </pic:pic>
              </a:graphicData>
            </a:graphic>
          </wp:anchor>
        </w:drawing>
      </w:r>
    </w:p>
    <w:p>
      <w:pPr>
        <w:spacing w:after="0" w:line="6" w:lineRule="exact"/>
        <w:rPr>
          <w:sz w:val="20"/>
          <w:szCs w:val="20"/>
          <w:color w:val="auto"/>
        </w:rPr>
      </w:pPr>
    </w:p>
    <w:tbl>
      <w:tblPr>
        <w:tblLayout w:type="fixed"/>
        <w:tblInd w:w="1800" w:type="dxa"/>
        <w:tblCellMar>
          <w:top w:w="0" w:type="dxa"/>
          <w:left w:w="0" w:type="dxa"/>
          <w:bottom w:w="0" w:type="dxa"/>
          <w:right w:w="0" w:type="dxa"/>
        </w:tblCellMar>
      </w:tblPr>
      <w:tr>
        <w:trPr>
          <w:trHeight w:val="391"/>
        </w:trPr>
        <w:tc>
          <w:tcPr>
            <w:tcW w:w="1840" w:type="dxa"/>
            <w:vAlign w:val="bottom"/>
            <w:tcBorders>
              <w:top w:val="single" w:sz="8" w:color="auto"/>
              <w:right w:val="single" w:sz="8" w:color="auto"/>
            </w:tcBorders>
          </w:tcPr>
          <w:p>
            <w:pPr>
              <w:spacing w:after="0"/>
              <w:rPr>
                <w:sz w:val="24"/>
                <w:szCs w:val="24"/>
                <w:color w:val="auto"/>
              </w:rPr>
            </w:pPr>
          </w:p>
        </w:tc>
        <w:tc>
          <w:tcPr>
            <w:tcW w:w="174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1940" w:type="dxa"/>
            <w:vAlign w:val="bottom"/>
            <w:tcBorders>
              <w:top w:val="single" w:sz="8" w:color="auto"/>
              <w:right w:val="single" w:sz="8" w:color="auto"/>
            </w:tcBorders>
          </w:tcPr>
          <w:p>
            <w:pPr>
              <w:spacing w:after="0"/>
              <w:rPr>
                <w:sz w:val="24"/>
                <w:szCs w:val="24"/>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0" w:type="dxa"/>
            <w:vAlign w:val="bottom"/>
          </w:tcPr>
          <w:p>
            <w:pPr>
              <w:spacing w:after="0"/>
              <w:rPr>
                <w:sz w:val="1"/>
                <w:szCs w:val="1"/>
                <w:color w:val="auto"/>
              </w:rPr>
            </w:pPr>
          </w:p>
        </w:tc>
      </w:tr>
      <w:tr>
        <w:trPr>
          <w:trHeight w:val="203"/>
        </w:trPr>
        <w:tc>
          <w:tcPr>
            <w:tcW w:w="184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to be issued upon</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Weighted-average</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0"/>
              </w:rPr>
              <w:t>available for future issuance</w:t>
            </w:r>
          </w:p>
        </w:tc>
        <w:tc>
          <w:tcPr>
            <w:tcW w:w="0" w:type="dxa"/>
            <w:vAlign w:val="bottom"/>
          </w:tcPr>
          <w:p>
            <w:pPr>
              <w:spacing w:after="0"/>
              <w:rPr>
                <w:sz w:val="1"/>
                <w:szCs w:val="1"/>
                <w:color w:val="auto"/>
              </w:rPr>
            </w:pPr>
          </w:p>
        </w:tc>
      </w:tr>
      <w:tr>
        <w:trPr>
          <w:trHeight w:val="203"/>
        </w:trPr>
        <w:tc>
          <w:tcPr>
            <w:tcW w:w="18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Borders>
              <w:right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86"/>
              </w:rPr>
              <w:t>exercise of</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exercise price of</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89"/>
              </w:rPr>
              <w:t>under equity compensation</w:t>
            </w:r>
          </w:p>
        </w:tc>
        <w:tc>
          <w:tcPr>
            <w:tcW w:w="0" w:type="dxa"/>
            <w:vAlign w:val="bottom"/>
          </w:tcPr>
          <w:p>
            <w:pPr>
              <w:spacing w:after="0"/>
              <w:rPr>
                <w:sz w:val="1"/>
                <w:szCs w:val="1"/>
                <w:color w:val="auto"/>
              </w:rPr>
            </w:pPr>
          </w:p>
        </w:tc>
      </w:tr>
      <w:tr>
        <w:trPr>
          <w:trHeight w:val="203"/>
        </w:trPr>
        <w:tc>
          <w:tcPr>
            <w:tcW w:w="184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outstanding options,</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outstanding options,</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88"/>
              </w:rPr>
              <w:t>plans (excluding securities</w:t>
            </w:r>
          </w:p>
        </w:tc>
        <w:tc>
          <w:tcPr>
            <w:tcW w:w="0" w:type="dxa"/>
            <w:vAlign w:val="bottom"/>
          </w:tcPr>
          <w:p>
            <w:pPr>
              <w:spacing w:after="0"/>
              <w:rPr>
                <w:sz w:val="1"/>
                <w:szCs w:val="1"/>
                <w:color w:val="auto"/>
              </w:rPr>
            </w:pPr>
          </w:p>
        </w:tc>
      </w:tr>
      <w:tr>
        <w:trPr>
          <w:trHeight w:val="213"/>
        </w:trPr>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Plan category</w:t>
            </w:r>
          </w:p>
        </w:tc>
        <w:tc>
          <w:tcPr>
            <w:tcW w:w="17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warrants and rights</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warrants and rights</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reflected in column (a))</w:t>
            </w:r>
          </w:p>
        </w:tc>
        <w:tc>
          <w:tcPr>
            <w:tcW w:w="0" w:type="dxa"/>
            <w:vAlign w:val="bottom"/>
          </w:tcPr>
          <w:p>
            <w:pPr>
              <w:spacing w:after="0"/>
              <w:rPr>
                <w:sz w:val="1"/>
                <w:szCs w:val="1"/>
                <w:color w:val="auto"/>
              </w:rPr>
            </w:pPr>
          </w:p>
        </w:tc>
      </w:tr>
      <w:tr>
        <w:trPr>
          <w:trHeight w:val="207"/>
        </w:trPr>
        <w:tc>
          <w:tcPr>
            <w:tcW w:w="184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Borders>
              <w:right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(a)</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(b)</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c>
          <w:tcPr>
            <w:tcW w:w="0" w:type="dxa"/>
            <w:vAlign w:val="bottom"/>
          </w:tcPr>
          <w:p>
            <w:pPr>
              <w:spacing w:after="0"/>
              <w:rPr>
                <w:sz w:val="1"/>
                <w:szCs w:val="1"/>
                <w:color w:val="auto"/>
              </w:rPr>
            </w:pPr>
          </w:p>
        </w:tc>
      </w:tr>
      <w:tr>
        <w:trPr>
          <w:trHeight w:val="195"/>
        </w:trPr>
        <w:tc>
          <w:tcPr>
            <w:tcW w:w="184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Equity compensation plans</w:t>
            </w:r>
          </w:p>
        </w:tc>
        <w:tc>
          <w:tcPr>
            <w:tcW w:w="32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160" w:type="dxa"/>
            <w:vAlign w:val="bottom"/>
            <w:vMerge w:val="restart"/>
          </w:tcPr>
          <w:p>
            <w:pPr>
              <w:jc w:val="center"/>
              <w:spacing w:after="0"/>
              <w:rPr>
                <w:sz w:val="20"/>
                <w:szCs w:val="20"/>
                <w:color w:val="auto"/>
              </w:rPr>
            </w:pPr>
            <w:r>
              <w:rPr>
                <w:rFonts w:ascii="Arial" w:cs="Arial" w:eastAsia="Arial" w:hAnsi="Arial"/>
                <w:sz w:val="16"/>
                <w:szCs w:val="16"/>
                <w:color w:val="auto"/>
                <w:w w:val="88"/>
              </w:rPr>
              <w:t>4,957,337</w:t>
            </w:r>
            <w:r>
              <w:rPr>
                <w:rFonts w:ascii="Arial" w:cs="Arial" w:eastAsia="Arial" w:hAnsi="Arial"/>
                <w:sz w:val="27"/>
                <w:szCs w:val="27"/>
                <w:color w:val="auto"/>
                <w:w w:val="88"/>
                <w:vertAlign w:val="superscript"/>
              </w:rPr>
              <w:t>1</w:t>
            </w:r>
          </w:p>
        </w:tc>
        <w:tc>
          <w:tcPr>
            <w:tcW w:w="0" w:type="dxa"/>
            <w:vAlign w:val="bottom"/>
          </w:tcPr>
          <w:p>
            <w:pPr>
              <w:spacing w:after="0"/>
              <w:rPr>
                <w:sz w:val="1"/>
                <w:szCs w:val="1"/>
                <w:color w:val="auto"/>
              </w:rPr>
            </w:pPr>
          </w:p>
        </w:tc>
      </w:tr>
      <w:tr>
        <w:trPr>
          <w:trHeight w:val="203"/>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approved by security</w:t>
            </w:r>
          </w:p>
        </w:tc>
        <w:tc>
          <w:tcPr>
            <w:tcW w:w="1740" w:type="dxa"/>
            <w:vAlign w:val="bottom"/>
            <w:tcBorders>
              <w:right w:val="single" w:sz="8" w:color="auto"/>
            </w:tcBorders>
            <w:gridSpan w:val="2"/>
            <w:vMerge w:val="restart"/>
          </w:tcPr>
          <w:p>
            <w:pPr>
              <w:jc w:val="center"/>
              <w:spacing w:after="0"/>
              <w:rPr>
                <w:sz w:val="20"/>
                <w:szCs w:val="20"/>
                <w:color w:val="auto"/>
              </w:rPr>
            </w:pPr>
            <w:r>
              <w:rPr>
                <w:rFonts w:ascii="Courier New" w:cs="Courier New" w:eastAsia="Courier New" w:hAnsi="Courier New"/>
                <w:sz w:val="16"/>
                <w:szCs w:val="16"/>
                <w:color w:val="auto"/>
              </w:rPr>
              <w:t>-</w:t>
            </w:r>
          </w:p>
        </w:tc>
        <w:tc>
          <w:tcPr>
            <w:tcW w:w="1940" w:type="dxa"/>
            <w:vAlign w:val="bottom"/>
            <w:tcBorders>
              <w:right w:val="single" w:sz="8" w:color="auto"/>
            </w:tcBorders>
            <w:vMerge w:val="restart"/>
          </w:tcPr>
          <w:p>
            <w:pPr>
              <w:jc w:val="center"/>
              <w:spacing w:after="0"/>
              <w:rPr>
                <w:sz w:val="20"/>
                <w:szCs w:val="20"/>
                <w:color w:val="auto"/>
              </w:rPr>
            </w:pPr>
            <w:r>
              <w:rPr>
                <w:rFonts w:ascii="Courier New" w:cs="Courier New" w:eastAsia="Courier New" w:hAnsi="Courier New"/>
                <w:sz w:val="16"/>
                <w:szCs w:val="16"/>
                <w:color w:val="auto"/>
              </w:rPr>
              <w:t>-</w:t>
            </w: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holders</w:t>
            </w:r>
          </w:p>
        </w:tc>
        <w:tc>
          <w:tcPr>
            <w:tcW w:w="1740" w:type="dxa"/>
            <w:vAlign w:val="bottom"/>
            <w:tcBorders>
              <w:right w:val="single" w:sz="8" w:color="auto"/>
            </w:tcBorders>
            <w:gridSpan w:val="2"/>
            <w:vMerge w:val="continue"/>
          </w:tcPr>
          <w:p>
            <w:pPr>
              <w:spacing w:after="0"/>
              <w:rPr>
                <w:sz w:val="8"/>
                <w:szCs w:val="8"/>
                <w:color w:val="auto"/>
              </w:rPr>
            </w:pPr>
          </w:p>
        </w:tc>
        <w:tc>
          <w:tcPr>
            <w:tcW w:w="1940" w:type="dxa"/>
            <w:vAlign w:val="bottom"/>
            <w:tcBorders>
              <w:right w:val="single" w:sz="8" w:color="auto"/>
            </w:tcBorders>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40" w:type="dxa"/>
            <w:vAlign w:val="bottom"/>
            <w:tcBorders>
              <w:right w:val="single" w:sz="8" w:color="auto"/>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8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Equity compensation plans</w:t>
            </w:r>
          </w:p>
        </w:tc>
        <w:tc>
          <w:tcPr>
            <w:tcW w:w="32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not approved by security</w:t>
            </w:r>
          </w:p>
        </w:tc>
        <w:tc>
          <w:tcPr>
            <w:tcW w:w="1740" w:type="dxa"/>
            <w:vAlign w:val="bottom"/>
            <w:tcBorders>
              <w:right w:val="single" w:sz="8" w:color="auto"/>
            </w:tcBorders>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940" w:type="dxa"/>
            <w:vAlign w:val="bottom"/>
            <w:tcBorders>
              <w:right w:val="single" w:sz="8" w:color="auto"/>
            </w:tcBorders>
          </w:tcPr>
          <w:p>
            <w:pPr>
              <w:jc w:val="center"/>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06"/>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holders</w:t>
            </w:r>
          </w:p>
        </w:tc>
        <w:tc>
          <w:tcPr>
            <w:tcW w:w="3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Total</w:t>
            </w:r>
          </w:p>
        </w:tc>
        <w:tc>
          <w:tcPr>
            <w:tcW w:w="1740" w:type="dxa"/>
            <w:vAlign w:val="bottom"/>
            <w:tcBorders>
              <w:right w:val="single" w:sz="8" w:color="auto"/>
            </w:tcBorders>
            <w:gridSpan w:val="2"/>
            <w:vMerge w:val="restart"/>
          </w:tcPr>
          <w:p>
            <w:pPr>
              <w:jc w:val="center"/>
              <w:spacing w:after="0"/>
              <w:rPr>
                <w:sz w:val="20"/>
                <w:szCs w:val="20"/>
                <w:color w:val="auto"/>
              </w:rPr>
            </w:pPr>
            <w:r>
              <w:rPr>
                <w:rFonts w:ascii="Courier New" w:cs="Courier New" w:eastAsia="Courier New" w:hAnsi="Courier New"/>
                <w:sz w:val="16"/>
                <w:szCs w:val="16"/>
                <w:color w:val="auto"/>
              </w:rPr>
              <w:t>-</w:t>
            </w:r>
          </w:p>
        </w:tc>
        <w:tc>
          <w:tcPr>
            <w:tcW w:w="1940" w:type="dxa"/>
            <w:vAlign w:val="bottom"/>
            <w:tcBorders>
              <w:right w:val="single" w:sz="8" w:color="auto"/>
            </w:tcBorders>
            <w:vMerge w:val="restart"/>
          </w:tcPr>
          <w:p>
            <w:pPr>
              <w:jc w:val="center"/>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jc w:val="center"/>
              <w:spacing w:after="0"/>
              <w:rPr>
                <w:sz w:val="20"/>
                <w:szCs w:val="20"/>
                <w:color w:val="auto"/>
              </w:rPr>
            </w:pPr>
            <w:r>
              <w:rPr>
                <w:rFonts w:ascii="Arial" w:cs="Arial" w:eastAsia="Arial" w:hAnsi="Arial"/>
                <w:sz w:val="16"/>
                <w:szCs w:val="16"/>
                <w:color w:val="auto"/>
                <w:w w:val="89"/>
              </w:rPr>
              <w:t>4,957,337</w:t>
            </w:r>
          </w:p>
        </w:tc>
        <w:tc>
          <w:tcPr>
            <w:tcW w:w="0" w:type="dxa"/>
            <w:vAlign w:val="bottom"/>
          </w:tcPr>
          <w:p>
            <w:pPr>
              <w:spacing w:after="0"/>
              <w:rPr>
                <w:sz w:val="1"/>
                <w:szCs w:val="1"/>
                <w:color w:val="auto"/>
              </w:rPr>
            </w:pPr>
          </w:p>
        </w:tc>
      </w:tr>
      <w:tr>
        <w:trPr>
          <w:trHeight w:val="85"/>
        </w:trPr>
        <w:tc>
          <w:tcPr>
            <w:tcW w:w="1840" w:type="dxa"/>
            <w:vAlign w:val="bottom"/>
            <w:tcBorders>
              <w:right w:val="single" w:sz="8" w:color="auto"/>
            </w:tcBorders>
            <w:vMerge w:val="continue"/>
          </w:tcPr>
          <w:p>
            <w:pPr>
              <w:spacing w:after="0"/>
              <w:rPr>
                <w:sz w:val="7"/>
                <w:szCs w:val="7"/>
                <w:color w:val="auto"/>
              </w:rPr>
            </w:pPr>
          </w:p>
        </w:tc>
        <w:tc>
          <w:tcPr>
            <w:tcW w:w="1740" w:type="dxa"/>
            <w:vAlign w:val="bottom"/>
            <w:tcBorders>
              <w:right w:val="single" w:sz="8" w:color="auto"/>
            </w:tcBorders>
            <w:gridSpan w:val="2"/>
            <w:vMerge w:val="continue"/>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840" w:type="dxa"/>
            <w:vAlign w:val="bottom"/>
            <w:tcBorders>
              <w:bottom w:val="single" w:sz="8" w:color="auto"/>
              <w:right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3"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br w:type="column"/>
      </w:r>
    </w:p>
    <w:p>
      <w:pPr>
        <w:ind w:right="2060"/>
        <w:spacing w:after="0" w:line="293" w:lineRule="auto"/>
        <w:rPr>
          <w:sz w:val="20"/>
          <w:szCs w:val="20"/>
          <w:color w:val="auto"/>
        </w:rPr>
      </w:pPr>
      <w:r>
        <w:rPr>
          <w:rFonts w:ascii="Arial" w:cs="Arial" w:eastAsia="Arial" w:hAnsi="Arial"/>
          <w:sz w:val="16"/>
          <w:szCs w:val="16"/>
          <w:color w:val="auto"/>
        </w:rPr>
        <w:t>Amount includes 3,137,412 shares available for issuance under the Uniti Group Inc. 2015 Equity Incentive Plan and 1,819,925 shares under the Uniti Group Inc. Employee Stock Purchase Plan.</w:t>
      </w:r>
    </w:p>
    <w:p>
      <w:pPr>
        <w:spacing w:after="0" w:line="200" w:lineRule="exact"/>
        <w:rPr>
          <w:sz w:val="20"/>
          <w:szCs w:val="20"/>
          <w:color w:val="auto"/>
        </w:rPr>
      </w:pPr>
    </w:p>
    <w:p>
      <w:pPr>
        <w:sectPr>
          <w:pgSz w:w="11900" w:h="16838" w:orient="portrait"/>
          <w:cols w:equalWidth="0" w:num="2">
            <w:col w:w="1880" w:space="360"/>
            <w:col w:w="8980"/>
          </w:cols>
          <w:pgMar w:left="320" w:top="125" w:right="359" w:bottom="1440" w:gutter="0" w:footer="0" w:header="0"/>
          <w:type w:val="continuous"/>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definitive proxy statement to be filed within 120 days after December 31, 2020, pursuant to Regulation 14A under the Exchange Act in connection with our 2021 annual meeting of stockholders.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definitive proxy statement to be filed within 120 days after December 31, 2020, pursuant to Regulation 14A under the Exchange Act in connection with our 2021 annual meeting of stockholders.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Index to Consolidated Financial Statements in “Financial Statements and Supplementary Data.”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12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Uniti Group Inc. Schedule I – Condensed Financial Information of the Registrant (Parent Company) Condensed Balance Sheets as of December 31, 2020 and 2019, and the related Condensed Statements of Comprehensive Income and Cash Flows for each of the three years in the period ended December 31, 2020, including the related notes, appearing on pages S-1, S-2, S-3, and S-4 of this report.</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Uniti Group Inc. Schedule II – Valuation and Qualifying Accounts for each of the three years in the period ended December 31, 2020 appearing on page S-5 of this report.</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Uniti Group Inc. Schedule III – Schedule of Real Estate Investments and Accumulated Depreciation as of December 31, 2020 appearing on page S-6 of this report.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Index to Exhibits</w:t>
            </w:r>
          </w:p>
        </w:tc>
        <w:tc>
          <w:tcPr>
            <w:tcW w:w="3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 No.</w:t>
            </w:r>
          </w:p>
        </w:tc>
        <w:tc>
          <w:tcPr>
            <w:tcW w:w="3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0" w:type="dxa"/>
            <w:vAlign w:val="bottom"/>
            <w:gridSpan w:val="16"/>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2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2.1</w:t>
            </w:r>
          </w:p>
        </w:tc>
        <w:tc>
          <w:tcPr>
            <w:tcW w:w="360" w:type="dxa"/>
            <w:vAlign w:val="bottom"/>
          </w:tcPr>
          <w:p>
            <w:pPr>
              <w:spacing w:after="0"/>
              <w:rPr>
                <w:sz w:val="16"/>
                <w:szCs w:val="16"/>
                <w:color w:val="auto"/>
              </w:rPr>
            </w:pPr>
          </w:p>
        </w:tc>
        <w:tc>
          <w:tcPr>
            <w:tcW w:w="9660" w:type="dxa"/>
            <w:vAlign w:val="bottom"/>
            <w:tcBorders>
              <w:top w:val="single" w:sz="8" w:color="auto"/>
              <w:bottom w:val="single" w:sz="8" w:color="0000EE"/>
            </w:tcBorders>
            <w:gridSpan w:val="19"/>
          </w:tcPr>
          <w:p>
            <w:pPr>
              <w:spacing w:after="0" w:line="189"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Separation and Distribution Agreement, dated as of March 26, 2015, by and among Windstream Holdings, Inc., Windstream Services,</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LLC and Communications Sales &amp; Leasing, Inc. (incorporated by reference to Exhibit 2.1 to the Company’s Current Report on Form</w:t>
              </w:r>
            </w:hyperlink>
          </w:p>
        </w:tc>
        <w:tc>
          <w:tcPr>
            <w:tcW w:w="6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8-K dated and filed with the SEC as of March 26, 2015 (File No. 001-36708))</w:t>
              </w:r>
            </w:hyperlink>
          </w:p>
        </w:tc>
        <w:tc>
          <w:tcPr>
            <w:tcW w:w="4040" w:type="dxa"/>
            <w:vAlign w:val="bottom"/>
            <w:gridSpan w:val="14"/>
          </w:tcPr>
          <w:p>
            <w:pPr>
              <w:spacing w:after="0"/>
              <w:rPr>
                <w:sz w:val="17"/>
                <w:szCs w:val="17"/>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9"/>
                <w:szCs w:val="19"/>
                <w:color w:val="auto"/>
              </w:rPr>
            </w:pPr>
          </w:p>
        </w:tc>
        <w:tc>
          <w:tcPr>
            <w:tcW w:w="9520" w:type="dxa"/>
            <w:vAlign w:val="bottom"/>
            <w:tcBorders>
              <w:bottom w:val="single" w:sz="8" w:color="0000EE"/>
            </w:tcBorders>
            <w:gridSpan w:val="13"/>
          </w:tcPr>
          <w:p>
            <w:pPr>
              <w:spacing w:after="0"/>
              <w:rPr>
                <w:rFonts w:ascii="Arial" w:cs="Arial" w:eastAsia="Arial" w:hAnsi="Arial"/>
                <w:sz w:val="18"/>
                <w:szCs w:val="18"/>
                <w:color w:val="0000EE"/>
                <w:w w:val="90"/>
              </w:rPr>
            </w:pPr>
            <w:hyperlink r:id="rId170">
              <w:r>
                <w:rPr>
                  <w:rFonts w:ascii="Arial" w:cs="Arial" w:eastAsia="Arial" w:hAnsi="Arial"/>
                  <w:sz w:val="18"/>
                  <w:szCs w:val="18"/>
                  <w:color w:val="0000EE"/>
                  <w:w w:val="90"/>
                </w:rPr>
                <w:t>Agreement and Plan of Merger, dated as of January 7, 2016, by and among Communications Sales &amp; Leasing, Inc., CSL Bandwidth</w:t>
              </w:r>
            </w:hyperlink>
          </w:p>
        </w:tc>
        <w:tc>
          <w:tcPr>
            <w:tcW w:w="140" w:type="dxa"/>
            <w:vAlign w:val="bottom"/>
            <w:gridSpan w:val="6"/>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70">
              <w:r>
                <w:rPr>
                  <w:rFonts w:ascii="Arial" w:cs="Arial" w:eastAsia="Arial" w:hAnsi="Arial"/>
                  <w:sz w:val="18"/>
                  <w:szCs w:val="18"/>
                  <w:color w:val="0000EE"/>
                  <w:w w:val="92"/>
                </w:rPr>
                <w:t>Inc., Penn Merger Sub, LLC, PEG Bandwidth, LLC, PEG Bandwidth Holdings, LLC, and PEG Bandwidth Holdings, LLC, as</w:t>
              </w:r>
            </w:hyperlink>
          </w:p>
        </w:tc>
        <w:tc>
          <w:tcPr>
            <w:tcW w:w="560" w:type="dxa"/>
            <w:vAlign w:val="bottom"/>
            <w:gridSpan w:val="11"/>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Unitholders’ Representative (incorporated by reference to Exhibit 2.1 to the Company’s Current Report on Form 8-K dated and filed</w:t>
              </w:r>
            </w:hyperlink>
          </w:p>
        </w:tc>
        <w:tc>
          <w:tcPr>
            <w:tcW w:w="100" w:type="dxa"/>
            <w:vAlign w:val="bottom"/>
            <w:gridSpan w:val="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19"/>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with the SEC as of January 12, 2016 (File No. 001-36708))</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9"/>
                <w:szCs w:val="19"/>
                <w:color w:val="auto"/>
              </w:rPr>
            </w:pPr>
          </w:p>
        </w:tc>
        <w:tc>
          <w:tcPr>
            <w:tcW w:w="9660" w:type="dxa"/>
            <w:vAlign w:val="bottom"/>
            <w:gridSpan w:val="19"/>
          </w:tcPr>
          <w:p>
            <w:pPr>
              <w:spacing w:after="0"/>
              <w:rPr>
                <w:rFonts w:ascii="Arial" w:cs="Arial" w:eastAsia="Arial" w:hAnsi="Arial"/>
                <w:sz w:val="18"/>
                <w:szCs w:val="18"/>
                <w:color w:val="0000EE"/>
                <w:w w:val="97"/>
              </w:rPr>
            </w:pPr>
            <w:hyperlink r:id="rId171">
              <w:r>
                <w:rPr>
                  <w:rFonts w:ascii="Arial" w:cs="Arial" w:eastAsia="Arial" w:hAnsi="Arial"/>
                  <w:sz w:val="18"/>
                  <w:szCs w:val="18"/>
                  <w:color w:val="0000EE"/>
                  <w:w w:val="97"/>
                </w:rPr>
                <w:t>Agreement and Plan of Merger, dated as of June 20, 2016, by and among Communications Sales &amp; Leasing, Inc., CSL Fiber</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19"/>
          </w:tcPr>
          <w:p>
            <w:pPr>
              <w:spacing w:after="0" w:line="196" w:lineRule="exact"/>
              <w:rPr>
                <w:rFonts w:ascii="Arial" w:cs="Arial" w:eastAsia="Arial" w:hAnsi="Arial"/>
                <w:sz w:val="18"/>
                <w:szCs w:val="18"/>
                <w:color w:val="0000EE"/>
                <w:w w:val="94"/>
              </w:rPr>
            </w:pPr>
            <w:hyperlink r:id="rId171">
              <w:r>
                <w:rPr>
                  <w:rFonts w:ascii="Arial" w:cs="Arial" w:eastAsia="Arial" w:hAnsi="Arial"/>
                  <w:sz w:val="18"/>
                  <w:szCs w:val="18"/>
                  <w:color w:val="0000EE"/>
                  <w:w w:val="94"/>
                </w:rPr>
                <w:t>Holdings LLC, Thor Merger Sub, Inc., Tower Cloud, Inc. and Shareholder Representative Services LLC, as representative of the</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18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equityholders of Tower Cloud, Inc. (incorporated by reference to Exhibit 2.1 to the Company’s Quarterly Report on Form 10-Q dated</w:t>
              </w:r>
            </w:hyperlink>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19"/>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and filed with the SEC as of August 11, 2016 (File No. 001-36708))</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9"/>
                <w:szCs w:val="19"/>
                <w:color w:val="auto"/>
              </w:rPr>
            </w:pPr>
          </w:p>
        </w:tc>
        <w:tc>
          <w:tcPr>
            <w:tcW w:w="9660" w:type="dxa"/>
            <w:vAlign w:val="bottom"/>
            <w:gridSpan w:val="19"/>
          </w:tcPr>
          <w:p>
            <w:pPr>
              <w:spacing w:after="0"/>
              <w:rPr>
                <w:rFonts w:ascii="Arial" w:cs="Arial" w:eastAsia="Arial" w:hAnsi="Arial"/>
                <w:sz w:val="18"/>
                <w:szCs w:val="18"/>
                <w:color w:val="0000EE"/>
                <w:w w:val="94"/>
              </w:rPr>
            </w:pPr>
            <w:hyperlink r:id="rId172">
              <w:r>
                <w:rPr>
                  <w:rFonts w:ascii="Arial" w:cs="Arial" w:eastAsia="Arial" w:hAnsi="Arial"/>
                  <w:sz w:val="18"/>
                  <w:szCs w:val="18"/>
                  <w:color w:val="0000EE"/>
                  <w:w w:val="94"/>
                </w:rPr>
                <w:t>First Amendment, dated as of August 11, 2016, to the Agreement and Plan of Merger, dated as of June 20, 2016, by and among</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Communications Sales &amp; Leasing, Inc., CSL Fiber Holdings LLC, Thor Merger Sub, Inc., Tower Cloud, Inc. and Shareholder</w:t>
              </w:r>
            </w:hyperlink>
          </w:p>
        </w:tc>
        <w:tc>
          <w:tcPr>
            <w:tcW w:w="80" w:type="dxa"/>
            <w:vAlign w:val="bottom"/>
            <w:tcBorders>
              <w:top w:val="single" w:sz="8" w:color="0000EE"/>
            </w:tcBorders>
            <w:gridSpan w:val="2"/>
          </w:tcPr>
          <w:p>
            <w:pPr>
              <w:spacing w:after="0"/>
              <w:rPr>
                <w:sz w:val="17"/>
                <w:szCs w:val="17"/>
                <w:color w:val="auto"/>
              </w:rPr>
            </w:pPr>
          </w:p>
        </w:tc>
        <w:tc>
          <w:tcPr>
            <w:tcW w:w="500" w:type="dxa"/>
            <w:vAlign w:val="bottom"/>
            <w:gridSpan w:val="10"/>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Representative Services LLC, as representative of the equityholders of Tower Cloud, Inc. (incorporated by reference to Exhibit 2.2 to</w:t>
              </w:r>
            </w:hyperlink>
          </w:p>
        </w:tc>
        <w:tc>
          <w:tcPr>
            <w:tcW w:w="40" w:type="dxa"/>
            <w:vAlign w:val="bottom"/>
            <w:gridSpan w:val="2"/>
          </w:tcPr>
          <w:p>
            <w:pPr>
              <w:spacing w:after="0"/>
              <w:rPr>
                <w:sz w:val="17"/>
                <w:szCs w:val="17"/>
                <w:color w:val="auto"/>
              </w:rPr>
            </w:pPr>
          </w:p>
        </w:tc>
      </w:tr>
      <w:tr>
        <w:trPr>
          <w:trHeight w:val="237"/>
        </w:trPr>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60" w:type="dxa"/>
            <w:vAlign w:val="bottom"/>
            <w:gridSpan w:val="19"/>
          </w:tcPr>
          <w:p>
            <w:pPr>
              <w:spacing w:after="0"/>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the Company’s Quarterly Report on Form 10-Q dated and filed with the SEC as of August 11, 2016 (File No. 001-36708))</w:t>
              </w:r>
            </w:hyperlink>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4"/>
                <w:szCs w:val="24"/>
                <w:color w:val="auto"/>
              </w:rPr>
            </w:pPr>
          </w:p>
        </w:tc>
        <w:tc>
          <w:tcPr>
            <w:tcW w:w="9660" w:type="dxa"/>
            <w:vAlign w:val="bottom"/>
            <w:gridSpan w:val="19"/>
          </w:tcPr>
          <w:p>
            <w:pPr>
              <w:spacing w:after="0"/>
              <w:rPr>
                <w:rFonts w:ascii="Arial" w:cs="Arial" w:eastAsia="Arial" w:hAnsi="Arial"/>
                <w:sz w:val="18"/>
                <w:szCs w:val="18"/>
                <w:color w:val="0000EE"/>
                <w:w w:val="92"/>
              </w:rPr>
            </w:pPr>
            <w:hyperlink r:id="rId173">
              <w:r>
                <w:rPr>
                  <w:rFonts w:ascii="Arial" w:cs="Arial" w:eastAsia="Arial" w:hAnsi="Arial"/>
                  <w:sz w:val="18"/>
                  <w:szCs w:val="18"/>
                  <w:color w:val="0000EE"/>
                  <w:w w:val="92"/>
                </w:rPr>
                <w:t>Membership Interests Purchase Agreement, dated as of April 7, 2017, by and among Uniti Group Inc., Uniti Fiber Holdings Inc. and</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20" w:type="dxa"/>
            <w:vAlign w:val="bottom"/>
            <w:gridSpan w:val="9"/>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19"/>
          </w:tcPr>
          <w:p>
            <w:pPr>
              <w:spacing w:after="0" w:line="196" w:lineRule="exact"/>
              <w:rPr>
                <w:rFonts w:ascii="Arial" w:cs="Arial" w:eastAsia="Arial" w:hAnsi="Arial"/>
                <w:sz w:val="18"/>
                <w:szCs w:val="18"/>
                <w:color w:val="0000EE"/>
                <w:w w:val="92"/>
              </w:rPr>
            </w:pPr>
            <w:hyperlink r:id="rId173">
              <w:r>
                <w:rPr>
                  <w:rFonts w:ascii="Arial" w:cs="Arial" w:eastAsia="Arial" w:hAnsi="Arial"/>
                  <w:sz w:val="18"/>
                  <w:szCs w:val="18"/>
                  <w:color w:val="0000EE"/>
                  <w:w w:val="92"/>
                </w:rPr>
                <w:t>SLF Holdings, LLC (incorporated by reference to Exhibit 2.1 to the Company’s Current Report on Form 8-K dated and filed with the</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r:id="rId173">
              <w:r>
                <w:rPr>
                  <w:rFonts w:ascii="Arial" w:cs="Arial" w:eastAsia="Arial" w:hAnsi="Arial"/>
                  <w:sz w:val="18"/>
                  <w:szCs w:val="18"/>
                  <w:color w:val="0000EE"/>
                  <w:w w:val="92"/>
                </w:rPr>
                <w:t>SEC as of April 11, 2017 (File No. 001-36708))</w:t>
              </w:r>
            </w:hyperlink>
          </w:p>
        </w:tc>
        <w:tc>
          <w:tcPr>
            <w:tcW w:w="6140" w:type="dxa"/>
            <w:vAlign w:val="bottom"/>
            <w:tcBorders>
              <w:top w:val="single" w:sz="8" w:color="0000EE"/>
            </w:tcBorders>
            <w:gridSpan w:val="15"/>
          </w:tcPr>
          <w:p>
            <w:pPr>
              <w:spacing w:after="0"/>
              <w:rPr>
                <w:sz w:val="17"/>
                <w:szCs w:val="17"/>
                <w:color w:val="auto"/>
              </w:rPr>
            </w:pPr>
          </w:p>
        </w:tc>
        <w:tc>
          <w:tcPr>
            <w:tcW w:w="60" w:type="dxa"/>
            <w:vAlign w:val="bottom"/>
            <w:gridSpan w:val="3"/>
          </w:tcPr>
          <w:p>
            <w:pPr>
              <w:spacing w:after="0"/>
              <w:rPr>
                <w:sz w:val="17"/>
                <w:szCs w:val="17"/>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9"/>
                <w:szCs w:val="19"/>
                <w:color w:val="auto"/>
              </w:rPr>
            </w:pPr>
          </w:p>
        </w:tc>
        <w:tc>
          <w:tcPr>
            <w:tcW w:w="9660" w:type="dxa"/>
            <w:vAlign w:val="bottom"/>
            <w:gridSpan w:val="19"/>
          </w:tcPr>
          <w:p>
            <w:pPr>
              <w:spacing w:after="0"/>
              <w:rPr>
                <w:rFonts w:ascii="Arial" w:cs="Arial" w:eastAsia="Arial" w:hAnsi="Arial"/>
                <w:sz w:val="18"/>
                <w:szCs w:val="18"/>
                <w:color w:val="0000EE"/>
                <w:w w:val="93"/>
              </w:rPr>
            </w:pPr>
            <w:hyperlink r:id="rId174">
              <w:r>
                <w:rPr>
                  <w:rFonts w:ascii="Arial" w:cs="Arial" w:eastAsia="Arial" w:hAnsi="Arial"/>
                  <w:sz w:val="18"/>
                  <w:szCs w:val="18"/>
                  <w:color w:val="0000EE"/>
                  <w:w w:val="93"/>
                </w:rPr>
                <w:t>Amended and Restated Agreement of Limited Partnership of Uniti Group LP, dated July 3, 2017, by and between Uniti Group Inc.</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0" w:type="dxa"/>
            <w:vAlign w:val="bottom"/>
            <w:tcBorders>
              <w:top w:val="single" w:sz="8" w:color="0000EE"/>
            </w:tcBorders>
            <w:gridSpan w:val="12"/>
          </w:tcPr>
          <w:p>
            <w:pPr>
              <w:spacing w:after="0" w:line="196" w:lineRule="exact"/>
              <w:rPr>
                <w:rFonts w:ascii="Arial" w:cs="Arial" w:eastAsia="Arial" w:hAnsi="Arial"/>
                <w:sz w:val="18"/>
                <w:szCs w:val="18"/>
                <w:color w:val="0000EE"/>
                <w:w w:val="92"/>
              </w:rPr>
            </w:pPr>
            <w:hyperlink r:id="rId174">
              <w:r>
                <w:rPr>
                  <w:rFonts w:ascii="Arial" w:cs="Arial" w:eastAsia="Arial" w:hAnsi="Arial"/>
                  <w:sz w:val="18"/>
                  <w:szCs w:val="18"/>
                  <w:color w:val="0000EE"/>
                  <w:w w:val="92"/>
                </w:rPr>
                <w:t>and Uniti Group LP LLC (incorporated by reference to Exhibit 2.1 to the Company’s Current Report on Form 8-K dated and filed</w:t>
              </w:r>
            </w:hyperlink>
          </w:p>
        </w:tc>
        <w:tc>
          <w:tcPr>
            <w:tcW w:w="26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with the SEC as of July 3, 2017 (File No. 001-36708))</w:t>
              </w:r>
            </w:hyperlink>
          </w:p>
        </w:tc>
        <w:tc>
          <w:tcPr>
            <w:tcW w:w="5420" w:type="dxa"/>
            <w:vAlign w:val="bottom"/>
            <w:tcBorders>
              <w:top w:val="single" w:sz="8" w:color="0000EE"/>
            </w:tcBorders>
            <w:gridSpan w:val="9"/>
          </w:tcPr>
          <w:p>
            <w:pPr>
              <w:spacing w:after="0"/>
              <w:rPr>
                <w:sz w:val="17"/>
                <w:szCs w:val="17"/>
                <w:color w:val="auto"/>
              </w:rPr>
            </w:pPr>
          </w:p>
        </w:tc>
        <w:tc>
          <w:tcPr>
            <w:tcW w:w="320" w:type="dxa"/>
            <w:vAlign w:val="bottom"/>
            <w:gridSpan w:val="8"/>
          </w:tcPr>
          <w:p>
            <w:pPr>
              <w:spacing w:after="0"/>
              <w:rPr>
                <w:sz w:val="17"/>
                <w:szCs w:val="17"/>
                <w:color w:val="auto"/>
              </w:rPr>
            </w:pPr>
          </w:p>
        </w:tc>
      </w:tr>
      <w:tr>
        <w:trPr>
          <w:trHeight w:val="466"/>
        </w:trPr>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60" w:type="dxa"/>
            <w:vAlign w:val="bottom"/>
            <w:gridSpan w:val="3"/>
          </w:tcPr>
          <w:p>
            <w:pPr>
              <w:ind w:left="3880"/>
              <w:spacing w:after="0"/>
              <w:rPr>
                <w:sz w:val="20"/>
                <w:szCs w:val="20"/>
                <w:color w:val="auto"/>
              </w:rPr>
            </w:pPr>
            <w:r>
              <w:rPr>
                <w:rFonts w:ascii="Arial" w:cs="Arial" w:eastAsia="Arial" w:hAnsi="Arial"/>
                <w:sz w:val="18"/>
                <w:szCs w:val="18"/>
                <w:color w:val="auto"/>
              </w:rPr>
              <w:t>128</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0"/>
        </w:trPr>
        <w:tc>
          <w:tcPr>
            <w:tcW w:w="1600" w:type="dxa"/>
            <w:vAlign w:val="bottom"/>
            <w:gridSpan w:val="2"/>
          </w:tcPr>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tc>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4"/>
        </w:trPr>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 No.</w:t>
            </w:r>
          </w:p>
        </w:tc>
        <w:tc>
          <w:tcPr>
            <w:tcW w:w="2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940" w:type="dxa"/>
            <w:vAlign w:val="bottom"/>
            <w:gridSpan w:val="24"/>
          </w:tcPr>
          <w:p>
            <w:pPr>
              <w:ind w:left="66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2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3.1</w:t>
            </w:r>
          </w:p>
        </w:tc>
        <w:tc>
          <w:tcPr>
            <w:tcW w:w="360" w:type="dxa"/>
            <w:vAlign w:val="bottom"/>
          </w:tcPr>
          <w:p>
            <w:pPr>
              <w:spacing w:after="0"/>
              <w:rPr>
                <w:sz w:val="16"/>
                <w:szCs w:val="16"/>
                <w:color w:val="auto"/>
              </w:rPr>
            </w:pPr>
          </w:p>
        </w:tc>
        <w:tc>
          <w:tcPr>
            <w:tcW w:w="9660" w:type="dxa"/>
            <w:vAlign w:val="bottom"/>
            <w:tcBorders>
              <w:top w:val="single" w:sz="8" w:color="auto"/>
            </w:tcBorders>
            <w:gridSpan w:val="27"/>
          </w:tcPr>
          <w:p>
            <w:pPr>
              <w:spacing w:after="0" w:line="189" w:lineRule="exact"/>
              <w:rPr>
                <w:rFonts w:ascii="Arial" w:cs="Arial" w:eastAsia="Arial" w:hAnsi="Arial"/>
                <w:sz w:val="18"/>
                <w:szCs w:val="18"/>
                <w:color w:val="0000EE"/>
                <w:w w:val="93"/>
              </w:rPr>
            </w:pPr>
            <w:hyperlink r:id="rId177">
              <w:r>
                <w:rPr>
                  <w:rFonts w:ascii="Arial" w:cs="Arial" w:eastAsia="Arial" w:hAnsi="Arial"/>
                  <w:sz w:val="18"/>
                  <w:szCs w:val="18"/>
                  <w:color w:val="0000EE"/>
                  <w:w w:val="93"/>
                </w:rPr>
                <w:t>Articles of Amendment and Restatement of Communications Sales &amp; Leasing, Inc. (incorporated by reference to Exhibit 3.1 to the</w:t>
              </w:r>
            </w:hyperlink>
          </w:p>
        </w:tc>
      </w:tr>
      <w:tr>
        <w:trPr>
          <w:trHeight w:val="236"/>
        </w:trPr>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20" w:type="dxa"/>
            <w:vAlign w:val="bottom"/>
            <w:tcBorders>
              <w:top w:val="single" w:sz="8" w:color="0000EE"/>
            </w:tcBorders>
            <w:gridSpan w:val="20"/>
          </w:tcPr>
          <w:p>
            <w:pPr>
              <w:spacing w:after="0"/>
              <w:rPr>
                <w:rFonts w:ascii="Arial" w:cs="Arial" w:eastAsia="Arial" w:hAnsi="Arial"/>
                <w:sz w:val="18"/>
                <w:szCs w:val="18"/>
                <w:u w:val="single" w:color="auto"/>
                <w:color w:val="0000EE"/>
              </w:rPr>
            </w:pPr>
            <w:hyperlink r:id="rId177">
              <w:r>
                <w:rPr>
                  <w:rFonts w:ascii="Arial" w:cs="Arial" w:eastAsia="Arial" w:hAnsi="Arial"/>
                  <w:sz w:val="18"/>
                  <w:szCs w:val="18"/>
                  <w:u w:val="single" w:color="auto"/>
                  <w:color w:val="0000EE"/>
                </w:rPr>
                <w:t>Company’s Current Report on Form 8-K dated and filed with the SEC as of April 10, 2015 (File No. 001-36708))</w:t>
              </w:r>
            </w:hyperlink>
          </w:p>
        </w:tc>
        <w:tc>
          <w:tcPr>
            <w:tcW w:w="240" w:type="dxa"/>
            <w:vAlign w:val="bottom"/>
            <w:gridSpan w:val="7"/>
          </w:tcPr>
          <w:p>
            <w:pPr>
              <w:spacing w:after="0"/>
              <w:rPr>
                <w:sz w:val="20"/>
                <w:szCs w:val="20"/>
                <w:color w:val="auto"/>
              </w:rPr>
            </w:pPr>
          </w:p>
        </w:tc>
      </w:tr>
      <w:tr>
        <w:trPr>
          <w:trHeight w:val="203"/>
        </w:trPr>
        <w:tc>
          <w:tcPr>
            <w:tcW w:w="1240" w:type="dxa"/>
            <w:vAlign w:val="bottom"/>
          </w:tcPr>
          <w:p>
            <w:pPr>
              <w:spacing w:after="0" w:line="202" w:lineRule="exact"/>
              <w:rPr>
                <w:sz w:val="20"/>
                <w:szCs w:val="20"/>
                <w:color w:val="auto"/>
              </w:rPr>
            </w:pPr>
            <w:r>
              <w:rPr>
                <w:rFonts w:ascii="Arial" w:cs="Arial" w:eastAsia="Arial" w:hAnsi="Arial"/>
                <w:sz w:val="18"/>
                <w:szCs w:val="18"/>
                <w:color w:val="auto"/>
              </w:rPr>
              <w:t>3.2</w:t>
            </w:r>
          </w:p>
        </w:tc>
        <w:tc>
          <w:tcPr>
            <w:tcW w:w="360" w:type="dxa"/>
            <w:vAlign w:val="bottom"/>
          </w:tcPr>
          <w:p>
            <w:pPr>
              <w:spacing w:after="0"/>
              <w:rPr>
                <w:sz w:val="17"/>
                <w:szCs w:val="17"/>
                <w:color w:val="auto"/>
              </w:rPr>
            </w:pPr>
          </w:p>
        </w:tc>
        <w:tc>
          <w:tcPr>
            <w:tcW w:w="9660" w:type="dxa"/>
            <w:vAlign w:val="bottom"/>
            <w:tcBorders>
              <w:bottom w:val="single" w:sz="8" w:color="0000EE"/>
            </w:tcBorders>
            <w:gridSpan w:val="27"/>
          </w:tcPr>
          <w:p>
            <w:pPr>
              <w:spacing w:after="0" w:line="202"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Articles of Amendment of Communications Sales &amp; Leasing, Inc. (incorporated by reference to Exhibit 3.1 to the Company’s Current</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Report on Form 8-K dated and filed with the SEC as of February 28, 2017 (File No. 001-36708))</w:t>
              </w:r>
            </w:hyperlink>
          </w:p>
        </w:tc>
        <w:tc>
          <w:tcPr>
            <w:tcW w:w="2660" w:type="dxa"/>
            <w:vAlign w:val="bottom"/>
            <w:gridSpan w:val="20"/>
          </w:tcPr>
          <w:p>
            <w:pPr>
              <w:spacing w:after="0"/>
              <w:rPr>
                <w:sz w:val="17"/>
                <w:szCs w:val="17"/>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9"/>
                <w:szCs w:val="19"/>
                <w:color w:val="auto"/>
              </w:rPr>
            </w:pPr>
          </w:p>
        </w:tc>
        <w:tc>
          <w:tcPr>
            <w:tcW w:w="9660" w:type="dxa"/>
            <w:vAlign w:val="bottom"/>
            <w:gridSpan w:val="27"/>
          </w:tcPr>
          <w:p>
            <w:pPr>
              <w:spacing w:after="0"/>
              <w:rPr>
                <w:rFonts w:ascii="Arial" w:cs="Arial" w:eastAsia="Arial" w:hAnsi="Arial"/>
                <w:sz w:val="18"/>
                <w:szCs w:val="18"/>
                <w:color w:val="0000EE"/>
                <w:w w:val="93"/>
              </w:rPr>
            </w:pPr>
            <w:hyperlink r:id="rId179">
              <w:r>
                <w:rPr>
                  <w:rFonts w:ascii="Arial" w:cs="Arial" w:eastAsia="Arial" w:hAnsi="Arial"/>
                  <w:sz w:val="18"/>
                  <w:szCs w:val="18"/>
                  <w:color w:val="0000EE"/>
                  <w:w w:val="93"/>
                </w:rPr>
                <w:t>Articles of Amendment of Uniti Group Inc. (incorporated by reference to Exhibit 3.1 to the Company’s Current Report on Form 8-K</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dated and filed with the SEC as of May 18, 2018 (File No. 001-36708))</w:t>
              </w:r>
            </w:hyperlink>
          </w:p>
        </w:tc>
        <w:tc>
          <w:tcPr>
            <w:tcW w:w="4380" w:type="dxa"/>
            <w:vAlign w:val="bottom"/>
            <w:tcBorders>
              <w:top w:val="single" w:sz="8" w:color="0000EE"/>
            </w:tcBorders>
            <w:gridSpan w:val="17"/>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9"/>
                <w:szCs w:val="19"/>
                <w:color w:val="auto"/>
              </w:rPr>
            </w:pPr>
          </w:p>
        </w:tc>
        <w:tc>
          <w:tcPr>
            <w:tcW w:w="9340" w:type="dxa"/>
            <w:vAlign w:val="bottom"/>
            <w:tcBorders>
              <w:bottom w:val="single" w:sz="8" w:color="0000EE"/>
            </w:tcBorders>
            <w:gridSpan w:val="19"/>
          </w:tcPr>
          <w:p>
            <w:pPr>
              <w:spacing w:after="0"/>
              <w:rPr>
                <w:rFonts w:ascii="Arial" w:cs="Arial" w:eastAsia="Arial" w:hAnsi="Arial"/>
                <w:sz w:val="18"/>
                <w:szCs w:val="18"/>
                <w:color w:val="0000EE"/>
                <w:w w:val="91"/>
              </w:rPr>
            </w:pPr>
            <w:hyperlink r:id="rId180">
              <w:r>
                <w:rPr>
                  <w:rFonts w:ascii="Arial" w:cs="Arial" w:eastAsia="Arial" w:hAnsi="Arial"/>
                  <w:sz w:val="18"/>
                  <w:szCs w:val="18"/>
                  <w:color w:val="0000EE"/>
                  <w:w w:val="91"/>
                </w:rPr>
                <w:t>Amended and Restated Bylaws of Uniti Group Inc. (incorporated by reference to Exhibit 3.1 to the Company’s Current Report on</w:t>
              </w:r>
            </w:hyperlink>
          </w:p>
        </w:tc>
        <w:tc>
          <w:tcPr>
            <w:tcW w:w="320" w:type="dxa"/>
            <w:vAlign w:val="bottom"/>
            <w:gridSpan w:val="8"/>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1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Form 8-K dated as of May 1, 2017 and filed with the SEC as of May 2, 2017 (File No. 001-36708))</w:t>
              </w:r>
            </w:hyperlink>
          </w:p>
        </w:tc>
        <w:tc>
          <w:tcPr>
            <w:tcW w:w="2480" w:type="dxa"/>
            <w:vAlign w:val="bottom"/>
            <w:gridSpan w:val="19"/>
          </w:tcPr>
          <w:p>
            <w:pPr>
              <w:spacing w:after="0"/>
              <w:rPr>
                <w:sz w:val="17"/>
                <w:szCs w:val="17"/>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9"/>
                <w:szCs w:val="19"/>
                <w:color w:val="auto"/>
              </w:rPr>
            </w:pPr>
          </w:p>
        </w:tc>
        <w:tc>
          <w:tcPr>
            <w:tcW w:w="8880" w:type="dxa"/>
            <w:vAlign w:val="bottom"/>
            <w:tcBorders>
              <w:bottom w:val="single" w:sz="8" w:color="0000EE"/>
            </w:tcBorders>
            <w:gridSpan w:val="10"/>
          </w:tcPr>
          <w:p>
            <w:pPr>
              <w:spacing w:after="0"/>
              <w:rPr>
                <w:rFonts w:ascii="Arial" w:cs="Arial" w:eastAsia="Arial" w:hAnsi="Arial"/>
                <w:sz w:val="18"/>
                <w:szCs w:val="18"/>
                <w:color w:val="0000EE"/>
                <w:w w:val="90"/>
              </w:rPr>
            </w:pPr>
            <w:hyperlink r:id="rId181">
              <w:r>
                <w:rPr>
                  <w:rFonts w:ascii="Arial" w:cs="Arial" w:eastAsia="Arial" w:hAnsi="Arial"/>
                  <w:sz w:val="18"/>
                  <w:szCs w:val="18"/>
                  <w:color w:val="0000EE"/>
                  <w:w w:val="90"/>
                </w:rPr>
                <w:t>Indenture, dated as of April 24, 2015, among Communications Sales &amp; Leasing, Inc. and CSL Capital, LLC, as Issuers, the</w:t>
              </w:r>
            </w:hyperlink>
          </w:p>
        </w:tc>
        <w:tc>
          <w:tcPr>
            <w:tcW w:w="780" w:type="dxa"/>
            <w:vAlign w:val="bottom"/>
            <w:gridSpan w:val="17"/>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7"/>
          </w:tcPr>
          <w:p>
            <w:pPr>
              <w:spacing w:after="0" w:line="196" w:lineRule="exact"/>
              <w:rPr>
                <w:rFonts w:ascii="Arial" w:cs="Arial" w:eastAsia="Arial" w:hAnsi="Arial"/>
                <w:sz w:val="18"/>
                <w:szCs w:val="18"/>
                <w:color w:val="0000EE"/>
                <w:w w:val="94"/>
              </w:rPr>
            </w:pPr>
            <w:hyperlink r:id="rId181">
              <w:r>
                <w:rPr>
                  <w:rFonts w:ascii="Arial" w:cs="Arial" w:eastAsia="Arial" w:hAnsi="Arial"/>
                  <w:sz w:val="18"/>
                  <w:szCs w:val="18"/>
                  <w:color w:val="0000EE"/>
                  <w:w w:val="94"/>
                </w:rPr>
                <w:t>guarantors named therein, and Wells Fargo Bank, National Association, as trustee, governing the 8.25% Senior Notes due 2023</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(incorporated by reference to Exhibit 4.2 to the Company’s Current Report on Form 8-K dated and filed with the SEC as of April 27,</w:t>
              </w:r>
            </w:hyperlink>
          </w:p>
        </w:tc>
        <w:tc>
          <w:tcPr>
            <w:tcW w:w="80" w:type="dxa"/>
            <w:vAlign w:val="bottom"/>
            <w:gridSpan w:val="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2015 (File No. 001-36708))</w:t>
              </w:r>
            </w:hyperlink>
          </w:p>
        </w:tc>
        <w:tc>
          <w:tcPr>
            <w:tcW w:w="7660" w:type="dxa"/>
            <w:vAlign w:val="bottom"/>
            <w:gridSpan w:val="26"/>
          </w:tcPr>
          <w:p>
            <w:pPr>
              <w:spacing w:after="0"/>
              <w:rPr>
                <w:sz w:val="17"/>
                <w:szCs w:val="17"/>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9660" w:type="dxa"/>
            <w:vAlign w:val="bottom"/>
            <w:gridSpan w:val="27"/>
          </w:tcPr>
          <w:p>
            <w:pPr>
              <w:spacing w:after="0"/>
              <w:rPr>
                <w:rFonts w:ascii="Arial" w:cs="Arial" w:eastAsia="Arial" w:hAnsi="Arial"/>
                <w:sz w:val="18"/>
                <w:szCs w:val="18"/>
                <w:color w:val="0000EE"/>
                <w:w w:val="95"/>
              </w:rPr>
            </w:pPr>
            <w:hyperlink r:id="rId181">
              <w:r>
                <w:rPr>
                  <w:rFonts w:ascii="Arial" w:cs="Arial" w:eastAsia="Arial" w:hAnsi="Arial"/>
                  <w:sz w:val="18"/>
                  <w:szCs w:val="18"/>
                  <w:color w:val="0000EE"/>
                  <w:w w:val="95"/>
                </w:rPr>
                <w:t>Form of 8.25% Senior Note due 2023 (included in Exhibit 4.1 above) (incorporated by reference to Exhibit 4.4 to the Company’s</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81">
              <w:r>
                <w:rPr>
                  <w:rFonts w:ascii="Arial" w:cs="Arial" w:eastAsia="Arial" w:hAnsi="Arial"/>
                  <w:sz w:val="18"/>
                  <w:szCs w:val="18"/>
                  <w:color w:val="0000EE"/>
                  <w:w w:val="92"/>
                </w:rPr>
                <w:t>Current Report on Form 8-K dated and filed with the SEC as of April 27, 2015 (File No. 001-36708))</w:t>
              </w:r>
            </w:hyperlink>
          </w:p>
        </w:tc>
        <w:tc>
          <w:tcPr>
            <w:tcW w:w="1980" w:type="dxa"/>
            <w:vAlign w:val="bottom"/>
            <w:tcBorders>
              <w:top w:val="single" w:sz="8" w:color="0000EE"/>
            </w:tcBorders>
            <w:gridSpan w:val="8"/>
          </w:tcPr>
          <w:p>
            <w:pPr>
              <w:spacing w:after="0"/>
              <w:rPr>
                <w:sz w:val="17"/>
                <w:szCs w:val="17"/>
                <w:color w:val="auto"/>
              </w:rPr>
            </w:pPr>
          </w:p>
        </w:tc>
        <w:tc>
          <w:tcPr>
            <w:tcW w:w="360" w:type="dxa"/>
            <w:vAlign w:val="bottom"/>
            <w:gridSpan w:val="10"/>
          </w:tcPr>
          <w:p>
            <w:pPr>
              <w:spacing w:after="0"/>
              <w:rPr>
                <w:sz w:val="17"/>
                <w:szCs w:val="17"/>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9"/>
                <w:szCs w:val="19"/>
                <w:color w:val="auto"/>
              </w:rPr>
            </w:pPr>
          </w:p>
        </w:tc>
        <w:tc>
          <w:tcPr>
            <w:tcW w:w="9260" w:type="dxa"/>
            <w:vAlign w:val="bottom"/>
            <w:tcBorders>
              <w:bottom w:val="single" w:sz="8" w:color="0000EE"/>
            </w:tcBorders>
            <w:gridSpan w:val="15"/>
          </w:tcPr>
          <w:p>
            <w:pPr>
              <w:spacing w:after="0"/>
              <w:rPr>
                <w:rFonts w:ascii="Arial" w:cs="Arial" w:eastAsia="Arial" w:hAnsi="Arial"/>
                <w:sz w:val="18"/>
                <w:szCs w:val="18"/>
                <w:color w:val="0000EE"/>
                <w:w w:val="89"/>
              </w:rPr>
            </w:pPr>
            <w:hyperlink r:id="rId182">
              <w:r>
                <w:rPr>
                  <w:rFonts w:ascii="Arial" w:cs="Arial" w:eastAsia="Arial" w:hAnsi="Arial"/>
                  <w:sz w:val="18"/>
                  <w:szCs w:val="18"/>
                  <w:color w:val="0000EE"/>
                  <w:w w:val="89"/>
                </w:rPr>
                <w:t>Second Supplemental Indenture (8.25% Senior Notes due 2023), dated as of October 19, 2016, among Communications Sales &amp;</w:t>
              </w:r>
            </w:hyperlink>
          </w:p>
        </w:tc>
        <w:tc>
          <w:tcPr>
            <w:tcW w:w="400" w:type="dxa"/>
            <w:vAlign w:val="bottom"/>
            <w:gridSpan w:val="12"/>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82">
              <w:r>
                <w:rPr>
                  <w:rFonts w:ascii="Arial" w:cs="Arial" w:eastAsia="Arial" w:hAnsi="Arial"/>
                  <w:sz w:val="18"/>
                  <w:szCs w:val="18"/>
                  <w:color w:val="0000EE"/>
                  <w:w w:val="90"/>
                </w:rPr>
                <w:t>Leasing, Inc. and CSL Capital, LLC, as Issuers, the guarantors thereto and Wells Fargo Bank, National Association, as trustee</w:t>
              </w:r>
            </w:hyperlink>
          </w:p>
        </w:tc>
        <w:tc>
          <w:tcPr>
            <w:tcW w:w="580" w:type="dxa"/>
            <w:vAlign w:val="bottom"/>
            <w:gridSpan w:val="1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(incorporated by reference to Exhibit 4.3 to the Company’s Annual Report on Form 10-K dated and filed with the SEC as of February</w:t>
              </w:r>
            </w:hyperlink>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7"/>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23, 2017 (File No. 001-36708))</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9"/>
                <w:szCs w:val="19"/>
                <w:color w:val="auto"/>
              </w:rPr>
            </w:pPr>
          </w:p>
        </w:tc>
        <w:tc>
          <w:tcPr>
            <w:tcW w:w="9660" w:type="dxa"/>
            <w:vAlign w:val="bottom"/>
            <w:gridSpan w:val="27"/>
          </w:tcPr>
          <w:p>
            <w:pPr>
              <w:spacing w:after="0"/>
              <w:rPr>
                <w:rFonts w:ascii="Arial" w:cs="Arial" w:eastAsia="Arial" w:hAnsi="Arial"/>
                <w:sz w:val="18"/>
                <w:szCs w:val="18"/>
                <w:color w:val="0000EE"/>
                <w:w w:val="95"/>
              </w:rPr>
            </w:pPr>
            <w:hyperlink r:id="rId183">
              <w:r>
                <w:rPr>
                  <w:rFonts w:ascii="Arial" w:cs="Arial" w:eastAsia="Arial" w:hAnsi="Arial"/>
                  <w:sz w:val="18"/>
                  <w:szCs w:val="18"/>
                  <w:color w:val="0000EE"/>
                  <w:w w:val="95"/>
                </w:rPr>
                <w:t>Fifth Supplemental Indenture, dated as of May 9, 2017, to the indenture dated as of April 24, 2015, among Uniti Group LP, Uniti</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7"/>
          </w:tcPr>
          <w:p>
            <w:pPr>
              <w:spacing w:after="0" w:line="196"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Group Finance Inc., CSL Capital, LLC, Uniti Group Inc., the guarantors named therein and Wells Fargo Bank, National Association,</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6"/>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7"/>
          </w:tcPr>
          <w:p>
            <w:pPr>
              <w:spacing w:after="0" w:line="196"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as trustee, governing the 8.25% Senior Notes due 2023 (incorporated by reference to Exhibit 4.1 to the Company’s Current Report on</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Form 8-K dated and filed with the SEC as of May 9, 2017 (File No. 001-36708))</w:t>
              </w:r>
            </w:hyperlink>
          </w:p>
        </w:tc>
        <w:tc>
          <w:tcPr>
            <w:tcW w:w="60" w:type="dxa"/>
            <w:vAlign w:val="bottom"/>
            <w:gridSpan w:val="3"/>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9"/>
                <w:szCs w:val="19"/>
                <w:color w:val="auto"/>
              </w:rPr>
            </w:pPr>
          </w:p>
        </w:tc>
        <w:tc>
          <w:tcPr>
            <w:tcW w:w="9320" w:type="dxa"/>
            <w:vAlign w:val="bottom"/>
            <w:tcBorders>
              <w:bottom w:val="single" w:sz="8" w:color="0000EE"/>
            </w:tcBorders>
            <w:gridSpan w:val="18"/>
          </w:tcPr>
          <w:p>
            <w:pPr>
              <w:spacing w:after="0"/>
              <w:rPr>
                <w:rFonts w:ascii="Arial" w:cs="Arial" w:eastAsia="Arial" w:hAnsi="Arial"/>
                <w:sz w:val="18"/>
                <w:szCs w:val="18"/>
                <w:color w:val="0000EE"/>
                <w:w w:val="91"/>
              </w:rPr>
            </w:pPr>
            <w:hyperlink r:id="rId184">
              <w:r>
                <w:rPr>
                  <w:rFonts w:ascii="Arial" w:cs="Arial" w:eastAsia="Arial" w:hAnsi="Arial"/>
                  <w:sz w:val="18"/>
                  <w:szCs w:val="18"/>
                  <w:color w:val="0000EE"/>
                  <w:w w:val="91"/>
                </w:rPr>
                <w:t>Sixth Supplemental Indenture, dated as of May 9, 2017, to the indenture dated as of April 24, 2015, among Uniti Group LP, Uniti</w:t>
              </w:r>
            </w:hyperlink>
          </w:p>
        </w:tc>
        <w:tc>
          <w:tcPr>
            <w:tcW w:w="340" w:type="dxa"/>
            <w:vAlign w:val="bottom"/>
            <w:gridSpan w:val="9"/>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7"/>
          </w:tcPr>
          <w:p>
            <w:pPr>
              <w:spacing w:after="0" w:line="196" w:lineRule="exact"/>
              <w:rPr>
                <w:rFonts w:ascii="Arial" w:cs="Arial" w:eastAsia="Arial" w:hAnsi="Arial"/>
                <w:sz w:val="18"/>
                <w:szCs w:val="18"/>
                <w:color w:val="0000EE"/>
                <w:w w:val="92"/>
              </w:rPr>
            </w:pPr>
            <w:hyperlink r:id="rId184">
              <w:r>
                <w:rPr>
                  <w:rFonts w:ascii="Arial" w:cs="Arial" w:eastAsia="Arial" w:hAnsi="Arial"/>
                  <w:sz w:val="18"/>
                  <w:szCs w:val="18"/>
                  <w:color w:val="0000EE"/>
                  <w:w w:val="92"/>
                </w:rPr>
                <w:t>Group Finance Inc., CSL Capital, LLC, Uniti Group Inc., the guarantors named therein and Wells Fargo Bank, National Association,</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10"/>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7"/>
          </w:tcPr>
          <w:p>
            <w:pPr>
              <w:spacing w:after="0" w:line="196" w:lineRule="exact"/>
              <w:rPr>
                <w:rFonts w:ascii="Arial" w:cs="Arial" w:eastAsia="Arial" w:hAnsi="Arial"/>
                <w:sz w:val="18"/>
                <w:szCs w:val="18"/>
                <w:color w:val="0000EE"/>
                <w:w w:val="90"/>
              </w:rPr>
            </w:pPr>
            <w:hyperlink r:id="rId184">
              <w:r>
                <w:rPr>
                  <w:rFonts w:ascii="Arial" w:cs="Arial" w:eastAsia="Arial" w:hAnsi="Arial"/>
                  <w:sz w:val="18"/>
                  <w:szCs w:val="18"/>
                  <w:color w:val="0000EE"/>
                  <w:w w:val="90"/>
                </w:rPr>
                <w:t>as trustee, governing the 8.25% Senior Notes due 2023 (incorporated by reference to Exhibit 4.2 to the Company’s Current Report on</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Form 8-K dated and filed with the SEC as of May 9, 2017 (File No. 001-36708))</w:t>
              </w:r>
            </w:hyperlink>
          </w:p>
        </w:tc>
        <w:tc>
          <w:tcPr>
            <w:tcW w:w="60" w:type="dxa"/>
            <w:vAlign w:val="bottom"/>
            <w:gridSpan w:val="3"/>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9"/>
                <w:szCs w:val="19"/>
                <w:color w:val="auto"/>
              </w:rPr>
            </w:pPr>
          </w:p>
        </w:tc>
        <w:tc>
          <w:tcPr>
            <w:tcW w:w="9660" w:type="dxa"/>
            <w:vAlign w:val="bottom"/>
            <w:gridSpan w:val="27"/>
          </w:tcPr>
          <w:p>
            <w:pPr>
              <w:spacing w:after="0"/>
              <w:rPr>
                <w:rFonts w:ascii="Arial" w:cs="Arial" w:eastAsia="Arial" w:hAnsi="Arial"/>
                <w:sz w:val="18"/>
                <w:szCs w:val="18"/>
                <w:color w:val="0000EE"/>
                <w:w w:val="91"/>
              </w:rPr>
            </w:pPr>
            <w:hyperlink r:id="rId185">
              <w:r>
                <w:rPr>
                  <w:rFonts w:ascii="Arial" w:cs="Arial" w:eastAsia="Arial" w:hAnsi="Arial"/>
                  <w:sz w:val="18"/>
                  <w:szCs w:val="18"/>
                  <w:color w:val="0000EE"/>
                  <w:w w:val="91"/>
                </w:rPr>
                <w:t>Fifteenth Supplemental Indenture, dated February 2, 2021, to the Indenture dated April 24, 2015 by and among Uniti Group LP, Uniti</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9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r:id="rId185">
              <w:r>
                <w:rPr>
                  <w:rFonts w:ascii="Arial" w:cs="Arial" w:eastAsia="Arial" w:hAnsi="Arial"/>
                  <w:sz w:val="18"/>
                  <w:szCs w:val="18"/>
                  <w:color w:val="0000EE"/>
                  <w:w w:val="89"/>
                </w:rPr>
                <w:t>Group Finance 2019 Inc. and CSL Capital, LLC, as Issuers, the guarantors party thereto and Deutsche Bank Trust Company</w:t>
              </w:r>
            </w:hyperlink>
          </w:p>
        </w:tc>
        <w:tc>
          <w:tcPr>
            <w:tcW w:w="680" w:type="dxa"/>
            <w:vAlign w:val="bottom"/>
            <w:tcBorders>
              <w:top w:val="single" w:sz="8" w:color="0000EE"/>
            </w:tcBorders>
            <w:gridSpan w:val="1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7"/>
          </w:tcPr>
          <w:p>
            <w:pPr>
              <w:spacing w:after="0" w:line="196" w:lineRule="exact"/>
              <w:rPr>
                <w:rFonts w:ascii="Arial" w:cs="Arial" w:eastAsia="Arial" w:hAnsi="Arial"/>
                <w:sz w:val="18"/>
                <w:szCs w:val="18"/>
                <w:color w:val="0000EE"/>
                <w:w w:val="90"/>
              </w:rPr>
            </w:pPr>
            <w:hyperlink r:id="rId185">
              <w:r>
                <w:rPr>
                  <w:rFonts w:ascii="Arial" w:cs="Arial" w:eastAsia="Arial" w:hAnsi="Arial"/>
                  <w:sz w:val="18"/>
                  <w:szCs w:val="18"/>
                  <w:color w:val="0000EE"/>
                  <w:w w:val="90"/>
                </w:rPr>
                <w:t>Americas, as trustee, governing the 8.25% Senior Notes due 2023 (incorporated by reference to Exhibit 4.3 to the Company’s Current</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Report on Form 8-K dated and filed with the SEC as of February 2, 2021 (File No. 001-36708))</w:t>
              </w:r>
            </w:hyperlink>
          </w:p>
        </w:tc>
        <w:tc>
          <w:tcPr>
            <w:tcW w:w="40" w:type="dxa"/>
            <w:vAlign w:val="bottom"/>
            <w:gridSpan w:val="2"/>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5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9"/>
                <w:szCs w:val="19"/>
                <w:color w:val="auto"/>
              </w:rPr>
            </w:pPr>
          </w:p>
        </w:tc>
        <w:tc>
          <w:tcPr>
            <w:tcW w:w="8880" w:type="dxa"/>
            <w:vAlign w:val="bottom"/>
            <w:tcBorders>
              <w:bottom w:val="single" w:sz="8" w:color="0000EE"/>
            </w:tcBorders>
            <w:gridSpan w:val="10"/>
          </w:tcPr>
          <w:p>
            <w:pPr>
              <w:spacing w:after="0"/>
              <w:rPr>
                <w:rFonts w:ascii="Arial" w:cs="Arial" w:eastAsia="Arial" w:hAnsi="Arial"/>
                <w:sz w:val="18"/>
                <w:szCs w:val="18"/>
                <w:color w:val="0000EE"/>
                <w:w w:val="90"/>
              </w:rPr>
            </w:pPr>
            <w:hyperlink r:id="rId186">
              <w:r>
                <w:rPr>
                  <w:rFonts w:ascii="Arial" w:cs="Arial" w:eastAsia="Arial" w:hAnsi="Arial"/>
                  <w:sz w:val="18"/>
                  <w:szCs w:val="18"/>
                  <w:color w:val="0000EE"/>
                  <w:w w:val="90"/>
                </w:rPr>
                <w:t>Indenture, dated as of April 24, 2015, among Communications Sales &amp; Leasing, Inc. and CSL Capital, LLC, as Issuers, the</w:t>
              </w:r>
            </w:hyperlink>
          </w:p>
        </w:tc>
        <w:tc>
          <w:tcPr>
            <w:tcW w:w="780" w:type="dxa"/>
            <w:vAlign w:val="bottom"/>
            <w:gridSpan w:val="17"/>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7"/>
          </w:tcPr>
          <w:p>
            <w:pPr>
              <w:spacing w:after="0" w:line="196" w:lineRule="exact"/>
              <w:rPr>
                <w:rFonts w:ascii="Arial" w:cs="Arial" w:eastAsia="Arial" w:hAnsi="Arial"/>
                <w:sz w:val="18"/>
                <w:szCs w:val="18"/>
                <w:color w:val="0000EE"/>
                <w:w w:val="89"/>
              </w:rPr>
            </w:pPr>
            <w:hyperlink r:id="rId186">
              <w:r>
                <w:rPr>
                  <w:rFonts w:ascii="Arial" w:cs="Arial" w:eastAsia="Arial" w:hAnsi="Arial"/>
                  <w:sz w:val="18"/>
                  <w:szCs w:val="18"/>
                  <w:color w:val="0000EE"/>
                  <w:w w:val="89"/>
                </w:rPr>
                <w:t>guarantors named therein, and Wells Fargo Bank, National Association, as trustee and as collateral agent, governing the 6.00% Senior</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5340" w:type="dxa"/>
            <w:vAlign w:val="bottom"/>
            <w:gridSpan w:val="9"/>
            <w:shd w:val="clear" w:color="auto" w:fill="0000EE"/>
          </w:tcPr>
          <w:p>
            <w:pPr>
              <w:spacing w:after="0" w:line="20" w:lineRule="exact"/>
              <w:rPr>
                <w:sz w:val="1"/>
                <w:szCs w:val="1"/>
                <w:color w:val="auto"/>
              </w:rPr>
            </w:pPr>
          </w:p>
        </w:tc>
        <w:tc>
          <w:tcPr>
            <w:tcW w:w="580" w:type="dxa"/>
            <w:vAlign w:val="bottom"/>
            <w:gridSpan w:val="1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7"/>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Secured Notes due 2023 (incorporated by reference to Exhibit 4.1 to the Company’s Current Report on Form 8-K dated and filed with</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the SEC as of April 27, 2015 (File No. 001-36708))</w:t>
              </w:r>
            </w:hyperlink>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5340" w:type="dxa"/>
            <w:vAlign w:val="bottom"/>
            <w:gridSpan w:val="9"/>
          </w:tcPr>
          <w:p>
            <w:pPr>
              <w:spacing w:after="0" w:line="20" w:lineRule="exact"/>
              <w:rPr>
                <w:sz w:val="1"/>
                <w:szCs w:val="1"/>
                <w:color w:val="auto"/>
              </w:rPr>
            </w:pPr>
          </w:p>
        </w:tc>
        <w:tc>
          <w:tcPr>
            <w:tcW w:w="600" w:type="dxa"/>
            <w:vAlign w:val="bottom"/>
            <w:gridSpan w:val="15"/>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9"/>
                <w:szCs w:val="19"/>
                <w:color w:val="auto"/>
              </w:rPr>
            </w:pPr>
          </w:p>
        </w:tc>
        <w:tc>
          <w:tcPr>
            <w:tcW w:w="9060" w:type="dxa"/>
            <w:vAlign w:val="bottom"/>
            <w:tcBorders>
              <w:bottom w:val="single" w:sz="8" w:color="0000EE"/>
            </w:tcBorders>
            <w:gridSpan w:val="12"/>
          </w:tcPr>
          <w:p>
            <w:pPr>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Form of 6.00% Senior Secured Note due 2023 (included in Exhibit 4.6 above) (incorporated by reference to Exhibit 4.3 to the</w:t>
              </w:r>
            </w:hyperlink>
          </w:p>
        </w:tc>
        <w:tc>
          <w:tcPr>
            <w:tcW w:w="600" w:type="dxa"/>
            <w:vAlign w:val="bottom"/>
            <w:gridSpan w:val="15"/>
          </w:tcPr>
          <w:p>
            <w:pPr>
              <w:spacing w:after="0"/>
              <w:rPr>
                <w:sz w:val="19"/>
                <w:szCs w:val="19"/>
                <w:color w:val="auto"/>
              </w:rPr>
            </w:pPr>
          </w:p>
        </w:tc>
      </w:tr>
      <w:tr>
        <w:trPr>
          <w:trHeight w:val="237"/>
        </w:trPr>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60" w:type="dxa"/>
            <w:vAlign w:val="bottom"/>
            <w:gridSpan w:val="27"/>
          </w:tcPr>
          <w:p>
            <w:pPr>
              <w:spacing w:after="0"/>
              <w:rPr>
                <w:rFonts w:ascii="Arial" w:cs="Arial" w:eastAsia="Arial" w:hAnsi="Arial"/>
                <w:sz w:val="18"/>
                <w:szCs w:val="18"/>
                <w:u w:val="single" w:color="auto"/>
                <w:color w:val="0000EE"/>
              </w:rPr>
            </w:pPr>
            <w:hyperlink r:id="rId186">
              <w:r>
                <w:rPr>
                  <w:rFonts w:ascii="Arial" w:cs="Arial" w:eastAsia="Arial" w:hAnsi="Arial"/>
                  <w:sz w:val="18"/>
                  <w:szCs w:val="18"/>
                  <w:u w:val="single" w:color="auto"/>
                  <w:color w:val="0000EE"/>
                </w:rPr>
                <w:t>Company’s Current Report on Form 8-K dated and filed with the SEC as of April 27, 2015 (File No. 001-36708))</w:t>
              </w:r>
            </w:hyperlink>
          </w:p>
        </w:tc>
      </w:tr>
      <w:tr>
        <w:trPr>
          <w:trHeight w:val="445"/>
        </w:trPr>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gridSpan w:val="4"/>
          </w:tcPr>
          <w:p>
            <w:pPr>
              <w:ind w:left="3880"/>
              <w:spacing w:after="0"/>
              <w:rPr>
                <w:sz w:val="20"/>
                <w:szCs w:val="20"/>
                <w:color w:val="auto"/>
              </w:rPr>
            </w:pPr>
            <w:r>
              <w:rPr>
                <w:rFonts w:ascii="Arial" w:cs="Arial" w:eastAsia="Arial" w:hAnsi="Arial"/>
                <w:sz w:val="18"/>
                <w:szCs w:val="18"/>
                <w:color w:val="auto"/>
              </w:rPr>
              <w:t>129</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0"/>
        </w:trPr>
        <w:tc>
          <w:tcPr>
            <w:tcW w:w="1600" w:type="dxa"/>
            <w:vAlign w:val="bottom"/>
            <w:gridSpan w:val="2"/>
          </w:tcPr>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tc>
        <w:tc>
          <w:tcPr>
            <w:tcW w:w="3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4"/>
        </w:trPr>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 No.</w:t>
            </w:r>
          </w:p>
        </w:tc>
        <w:tc>
          <w:tcPr>
            <w:tcW w:w="3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940" w:type="dxa"/>
            <w:vAlign w:val="bottom"/>
            <w:gridSpan w:val="20"/>
          </w:tcPr>
          <w:p>
            <w:pPr>
              <w:ind w:left="66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2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4.9</w:t>
            </w:r>
          </w:p>
        </w:tc>
        <w:tc>
          <w:tcPr>
            <w:tcW w:w="360" w:type="dxa"/>
            <w:vAlign w:val="bottom"/>
          </w:tcPr>
          <w:p>
            <w:pPr>
              <w:spacing w:after="0"/>
              <w:rPr>
                <w:sz w:val="16"/>
                <w:szCs w:val="16"/>
                <w:color w:val="auto"/>
              </w:rPr>
            </w:pPr>
          </w:p>
        </w:tc>
        <w:tc>
          <w:tcPr>
            <w:tcW w:w="9660" w:type="dxa"/>
            <w:vAlign w:val="bottom"/>
            <w:tcBorders>
              <w:top w:val="single" w:sz="8" w:color="auto"/>
            </w:tcBorders>
            <w:gridSpan w:val="22"/>
          </w:tcPr>
          <w:p>
            <w:pPr>
              <w:spacing w:after="0" w:line="189" w:lineRule="exact"/>
              <w:rPr>
                <w:rFonts w:ascii="Arial" w:cs="Arial" w:eastAsia="Arial" w:hAnsi="Arial"/>
                <w:sz w:val="18"/>
                <w:szCs w:val="18"/>
                <w:color w:val="0000EE"/>
                <w:w w:val="89"/>
              </w:rPr>
            </w:pPr>
            <w:hyperlink r:id="rId189">
              <w:r>
                <w:rPr>
                  <w:rFonts w:ascii="Arial" w:cs="Arial" w:eastAsia="Arial" w:hAnsi="Arial"/>
                  <w:sz w:val="18"/>
                  <w:szCs w:val="18"/>
                  <w:color w:val="0000EE"/>
                  <w:w w:val="89"/>
                </w:rPr>
                <w:t>Second Supplemental Indenture (6.00% Senior Secured Notes due 2023), dated as of June 14, 2016, among Communications Sales &amp;</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189">
              <w:r>
                <w:rPr>
                  <w:rFonts w:ascii="Arial" w:cs="Arial" w:eastAsia="Arial" w:hAnsi="Arial"/>
                  <w:sz w:val="18"/>
                  <w:szCs w:val="18"/>
                  <w:color w:val="0000EE"/>
                  <w:w w:val="90"/>
                </w:rPr>
                <w:t>Leasing, Inc. and CSL Capital, LLC, as Issuers, the guarantors thereto and Wells Fargo Bank, National Association, as trustee and</w:t>
              </w:r>
            </w:hyperlink>
          </w:p>
        </w:tc>
        <w:tc>
          <w:tcPr>
            <w:tcW w:w="240" w:type="dxa"/>
            <w:vAlign w:val="bottom"/>
            <w:tcBorders>
              <w:top w:val="single" w:sz="8" w:color="0000EE"/>
            </w:tcBorders>
            <w:gridSpan w:val="5"/>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collateral agent (incorporated by reference to Exhibit 4.6 to the Company’s Annual Report on Form 10-K dated and filed with the</w:t>
              </w:r>
            </w:hyperlink>
          </w:p>
        </w:tc>
        <w:tc>
          <w:tcPr>
            <w:tcW w:w="320" w:type="dxa"/>
            <w:vAlign w:val="bottom"/>
            <w:gridSpan w:val="8"/>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SEC as of February 23, 2017 (File No. 001-36708))</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4.10</w:t>
            </w:r>
          </w:p>
        </w:tc>
        <w:tc>
          <w:tcPr>
            <w:tcW w:w="360" w:type="dxa"/>
            <w:vAlign w:val="bottom"/>
          </w:tcPr>
          <w:p>
            <w:pPr>
              <w:spacing w:after="0"/>
              <w:rPr>
                <w:sz w:val="19"/>
                <w:szCs w:val="19"/>
                <w:color w:val="auto"/>
              </w:rPr>
            </w:pPr>
          </w:p>
        </w:tc>
        <w:tc>
          <w:tcPr>
            <w:tcW w:w="9660" w:type="dxa"/>
            <w:vAlign w:val="bottom"/>
            <w:gridSpan w:val="22"/>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Third Supplemental Indenture (6.00% Senior Secured Notes due 2023), dated as of October 19, 2016, among Communications Sales</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r:id="rId190">
              <w:r>
                <w:rPr>
                  <w:rFonts w:ascii="Arial" w:cs="Arial" w:eastAsia="Arial" w:hAnsi="Arial"/>
                  <w:sz w:val="18"/>
                  <w:szCs w:val="18"/>
                  <w:color w:val="0000EE"/>
                  <w:w w:val="90"/>
                </w:rPr>
                <w:t>&amp; Leasing, Inc. and CSL Capital, LLC, as Issuers, the guarantors thereto and Wells Fargo Bank, National Association, as trustee and</w:t>
              </w:r>
            </w:hyperlink>
          </w:p>
        </w:tc>
        <w:tc>
          <w:tcPr>
            <w:tcW w:w="6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collateral agent (incorporated by reference to Exhibit 4.7 to the Company’s Annual Report on Form 10-K dated and filed with the</w:t>
              </w:r>
            </w:hyperlink>
          </w:p>
        </w:tc>
        <w:tc>
          <w:tcPr>
            <w:tcW w:w="320" w:type="dxa"/>
            <w:vAlign w:val="bottom"/>
            <w:gridSpan w:val="8"/>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SEC as of February 23, 2017 (File No. 001-36708))</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4.11</w:t>
            </w:r>
          </w:p>
        </w:tc>
        <w:tc>
          <w:tcPr>
            <w:tcW w:w="360" w:type="dxa"/>
            <w:vAlign w:val="bottom"/>
          </w:tcPr>
          <w:p>
            <w:pPr>
              <w:spacing w:after="0"/>
              <w:rPr>
                <w:sz w:val="19"/>
                <w:szCs w:val="19"/>
                <w:color w:val="auto"/>
              </w:rPr>
            </w:pPr>
          </w:p>
        </w:tc>
        <w:tc>
          <w:tcPr>
            <w:tcW w:w="9320" w:type="dxa"/>
            <w:vAlign w:val="bottom"/>
            <w:tcBorders>
              <w:bottom w:val="single" w:sz="8" w:color="0000EE"/>
            </w:tcBorders>
            <w:gridSpan w:val="13"/>
          </w:tcPr>
          <w:p>
            <w:pPr>
              <w:spacing w:after="0"/>
              <w:rPr>
                <w:rFonts w:ascii="Arial" w:cs="Arial" w:eastAsia="Arial" w:hAnsi="Arial"/>
                <w:sz w:val="18"/>
                <w:szCs w:val="18"/>
                <w:color w:val="0000EE"/>
                <w:w w:val="91"/>
              </w:rPr>
            </w:pPr>
            <w:hyperlink r:id="rId191">
              <w:r>
                <w:rPr>
                  <w:rFonts w:ascii="Arial" w:cs="Arial" w:eastAsia="Arial" w:hAnsi="Arial"/>
                  <w:sz w:val="18"/>
                  <w:szCs w:val="18"/>
                  <w:color w:val="0000EE"/>
                  <w:w w:val="91"/>
                </w:rPr>
                <w:t>Sixth Supplemental Indenture, dated as of May 9, 2017, to the indenture dated as of April 24, 2015, among Uniti Group LP, Uniti</w:t>
              </w:r>
            </w:hyperlink>
          </w:p>
        </w:tc>
        <w:tc>
          <w:tcPr>
            <w:tcW w:w="340" w:type="dxa"/>
            <w:vAlign w:val="bottom"/>
            <w:gridSpan w:val="9"/>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w w:val="92"/>
              </w:rPr>
            </w:pPr>
            <w:hyperlink r:id="rId191">
              <w:r>
                <w:rPr>
                  <w:rFonts w:ascii="Arial" w:cs="Arial" w:eastAsia="Arial" w:hAnsi="Arial"/>
                  <w:sz w:val="18"/>
                  <w:szCs w:val="18"/>
                  <w:color w:val="0000EE"/>
                  <w:w w:val="92"/>
                </w:rPr>
                <w:t>Group Finance Inc., CSL Capital, LLC, Uniti Group Inc., the guarantors named therein and Wells Fargo Bank, National Association,</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0" w:type="dxa"/>
            <w:vAlign w:val="bottom"/>
            <w:tcBorders>
              <w:top w:val="single" w:sz="8" w:color="0000EE"/>
            </w:tcBorders>
            <w:gridSpan w:val="20"/>
          </w:tcPr>
          <w:p>
            <w:pPr>
              <w:spacing w:after="0" w:line="196"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as trustee and collateral agent, governing the 6.00% Senior Secured Notes due 2023 (incorporated by reference to Exhibit 4.3 to the</w:t>
              </w:r>
            </w:hyperlink>
          </w:p>
        </w:tc>
        <w:tc>
          <w:tcPr>
            <w:tcW w:w="60" w:type="dxa"/>
            <w:vAlign w:val="bottom"/>
            <w:gridSpan w:val="2"/>
          </w:tcPr>
          <w:p>
            <w:pPr>
              <w:spacing w:after="0"/>
              <w:rPr>
                <w:sz w:val="17"/>
                <w:szCs w:val="17"/>
                <w:color w:val="auto"/>
              </w:rPr>
            </w:pPr>
          </w:p>
        </w:tc>
      </w:tr>
      <w:tr>
        <w:trPr>
          <w:trHeight w:val="237"/>
        </w:trPr>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60" w:type="dxa"/>
            <w:vAlign w:val="bottom"/>
            <w:tcBorders>
              <w:top w:val="single" w:sz="8" w:color="0000EE"/>
            </w:tcBorders>
            <w:gridSpan w:val="17"/>
          </w:tcPr>
          <w:p>
            <w:pPr>
              <w:spacing w:after="0"/>
              <w:rPr>
                <w:rFonts w:ascii="Arial" w:cs="Arial" w:eastAsia="Arial" w:hAnsi="Arial"/>
                <w:sz w:val="18"/>
                <w:szCs w:val="18"/>
                <w:u w:val="single" w:color="auto"/>
                <w:color w:val="0000EE"/>
              </w:rPr>
            </w:pPr>
            <w:hyperlink r:id="rId191">
              <w:r>
                <w:rPr>
                  <w:rFonts w:ascii="Arial" w:cs="Arial" w:eastAsia="Arial" w:hAnsi="Arial"/>
                  <w:sz w:val="18"/>
                  <w:szCs w:val="18"/>
                  <w:u w:val="single" w:color="auto"/>
                  <w:color w:val="0000EE"/>
                </w:rPr>
                <w:t>Company’s Current Report on Form 8-K dated and filed with the SEC as of May 9, 2017 (File No. 001-36708))</w:t>
              </w:r>
            </w:hyperlink>
          </w:p>
        </w:tc>
        <w:tc>
          <w:tcPr>
            <w:tcW w:w="200" w:type="dxa"/>
            <w:vAlign w:val="bottom"/>
            <w:gridSpan w:val="5"/>
          </w:tcPr>
          <w:p>
            <w:pPr>
              <w:spacing w:after="0"/>
              <w:rPr>
                <w:sz w:val="20"/>
                <w:szCs w:val="20"/>
                <w:color w:val="auto"/>
              </w:rPr>
            </w:pPr>
          </w:p>
        </w:tc>
      </w:tr>
      <w:tr>
        <w:trPr>
          <w:trHeight w:val="203"/>
        </w:trPr>
        <w:tc>
          <w:tcPr>
            <w:tcW w:w="1240" w:type="dxa"/>
            <w:vAlign w:val="bottom"/>
          </w:tcPr>
          <w:p>
            <w:pPr>
              <w:spacing w:after="0" w:line="202" w:lineRule="exact"/>
              <w:rPr>
                <w:sz w:val="20"/>
                <w:szCs w:val="20"/>
                <w:color w:val="auto"/>
              </w:rPr>
            </w:pPr>
            <w:r>
              <w:rPr>
                <w:rFonts w:ascii="Arial" w:cs="Arial" w:eastAsia="Arial" w:hAnsi="Arial"/>
                <w:sz w:val="18"/>
                <w:szCs w:val="18"/>
                <w:color w:val="auto"/>
              </w:rPr>
              <w:t>4.12</w:t>
            </w:r>
          </w:p>
        </w:tc>
        <w:tc>
          <w:tcPr>
            <w:tcW w:w="360" w:type="dxa"/>
            <w:vAlign w:val="bottom"/>
          </w:tcPr>
          <w:p>
            <w:pPr>
              <w:spacing w:after="0"/>
              <w:rPr>
                <w:sz w:val="17"/>
                <w:szCs w:val="17"/>
                <w:color w:val="auto"/>
              </w:rPr>
            </w:pPr>
          </w:p>
        </w:tc>
        <w:tc>
          <w:tcPr>
            <w:tcW w:w="9520" w:type="dxa"/>
            <w:vAlign w:val="bottom"/>
            <w:tcBorders>
              <w:bottom w:val="single" w:sz="8" w:color="0000EE"/>
            </w:tcBorders>
            <w:gridSpan w:val="19"/>
          </w:tcPr>
          <w:p>
            <w:pPr>
              <w:spacing w:after="0" w:line="202"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Seventh Supplemental Indenture, dated as of May 9, 2017, to the indenture dated as of April 24, 2015, among Uniti Group LP, Uniti</w:t>
              </w:r>
            </w:hyperlink>
          </w:p>
        </w:tc>
        <w:tc>
          <w:tcPr>
            <w:tcW w:w="14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w w:val="92"/>
              </w:rPr>
            </w:pPr>
            <w:hyperlink r:id="rId192">
              <w:r>
                <w:rPr>
                  <w:rFonts w:ascii="Arial" w:cs="Arial" w:eastAsia="Arial" w:hAnsi="Arial"/>
                  <w:sz w:val="18"/>
                  <w:szCs w:val="18"/>
                  <w:color w:val="0000EE"/>
                  <w:w w:val="92"/>
                </w:rPr>
                <w:t>Group Finance Inc., CSL Capital, LLC, Uniti Group Inc., the guarantors named therein and Wells Fargo Bank, National Association,</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0" w:type="dxa"/>
            <w:vAlign w:val="bottom"/>
            <w:tcBorders>
              <w:top w:val="single" w:sz="8" w:color="0000EE"/>
            </w:tcBorders>
            <w:gridSpan w:val="20"/>
          </w:tcPr>
          <w:p>
            <w:pPr>
              <w:spacing w:after="0" w:line="196"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as trustee and collateral agent, governing the 6.00% Senior Secured Notes due 2023 (incorporated by reference to Exhibit 4.4 to the</w:t>
              </w:r>
            </w:hyperlink>
          </w:p>
        </w:tc>
        <w:tc>
          <w:tcPr>
            <w:tcW w:w="60" w:type="dxa"/>
            <w:vAlign w:val="bottom"/>
            <w:gridSpan w:val="2"/>
          </w:tcPr>
          <w:p>
            <w:pPr>
              <w:spacing w:after="0"/>
              <w:rPr>
                <w:sz w:val="17"/>
                <w:szCs w:val="17"/>
                <w:color w:val="auto"/>
              </w:rPr>
            </w:pPr>
          </w:p>
        </w:tc>
      </w:tr>
      <w:tr>
        <w:trPr>
          <w:trHeight w:val="237"/>
        </w:trPr>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60" w:type="dxa"/>
            <w:vAlign w:val="bottom"/>
            <w:tcBorders>
              <w:top w:val="single" w:sz="8" w:color="0000EE"/>
            </w:tcBorders>
            <w:gridSpan w:val="17"/>
          </w:tcPr>
          <w:p>
            <w:pPr>
              <w:spacing w:after="0"/>
              <w:rPr>
                <w:rFonts w:ascii="Arial" w:cs="Arial" w:eastAsia="Arial" w:hAnsi="Arial"/>
                <w:sz w:val="18"/>
                <w:szCs w:val="18"/>
                <w:u w:val="single" w:color="auto"/>
                <w:color w:val="0000EE"/>
              </w:rPr>
            </w:pPr>
            <w:hyperlink r:id="rId192">
              <w:r>
                <w:rPr>
                  <w:rFonts w:ascii="Arial" w:cs="Arial" w:eastAsia="Arial" w:hAnsi="Arial"/>
                  <w:sz w:val="18"/>
                  <w:szCs w:val="18"/>
                  <w:u w:val="single" w:color="auto"/>
                  <w:color w:val="0000EE"/>
                </w:rPr>
                <w:t>Company’s Current Report on Form 8-K dated and filed with the SEC as of May 9, 2017 (File No. 001-36708))</w:t>
              </w:r>
            </w:hyperlink>
          </w:p>
        </w:tc>
        <w:tc>
          <w:tcPr>
            <w:tcW w:w="200" w:type="dxa"/>
            <w:vAlign w:val="bottom"/>
            <w:gridSpan w:val="5"/>
          </w:tcPr>
          <w:p>
            <w:pPr>
              <w:spacing w:after="0"/>
              <w:rPr>
                <w:sz w:val="20"/>
                <w:szCs w:val="20"/>
                <w:color w:val="auto"/>
              </w:rPr>
            </w:pPr>
          </w:p>
        </w:tc>
      </w:tr>
      <w:tr>
        <w:trPr>
          <w:trHeight w:val="203"/>
        </w:trPr>
        <w:tc>
          <w:tcPr>
            <w:tcW w:w="1240" w:type="dxa"/>
            <w:vAlign w:val="bottom"/>
          </w:tcPr>
          <w:p>
            <w:pPr>
              <w:spacing w:after="0" w:line="202" w:lineRule="exact"/>
              <w:rPr>
                <w:sz w:val="20"/>
                <w:szCs w:val="20"/>
                <w:color w:val="auto"/>
              </w:rPr>
            </w:pPr>
            <w:r>
              <w:rPr>
                <w:rFonts w:ascii="Arial" w:cs="Arial" w:eastAsia="Arial" w:hAnsi="Arial"/>
                <w:sz w:val="18"/>
                <w:szCs w:val="18"/>
                <w:color w:val="auto"/>
              </w:rPr>
              <w:t>4.13</w:t>
            </w:r>
          </w:p>
        </w:tc>
        <w:tc>
          <w:tcPr>
            <w:tcW w:w="360" w:type="dxa"/>
            <w:vAlign w:val="bottom"/>
          </w:tcPr>
          <w:p>
            <w:pPr>
              <w:spacing w:after="0"/>
              <w:rPr>
                <w:sz w:val="17"/>
                <w:szCs w:val="17"/>
                <w:color w:val="auto"/>
              </w:rPr>
            </w:pPr>
          </w:p>
        </w:tc>
        <w:tc>
          <w:tcPr>
            <w:tcW w:w="9240" w:type="dxa"/>
            <w:vAlign w:val="bottom"/>
            <w:tcBorders>
              <w:bottom w:val="single" w:sz="8" w:color="0000EE"/>
            </w:tcBorders>
            <w:gridSpan w:val="10"/>
          </w:tcPr>
          <w:p>
            <w:pPr>
              <w:spacing w:after="0" w:line="202"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Indenture, dated as of December 15, 2016, among Communications Sales &amp; Leasing, Inc. and CSL Capital, LLC, as Issuers, the</w:t>
              </w:r>
            </w:hyperlink>
          </w:p>
        </w:tc>
        <w:tc>
          <w:tcPr>
            <w:tcW w:w="420" w:type="dxa"/>
            <w:vAlign w:val="bottom"/>
            <w:gridSpan w:val="1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93">
              <w:r>
                <w:rPr>
                  <w:rFonts w:ascii="Arial" w:cs="Arial" w:eastAsia="Arial" w:hAnsi="Arial"/>
                  <w:sz w:val="18"/>
                  <w:szCs w:val="18"/>
                  <w:color w:val="0000EE"/>
                  <w:w w:val="89"/>
                </w:rPr>
                <w:t>guarantors named therein, and Wells Fargo Bank, National Association, as trustee, governing the 7.125% Senior Notes due 2024</w:t>
              </w:r>
            </w:hyperlink>
          </w:p>
        </w:tc>
        <w:tc>
          <w:tcPr>
            <w:tcW w:w="400" w:type="dxa"/>
            <w:vAlign w:val="bottom"/>
            <w:gridSpan w:val="11"/>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w w:val="99"/>
              </w:rPr>
            </w:pPr>
            <w:hyperlink r:id="rId193">
              <w:r>
                <w:rPr>
                  <w:rFonts w:ascii="Arial" w:cs="Arial" w:eastAsia="Arial" w:hAnsi="Arial"/>
                  <w:sz w:val="18"/>
                  <w:szCs w:val="18"/>
                  <w:color w:val="0000EE"/>
                  <w:w w:val="99"/>
                </w:rPr>
                <w:t>(incorporated by reference to Exhibit 4.1 of the Company’s Current Report on Form 8-K dated and filed with the SEC as of</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December 15, 2016 (File No. 001-36708))</w:t>
              </w:r>
            </w:hyperlink>
          </w:p>
        </w:tc>
        <w:tc>
          <w:tcPr>
            <w:tcW w:w="5820" w:type="dxa"/>
            <w:vAlign w:val="bottom"/>
            <w:tcBorders>
              <w:top w:val="single" w:sz="8" w:color="0000EE"/>
            </w:tcBorders>
            <w:gridSpan w:val="5"/>
          </w:tcPr>
          <w:p>
            <w:pPr>
              <w:spacing w:after="0"/>
              <w:rPr>
                <w:sz w:val="17"/>
                <w:szCs w:val="17"/>
                <w:color w:val="auto"/>
              </w:rPr>
            </w:pPr>
          </w:p>
        </w:tc>
        <w:tc>
          <w:tcPr>
            <w:tcW w:w="780" w:type="dxa"/>
            <w:vAlign w:val="bottom"/>
            <w:gridSpan w:val="16"/>
          </w:tcPr>
          <w:p>
            <w:pPr>
              <w:spacing w:after="0"/>
              <w:rPr>
                <w:sz w:val="17"/>
                <w:szCs w:val="17"/>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4.14</w:t>
            </w:r>
          </w:p>
        </w:tc>
        <w:tc>
          <w:tcPr>
            <w:tcW w:w="360" w:type="dxa"/>
            <w:vAlign w:val="bottom"/>
          </w:tcPr>
          <w:p>
            <w:pPr>
              <w:spacing w:after="0"/>
              <w:rPr>
                <w:sz w:val="19"/>
                <w:szCs w:val="19"/>
                <w:color w:val="auto"/>
              </w:rPr>
            </w:pPr>
          </w:p>
        </w:tc>
        <w:tc>
          <w:tcPr>
            <w:tcW w:w="9500" w:type="dxa"/>
            <w:vAlign w:val="bottom"/>
            <w:tcBorders>
              <w:bottom w:val="single" w:sz="8" w:color="0000EE"/>
            </w:tcBorders>
            <w:gridSpan w:val="18"/>
          </w:tcPr>
          <w:p>
            <w:pPr>
              <w:spacing w:after="0"/>
              <w:rPr>
                <w:rFonts w:ascii="Arial" w:cs="Arial" w:eastAsia="Arial" w:hAnsi="Arial"/>
                <w:sz w:val="18"/>
                <w:szCs w:val="18"/>
                <w:color w:val="0000EE"/>
                <w:w w:val="91"/>
              </w:rPr>
            </w:pPr>
            <w:hyperlink r:id="rId193">
              <w:r>
                <w:rPr>
                  <w:rFonts w:ascii="Arial" w:cs="Arial" w:eastAsia="Arial" w:hAnsi="Arial"/>
                  <w:sz w:val="18"/>
                  <w:szCs w:val="18"/>
                  <w:color w:val="0000EE"/>
                  <w:w w:val="91"/>
                </w:rPr>
                <w:t>Form of 7.125% Senior Note due 2024 (included in Exhibit 4.14 above) (incorporated by reference to Exhibit 4.2 of the Company’s</w:t>
              </w:r>
            </w:hyperlink>
          </w:p>
        </w:tc>
        <w:tc>
          <w:tcPr>
            <w:tcW w:w="160" w:type="dxa"/>
            <w:vAlign w:val="bottom"/>
            <w:gridSpan w:val="4"/>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Current Report on Form 8-K dated and filed with the SEC as of December 15, 2016 (File No. 001-36708))</w:t>
              </w:r>
            </w:hyperlink>
          </w:p>
        </w:tc>
        <w:tc>
          <w:tcPr>
            <w:tcW w:w="1980" w:type="dxa"/>
            <w:vAlign w:val="bottom"/>
            <w:gridSpan w:val="18"/>
          </w:tcPr>
          <w:p>
            <w:pPr>
              <w:spacing w:after="0"/>
              <w:rPr>
                <w:sz w:val="17"/>
                <w:szCs w:val="17"/>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4.15</w:t>
            </w:r>
          </w:p>
        </w:tc>
        <w:tc>
          <w:tcPr>
            <w:tcW w:w="360" w:type="dxa"/>
            <w:vAlign w:val="bottom"/>
          </w:tcPr>
          <w:p>
            <w:pPr>
              <w:spacing w:after="0"/>
              <w:rPr>
                <w:sz w:val="19"/>
                <w:szCs w:val="19"/>
                <w:color w:val="auto"/>
              </w:rPr>
            </w:pPr>
          </w:p>
        </w:tc>
        <w:tc>
          <w:tcPr>
            <w:tcW w:w="8480" w:type="dxa"/>
            <w:vAlign w:val="bottom"/>
            <w:tcBorders>
              <w:bottom w:val="single" w:sz="8" w:color="0000EE"/>
            </w:tcBorders>
            <w:gridSpan w:val="5"/>
          </w:tcPr>
          <w:p>
            <w:pPr>
              <w:spacing w:after="0"/>
              <w:rPr>
                <w:rFonts w:ascii="Arial" w:cs="Arial" w:eastAsia="Arial" w:hAnsi="Arial"/>
                <w:sz w:val="18"/>
                <w:szCs w:val="18"/>
                <w:color w:val="0000EE"/>
                <w:w w:val="89"/>
              </w:rPr>
            </w:pPr>
            <w:hyperlink r:id="rId194">
              <w:r>
                <w:rPr>
                  <w:rFonts w:ascii="Arial" w:cs="Arial" w:eastAsia="Arial" w:hAnsi="Arial"/>
                  <w:sz w:val="18"/>
                  <w:szCs w:val="18"/>
                  <w:color w:val="0000EE"/>
                  <w:w w:val="89"/>
                </w:rPr>
                <w:t>First Supplemental Indenture, dated as of February 22, 2017, to the Indenture, dated as of December 15, 2016, among</w:t>
              </w:r>
            </w:hyperlink>
          </w:p>
        </w:tc>
        <w:tc>
          <w:tcPr>
            <w:tcW w:w="1180" w:type="dxa"/>
            <w:vAlign w:val="bottom"/>
            <w:gridSpan w:val="17"/>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94">
              <w:r>
                <w:rPr>
                  <w:rFonts w:ascii="Arial" w:cs="Arial" w:eastAsia="Arial" w:hAnsi="Arial"/>
                  <w:sz w:val="18"/>
                  <w:szCs w:val="18"/>
                  <w:color w:val="0000EE"/>
                  <w:w w:val="90"/>
                </w:rPr>
                <w:t>Communications Sales &amp; Leasing, Inc. and CSL Capital, LLC, as Issuers, the guarantors named therein, and Wells Fargo Bank,</w:t>
              </w:r>
            </w:hyperlink>
          </w:p>
        </w:tc>
        <w:tc>
          <w:tcPr>
            <w:tcW w:w="460" w:type="dxa"/>
            <w:vAlign w:val="bottom"/>
            <w:gridSpan w:val="1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w w:val="95"/>
              </w:rPr>
            </w:pPr>
            <w:hyperlink r:id="rId194">
              <w:r>
                <w:rPr>
                  <w:rFonts w:ascii="Arial" w:cs="Arial" w:eastAsia="Arial" w:hAnsi="Arial"/>
                  <w:sz w:val="18"/>
                  <w:szCs w:val="18"/>
                  <w:color w:val="0000EE"/>
                  <w:w w:val="95"/>
                </w:rPr>
                <w:t>National Association, as trustee, governing the 7.125% Senior Notes due 2024 (incorporated by reference to Exhibit 4.11 to the</w:t>
              </w:r>
            </w:hyperlink>
          </w:p>
        </w:tc>
      </w:tr>
      <w:tr>
        <w:trPr>
          <w:trHeight w:val="237"/>
        </w:trPr>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160" w:type="dxa"/>
            <w:vAlign w:val="bottom"/>
            <w:tcBorders>
              <w:top w:val="single" w:sz="8" w:color="0000EE"/>
            </w:tcBorders>
            <w:gridSpan w:val="8"/>
          </w:tcPr>
          <w:p>
            <w:pPr>
              <w:spacing w:after="0"/>
              <w:rPr>
                <w:rFonts w:ascii="Arial" w:cs="Arial" w:eastAsia="Arial" w:hAnsi="Arial"/>
                <w:sz w:val="18"/>
                <w:szCs w:val="18"/>
                <w:u w:val="single" w:color="auto"/>
                <w:color w:val="0000EE"/>
                <w:w w:val="98"/>
              </w:rPr>
            </w:pPr>
            <w:hyperlink r:id="rId194">
              <w:r>
                <w:rPr>
                  <w:rFonts w:ascii="Arial" w:cs="Arial" w:eastAsia="Arial" w:hAnsi="Arial"/>
                  <w:sz w:val="18"/>
                  <w:szCs w:val="18"/>
                  <w:u w:val="single" w:color="auto"/>
                  <w:color w:val="0000EE"/>
                  <w:w w:val="98"/>
                </w:rPr>
                <w:t>Company’s Annual Report on Form 10-K dated and filed with the SEC as of February 23, 2017 (File No. 001-36708))</w:t>
              </w:r>
            </w:hyperlink>
          </w:p>
        </w:tc>
        <w:tc>
          <w:tcPr>
            <w:tcW w:w="500" w:type="dxa"/>
            <w:vAlign w:val="bottom"/>
            <w:gridSpan w:val="14"/>
          </w:tcPr>
          <w:p>
            <w:pPr>
              <w:spacing w:after="0"/>
              <w:rPr>
                <w:sz w:val="20"/>
                <w:szCs w:val="20"/>
                <w:color w:val="auto"/>
              </w:rPr>
            </w:pPr>
          </w:p>
        </w:tc>
      </w:tr>
      <w:tr>
        <w:trPr>
          <w:trHeight w:val="203"/>
        </w:trPr>
        <w:tc>
          <w:tcPr>
            <w:tcW w:w="1240" w:type="dxa"/>
            <w:vAlign w:val="bottom"/>
          </w:tcPr>
          <w:p>
            <w:pPr>
              <w:spacing w:after="0" w:line="202" w:lineRule="exact"/>
              <w:rPr>
                <w:sz w:val="20"/>
                <w:szCs w:val="20"/>
                <w:color w:val="auto"/>
              </w:rPr>
            </w:pPr>
            <w:r>
              <w:rPr>
                <w:rFonts w:ascii="Arial" w:cs="Arial" w:eastAsia="Arial" w:hAnsi="Arial"/>
                <w:sz w:val="18"/>
                <w:szCs w:val="18"/>
                <w:color w:val="auto"/>
              </w:rPr>
              <w:t>4.16</w:t>
            </w:r>
          </w:p>
        </w:tc>
        <w:tc>
          <w:tcPr>
            <w:tcW w:w="360" w:type="dxa"/>
            <w:vAlign w:val="bottom"/>
          </w:tcPr>
          <w:p>
            <w:pPr>
              <w:spacing w:after="0"/>
              <w:rPr>
                <w:sz w:val="17"/>
                <w:szCs w:val="17"/>
                <w:color w:val="auto"/>
              </w:rPr>
            </w:pPr>
          </w:p>
        </w:tc>
        <w:tc>
          <w:tcPr>
            <w:tcW w:w="9660" w:type="dxa"/>
            <w:vAlign w:val="bottom"/>
            <w:gridSpan w:val="22"/>
          </w:tcPr>
          <w:p>
            <w:pPr>
              <w:spacing w:after="0" w:line="202" w:lineRule="exact"/>
              <w:rPr>
                <w:rFonts w:ascii="Arial" w:cs="Arial" w:eastAsia="Arial" w:hAnsi="Arial"/>
                <w:sz w:val="18"/>
                <w:szCs w:val="18"/>
                <w:color w:val="0000EE"/>
                <w:w w:val="93"/>
              </w:rPr>
            </w:pPr>
            <w:hyperlink r:id="rId195">
              <w:r>
                <w:rPr>
                  <w:rFonts w:ascii="Arial" w:cs="Arial" w:eastAsia="Arial" w:hAnsi="Arial"/>
                  <w:sz w:val="18"/>
                  <w:szCs w:val="18"/>
                  <w:color w:val="0000EE"/>
                  <w:w w:val="93"/>
                </w:rPr>
                <w:t>Third Supplemental Indenture, dated as of May 9, 2017, to the indenture dated as of December 15, 2016, among Uniti Group LP,</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95">
              <w:r>
                <w:rPr>
                  <w:rFonts w:ascii="Arial" w:cs="Arial" w:eastAsia="Arial" w:hAnsi="Arial"/>
                  <w:sz w:val="18"/>
                  <w:szCs w:val="18"/>
                  <w:color w:val="0000EE"/>
                  <w:w w:val="92"/>
                </w:rPr>
                <w:t>Uniti Fiber Holdings Inc., CSL Capital, LLC, Uniti Group Inc., the guarantors named therein and Wells Fargo Bank, National</w:t>
              </w:r>
            </w:hyperlink>
          </w:p>
        </w:tc>
        <w:tc>
          <w:tcPr>
            <w:tcW w:w="220" w:type="dxa"/>
            <w:vAlign w:val="bottom"/>
            <w:tcBorders>
              <w:top w:val="single" w:sz="8" w:color="0000EE"/>
            </w:tcBorders>
            <w:gridSpan w:val="5"/>
          </w:tcPr>
          <w:p>
            <w:pPr>
              <w:spacing w:after="0"/>
              <w:rPr>
                <w:sz w:val="17"/>
                <w:szCs w:val="17"/>
                <w:color w:val="auto"/>
              </w:rPr>
            </w:pPr>
          </w:p>
        </w:tc>
        <w:tc>
          <w:tcPr>
            <w:tcW w:w="380" w:type="dxa"/>
            <w:vAlign w:val="bottom"/>
            <w:gridSpan w:val="10"/>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w w:val="93"/>
              </w:rPr>
            </w:pPr>
            <w:hyperlink r:id="rId195">
              <w:r>
                <w:rPr>
                  <w:rFonts w:ascii="Arial" w:cs="Arial" w:eastAsia="Arial" w:hAnsi="Arial"/>
                  <w:sz w:val="18"/>
                  <w:szCs w:val="18"/>
                  <w:color w:val="0000EE"/>
                  <w:w w:val="93"/>
                </w:rPr>
                <w:t>Association, as trustee, governing the 7.125% Senior Notes due 2024 (incorporated by reference to Exhibit 4.5 to the Company’s</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Current Report on Form 8-K dated and filed with the SEC as of May 9, 2017 (File No. 001-36708))</w:t>
              </w:r>
            </w:hyperlink>
          </w:p>
        </w:tc>
        <w:tc>
          <w:tcPr>
            <w:tcW w:w="2100" w:type="dxa"/>
            <w:vAlign w:val="bottom"/>
            <w:tcBorders>
              <w:top w:val="single" w:sz="8" w:color="0000EE"/>
            </w:tcBorders>
            <w:gridSpan w:val="9"/>
          </w:tcPr>
          <w:p>
            <w:pPr>
              <w:spacing w:after="0"/>
              <w:rPr>
                <w:sz w:val="17"/>
                <w:szCs w:val="17"/>
                <w:color w:val="auto"/>
              </w:rPr>
            </w:pPr>
          </w:p>
        </w:tc>
        <w:tc>
          <w:tcPr>
            <w:tcW w:w="380" w:type="dxa"/>
            <w:vAlign w:val="bottom"/>
            <w:gridSpan w:val="10"/>
          </w:tcPr>
          <w:p>
            <w:pPr>
              <w:spacing w:after="0"/>
              <w:rPr>
                <w:sz w:val="17"/>
                <w:szCs w:val="17"/>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4.17</w:t>
            </w:r>
          </w:p>
        </w:tc>
        <w:tc>
          <w:tcPr>
            <w:tcW w:w="360" w:type="dxa"/>
            <w:vAlign w:val="bottom"/>
          </w:tcPr>
          <w:p>
            <w:pPr>
              <w:spacing w:after="0"/>
              <w:rPr>
                <w:sz w:val="19"/>
                <w:szCs w:val="19"/>
                <w:color w:val="auto"/>
              </w:rPr>
            </w:pPr>
          </w:p>
        </w:tc>
        <w:tc>
          <w:tcPr>
            <w:tcW w:w="9660" w:type="dxa"/>
            <w:vAlign w:val="bottom"/>
            <w:gridSpan w:val="22"/>
          </w:tcPr>
          <w:p>
            <w:pPr>
              <w:spacing w:after="0"/>
              <w:rPr>
                <w:rFonts w:ascii="Arial" w:cs="Arial" w:eastAsia="Arial" w:hAnsi="Arial"/>
                <w:sz w:val="18"/>
                <w:szCs w:val="18"/>
                <w:color w:val="0000EE"/>
                <w:w w:val="92"/>
              </w:rPr>
            </w:pPr>
            <w:hyperlink r:id="rId196">
              <w:r>
                <w:rPr>
                  <w:rFonts w:ascii="Arial" w:cs="Arial" w:eastAsia="Arial" w:hAnsi="Arial"/>
                  <w:sz w:val="18"/>
                  <w:szCs w:val="18"/>
                  <w:color w:val="0000EE"/>
                  <w:w w:val="92"/>
                </w:rPr>
                <w:t>Fourth Supplemental Indenture, dated as of May 9, 2017, to the indenture dated as of December 15, 2016, among Uniti Group LP,</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96">
              <w:r>
                <w:rPr>
                  <w:rFonts w:ascii="Arial" w:cs="Arial" w:eastAsia="Arial" w:hAnsi="Arial"/>
                  <w:sz w:val="18"/>
                  <w:szCs w:val="18"/>
                  <w:color w:val="0000EE"/>
                  <w:w w:val="92"/>
                </w:rPr>
                <w:t>Uniti Fiber Holdings Inc., CSL Capital, LLC, Uniti Group Inc., the guarantors named therein and Wells Fargo Bank, National</w:t>
              </w:r>
            </w:hyperlink>
          </w:p>
        </w:tc>
        <w:tc>
          <w:tcPr>
            <w:tcW w:w="300" w:type="dxa"/>
            <w:vAlign w:val="bottom"/>
            <w:tcBorders>
              <w:top w:val="single" w:sz="8" w:color="0000EE"/>
            </w:tcBorders>
            <w:gridSpan w:val="8"/>
          </w:tcPr>
          <w:p>
            <w:pPr>
              <w:spacing w:after="0"/>
              <w:rPr>
                <w:sz w:val="17"/>
                <w:szCs w:val="17"/>
                <w:color w:val="auto"/>
              </w:rPr>
            </w:pPr>
          </w:p>
        </w:tc>
        <w:tc>
          <w:tcPr>
            <w:tcW w:w="30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w w:val="93"/>
              </w:rPr>
            </w:pPr>
            <w:hyperlink r:id="rId196">
              <w:r>
                <w:rPr>
                  <w:rFonts w:ascii="Arial" w:cs="Arial" w:eastAsia="Arial" w:hAnsi="Arial"/>
                  <w:sz w:val="18"/>
                  <w:szCs w:val="18"/>
                  <w:color w:val="0000EE"/>
                  <w:w w:val="93"/>
                </w:rPr>
                <w:t>Association, as trustee, governing the 7.125% Senior Notes due 2024 (incorporated by reference to Exhibit 4.6 to the Company’s</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Current Report on Form 8-K dated and filed with the SEC as of May 9, 2017 (File No. 001-36708))</w:t>
              </w:r>
            </w:hyperlink>
          </w:p>
        </w:tc>
        <w:tc>
          <w:tcPr>
            <w:tcW w:w="2100" w:type="dxa"/>
            <w:vAlign w:val="bottom"/>
            <w:tcBorders>
              <w:top w:val="single" w:sz="8" w:color="0000EE"/>
            </w:tcBorders>
            <w:gridSpan w:val="9"/>
          </w:tcPr>
          <w:p>
            <w:pPr>
              <w:spacing w:after="0"/>
              <w:rPr>
                <w:sz w:val="17"/>
                <w:szCs w:val="17"/>
                <w:color w:val="auto"/>
              </w:rPr>
            </w:pPr>
          </w:p>
        </w:tc>
        <w:tc>
          <w:tcPr>
            <w:tcW w:w="380" w:type="dxa"/>
            <w:vAlign w:val="bottom"/>
            <w:gridSpan w:val="10"/>
          </w:tcPr>
          <w:p>
            <w:pPr>
              <w:spacing w:after="0"/>
              <w:rPr>
                <w:sz w:val="17"/>
                <w:szCs w:val="17"/>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4.18</w:t>
            </w:r>
          </w:p>
        </w:tc>
        <w:tc>
          <w:tcPr>
            <w:tcW w:w="360" w:type="dxa"/>
            <w:vAlign w:val="bottom"/>
          </w:tcPr>
          <w:p>
            <w:pPr>
              <w:spacing w:after="0"/>
              <w:rPr>
                <w:sz w:val="19"/>
                <w:szCs w:val="19"/>
                <w:color w:val="auto"/>
              </w:rPr>
            </w:pPr>
          </w:p>
        </w:tc>
        <w:tc>
          <w:tcPr>
            <w:tcW w:w="9660" w:type="dxa"/>
            <w:vAlign w:val="bottom"/>
            <w:gridSpan w:val="22"/>
          </w:tcPr>
          <w:p>
            <w:pPr>
              <w:spacing w:after="0"/>
              <w:rPr>
                <w:rFonts w:ascii="Arial" w:cs="Arial" w:eastAsia="Arial" w:hAnsi="Arial"/>
                <w:sz w:val="18"/>
                <w:szCs w:val="18"/>
                <w:color w:val="0000EE"/>
                <w:w w:val="92"/>
              </w:rPr>
            </w:pPr>
            <w:hyperlink r:id="rId197">
              <w:r>
                <w:rPr>
                  <w:rFonts w:ascii="Arial" w:cs="Arial" w:eastAsia="Arial" w:hAnsi="Arial"/>
                  <w:sz w:val="18"/>
                  <w:szCs w:val="18"/>
                  <w:color w:val="0000EE"/>
                  <w:w w:val="92"/>
                </w:rPr>
                <w:t>Fifth Supplemental Indenture, dated as of August 11, 2017, among Uniti Group LP, Uniti Fiber Holdings Inc., and CSL Capital, LLC,</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20" w:type="dxa"/>
            <w:vAlign w:val="bottom"/>
            <w:tcBorders>
              <w:top w:val="single" w:sz="8" w:color="0000EE"/>
            </w:tcBorders>
            <w:gridSpan w:val="21"/>
          </w:tcPr>
          <w:p>
            <w:pPr>
              <w:spacing w:after="0" w:line="196" w:lineRule="exact"/>
              <w:rPr>
                <w:rFonts w:ascii="Arial" w:cs="Arial" w:eastAsia="Arial" w:hAnsi="Arial"/>
                <w:sz w:val="18"/>
                <w:szCs w:val="18"/>
                <w:color w:val="0000EE"/>
                <w:w w:val="89"/>
              </w:rPr>
            </w:pPr>
            <w:hyperlink r:id="rId197">
              <w:r>
                <w:rPr>
                  <w:rFonts w:ascii="Arial" w:cs="Arial" w:eastAsia="Arial" w:hAnsi="Arial"/>
                  <w:sz w:val="18"/>
                  <w:szCs w:val="18"/>
                  <w:color w:val="0000EE"/>
                  <w:w w:val="89"/>
                </w:rPr>
                <w:t>as Issuers, the guarantors named therein, and Wells Fargo Bank, National Association, as trustee, relating to the 7.125% Senior Notes</w:t>
              </w:r>
            </w:hyperlink>
          </w:p>
        </w:tc>
        <w:tc>
          <w:tcPr>
            <w:tcW w:w="4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 w:lineRule="exact"/>
        <w:rPr>
          <w:sz w:val="20"/>
          <w:szCs w:val="20"/>
          <w:color w:val="auto"/>
        </w:rPr>
      </w:pPr>
    </w:p>
    <w:p>
      <w:pPr>
        <w:ind w:left="1600" w:right="40"/>
        <w:spacing w:after="0" w:line="277" w:lineRule="auto"/>
        <w:rPr>
          <w:rFonts w:ascii="Arial" w:cs="Arial" w:eastAsia="Arial" w:hAnsi="Arial"/>
          <w:sz w:val="18"/>
          <w:szCs w:val="18"/>
          <w:u w:val="single" w:color="auto"/>
          <w:color w:val="0000EE"/>
        </w:rPr>
      </w:pPr>
      <w:hyperlink r:id="rId197">
        <w:r>
          <w:rPr>
            <w:rFonts w:ascii="Arial" w:cs="Arial" w:eastAsia="Arial" w:hAnsi="Arial"/>
            <w:sz w:val="18"/>
            <w:szCs w:val="18"/>
            <w:u w:val="single" w:color="auto"/>
            <w:color w:val="0000EE"/>
          </w:rPr>
          <w:t>due 2024 (incorporated by reference to Exhibit 4.1 to the Company’s Quarterly Report on Form 10-Q dated and filed with the SEC as</w:t>
        </w:r>
      </w:hyperlink>
      <w:r>
        <w:rPr>
          <w:rFonts w:ascii="Arial" w:cs="Arial" w:eastAsia="Arial" w:hAnsi="Arial"/>
          <w:sz w:val="18"/>
          <w:szCs w:val="18"/>
          <w:u w:val="single" w:color="auto"/>
          <w:color w:val="0000EE"/>
        </w:rPr>
        <w:t xml:space="preserve"> </w:t>
      </w:r>
      <w:hyperlink r:id="rId197">
        <w:r>
          <w:rPr>
            <w:rFonts w:ascii="Arial" w:cs="Arial" w:eastAsia="Arial" w:hAnsi="Arial"/>
            <w:sz w:val="18"/>
            <w:szCs w:val="18"/>
            <w:u w:val="single" w:color="auto"/>
            <w:color w:val="0000EE"/>
          </w:rPr>
          <w:t>of November 2, 2017 (File No. 001-36708))</w:t>
        </w:r>
      </w:hyperlink>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0"/>
        </w:trPr>
        <w:tc>
          <w:tcPr>
            <w:tcW w:w="1600" w:type="dxa"/>
            <w:vAlign w:val="bottom"/>
            <w:gridSpan w:val="2"/>
          </w:tcPr>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tc>
        <w:tc>
          <w:tcPr>
            <w:tcW w:w="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4"/>
        </w:trPr>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 No.</w:t>
            </w: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60" w:type="dxa"/>
            <w:vAlign w:val="bottom"/>
            <w:gridSpan w:val="19"/>
          </w:tcPr>
          <w:p>
            <w:pPr>
              <w:ind w:left="98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2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4.19</w:t>
            </w:r>
          </w:p>
        </w:tc>
        <w:tc>
          <w:tcPr>
            <w:tcW w:w="360" w:type="dxa"/>
            <w:vAlign w:val="bottom"/>
          </w:tcPr>
          <w:p>
            <w:pPr>
              <w:spacing w:after="0"/>
              <w:rPr>
                <w:sz w:val="16"/>
                <w:szCs w:val="16"/>
                <w:color w:val="auto"/>
              </w:rPr>
            </w:pPr>
          </w:p>
        </w:tc>
        <w:tc>
          <w:tcPr>
            <w:tcW w:w="9400" w:type="dxa"/>
            <w:vAlign w:val="bottom"/>
            <w:tcBorders>
              <w:top w:val="single" w:sz="8" w:color="auto"/>
              <w:bottom w:val="single" w:sz="8" w:color="0000EE"/>
            </w:tcBorders>
            <w:gridSpan w:val="13"/>
          </w:tcPr>
          <w:p>
            <w:pPr>
              <w:spacing w:after="0" w:line="189"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Indenture, dated as of June 28, 2019, among Uniti Fiber Holdings, Inc., as issuer, Uniti Group Inc. and the other guarantors named</w:t>
              </w:r>
            </w:hyperlink>
          </w:p>
        </w:tc>
        <w:tc>
          <w:tcPr>
            <w:tcW w:w="260" w:type="dxa"/>
            <w:vAlign w:val="bottom"/>
            <w:tcBorders>
              <w:top w:val="single" w:sz="8" w:color="auto"/>
            </w:tcBorders>
            <w:gridSpan w:val="9"/>
          </w:tcPr>
          <w:p>
            <w:pPr>
              <w:spacing w:after="0"/>
              <w:rPr>
                <w:sz w:val="16"/>
                <w:szCs w:val="16"/>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w w:val="89"/>
              </w:rPr>
            </w:pPr>
            <w:hyperlink r:id="rId199">
              <w:r>
                <w:rPr>
                  <w:rFonts w:ascii="Arial" w:cs="Arial" w:eastAsia="Arial" w:hAnsi="Arial"/>
                  <w:sz w:val="18"/>
                  <w:szCs w:val="18"/>
                  <w:color w:val="0000EE"/>
                  <w:w w:val="89"/>
                </w:rPr>
                <w:t>therein, as guarantors, and Deutsche Bank Trust Company Americas, as trustee, governing the 4.00% Exchangeable Senior Notes due</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20" w:type="dxa"/>
            <w:vAlign w:val="bottom"/>
            <w:tcBorders>
              <w:top w:val="single" w:sz="8" w:color="0000EE"/>
            </w:tcBorders>
            <w:gridSpan w:val="20"/>
          </w:tcPr>
          <w:p>
            <w:pPr>
              <w:spacing w:after="0" w:line="196"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2024 (incorporated by reference to Exhibit 4.1 to the Company’s Current Report on Form 8-K dated June 25, 2019 and filed with the</w:t>
              </w:r>
            </w:hyperlink>
          </w:p>
        </w:tc>
        <w:tc>
          <w:tcPr>
            <w:tcW w:w="4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SEC as of June 28, 2019 (File No. 001-36708))</w:t>
              </w:r>
            </w:hyperlink>
          </w:p>
        </w:tc>
        <w:tc>
          <w:tcPr>
            <w:tcW w:w="100" w:type="dxa"/>
            <w:vAlign w:val="bottom"/>
            <w:gridSpan w:val="4"/>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4.20</w:t>
            </w:r>
          </w:p>
        </w:tc>
        <w:tc>
          <w:tcPr>
            <w:tcW w:w="360" w:type="dxa"/>
            <w:vAlign w:val="bottom"/>
          </w:tcPr>
          <w:p>
            <w:pPr>
              <w:spacing w:after="0"/>
              <w:rPr>
                <w:sz w:val="19"/>
                <w:szCs w:val="19"/>
                <w:color w:val="auto"/>
              </w:rPr>
            </w:pPr>
          </w:p>
        </w:tc>
        <w:tc>
          <w:tcPr>
            <w:tcW w:w="9660" w:type="dxa"/>
            <w:vAlign w:val="bottom"/>
            <w:gridSpan w:val="22"/>
          </w:tcPr>
          <w:p>
            <w:pPr>
              <w:spacing w:after="0"/>
              <w:rPr>
                <w:rFonts w:ascii="Arial" w:cs="Arial" w:eastAsia="Arial" w:hAnsi="Arial"/>
                <w:sz w:val="18"/>
                <w:szCs w:val="18"/>
                <w:color w:val="0000EE"/>
                <w:w w:val="91"/>
              </w:rPr>
            </w:pPr>
            <w:hyperlink r:id="rId199">
              <w:r>
                <w:rPr>
                  <w:rFonts w:ascii="Arial" w:cs="Arial" w:eastAsia="Arial" w:hAnsi="Arial"/>
                  <w:sz w:val="18"/>
                  <w:szCs w:val="18"/>
                  <w:color w:val="0000EE"/>
                  <w:w w:val="91"/>
                </w:rPr>
                <w:t>Form of 4.00% Exchangeable Senior Notes due 2024 (included in Exhibit 4.20 above) (incorporated by reference to Exhibit 4.2 to the</w:t>
              </w:r>
            </w:hyperlink>
          </w:p>
        </w:tc>
      </w:tr>
      <w:tr>
        <w:trPr>
          <w:trHeight w:val="237"/>
        </w:trPr>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40" w:type="dxa"/>
            <w:vAlign w:val="bottom"/>
            <w:tcBorders>
              <w:top w:val="single" w:sz="8" w:color="0000EE"/>
            </w:tcBorders>
            <w:gridSpan w:val="21"/>
          </w:tcPr>
          <w:p>
            <w:pPr>
              <w:spacing w:after="0"/>
              <w:rPr>
                <w:rFonts w:ascii="Arial" w:cs="Arial" w:eastAsia="Arial" w:hAnsi="Arial"/>
                <w:sz w:val="18"/>
                <w:szCs w:val="18"/>
                <w:u w:val="single" w:color="auto"/>
                <w:color w:val="0000EE"/>
                <w:w w:val="95"/>
              </w:rPr>
            </w:pPr>
            <w:hyperlink r:id="rId199">
              <w:r>
                <w:rPr>
                  <w:rFonts w:ascii="Arial" w:cs="Arial" w:eastAsia="Arial" w:hAnsi="Arial"/>
                  <w:sz w:val="18"/>
                  <w:szCs w:val="18"/>
                  <w:u w:val="single" w:color="auto"/>
                  <w:color w:val="0000EE"/>
                  <w:w w:val="95"/>
                </w:rPr>
                <w:t>Company’s Current Report on Form 8-K dated June 25, 2019 and filed with the SEC as of June 28, 2019 (File No. 001-36708))</w:t>
              </w:r>
            </w:hyperlink>
          </w:p>
        </w:tc>
        <w:tc>
          <w:tcPr>
            <w:tcW w:w="20" w:type="dxa"/>
            <w:vAlign w:val="bottom"/>
          </w:tcPr>
          <w:p>
            <w:pPr>
              <w:spacing w:after="0"/>
              <w:rPr>
                <w:sz w:val="20"/>
                <w:szCs w:val="20"/>
                <w:color w:val="auto"/>
              </w:rPr>
            </w:pPr>
          </w:p>
        </w:tc>
      </w:tr>
      <w:tr>
        <w:trPr>
          <w:trHeight w:val="202"/>
        </w:trPr>
        <w:tc>
          <w:tcPr>
            <w:tcW w:w="1240" w:type="dxa"/>
            <w:vAlign w:val="bottom"/>
          </w:tcPr>
          <w:p>
            <w:pPr>
              <w:spacing w:after="0" w:line="202" w:lineRule="exact"/>
              <w:rPr>
                <w:sz w:val="20"/>
                <w:szCs w:val="20"/>
                <w:color w:val="auto"/>
              </w:rPr>
            </w:pPr>
            <w:r>
              <w:rPr>
                <w:rFonts w:ascii="Arial" w:cs="Arial" w:eastAsia="Arial" w:hAnsi="Arial"/>
                <w:sz w:val="18"/>
                <w:szCs w:val="18"/>
                <w:color w:val="auto"/>
              </w:rPr>
              <w:t>4.21</w:t>
            </w:r>
          </w:p>
        </w:tc>
        <w:tc>
          <w:tcPr>
            <w:tcW w:w="360" w:type="dxa"/>
            <w:vAlign w:val="bottom"/>
          </w:tcPr>
          <w:p>
            <w:pPr>
              <w:spacing w:after="0"/>
              <w:rPr>
                <w:sz w:val="17"/>
                <w:szCs w:val="17"/>
                <w:color w:val="auto"/>
              </w:rPr>
            </w:pPr>
          </w:p>
        </w:tc>
        <w:tc>
          <w:tcPr>
            <w:tcW w:w="9560" w:type="dxa"/>
            <w:vAlign w:val="bottom"/>
            <w:tcBorders>
              <w:bottom w:val="single" w:sz="8" w:color="0000EE"/>
            </w:tcBorders>
            <w:gridSpan w:val="18"/>
          </w:tcPr>
          <w:p>
            <w:pPr>
              <w:spacing w:after="0" w:line="202" w:lineRule="exact"/>
              <w:rPr>
                <w:rFonts w:ascii="Arial" w:cs="Arial" w:eastAsia="Arial" w:hAnsi="Arial"/>
                <w:sz w:val="18"/>
                <w:szCs w:val="18"/>
                <w:color w:val="0000EE"/>
                <w:w w:val="90"/>
              </w:rPr>
            </w:pPr>
            <w:hyperlink r:id="rId200">
              <w:r>
                <w:rPr>
                  <w:rFonts w:ascii="Arial" w:cs="Arial" w:eastAsia="Arial" w:hAnsi="Arial"/>
                  <w:sz w:val="18"/>
                  <w:szCs w:val="18"/>
                  <w:color w:val="0000EE"/>
                  <w:w w:val="90"/>
                </w:rPr>
                <w:t>Description of the Registrant’s Securities Registered Pursuant to Section 12 of the Securities Exchange Act of 1934 (incorporated by</w:t>
              </w:r>
            </w:hyperlink>
          </w:p>
        </w:tc>
        <w:tc>
          <w:tcPr>
            <w:tcW w:w="100" w:type="dxa"/>
            <w:vAlign w:val="bottom"/>
            <w:gridSpan w:val="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w w:val="95"/>
              </w:rPr>
            </w:pPr>
            <w:hyperlink r:id="rId200">
              <w:r>
                <w:rPr>
                  <w:rFonts w:ascii="Arial" w:cs="Arial" w:eastAsia="Arial" w:hAnsi="Arial"/>
                  <w:sz w:val="18"/>
                  <w:szCs w:val="18"/>
                  <w:color w:val="0000EE"/>
                  <w:w w:val="95"/>
                </w:rPr>
                <w:t>reference to Exhibit 4.22 to the Company’s Annual Report on Form 10-K filed with the SEC as of March 12, 2020 (File No. 001-</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200">
              <w:r>
                <w:rPr>
                  <w:rFonts w:ascii="Arial" w:cs="Arial" w:eastAsia="Arial" w:hAnsi="Arial"/>
                  <w:sz w:val="18"/>
                  <w:szCs w:val="18"/>
                  <w:color w:val="0000EE"/>
                  <w:w w:val="90"/>
                </w:rPr>
                <w:t>36708)</w:t>
              </w:r>
              <w:r>
                <w:rPr>
                  <w:rFonts w:ascii="Arial" w:cs="Arial" w:eastAsia="Arial" w:hAnsi="Arial"/>
                  <w:sz w:val="18"/>
                  <w:szCs w:val="18"/>
                  <w:u w:val="single" w:color="auto"/>
                  <w:color w:val="0000EE"/>
                  <w:w w:val="90"/>
                </w:rPr>
                <w:t>)</w:t>
              </w:r>
            </w:hyperlink>
          </w:p>
        </w:tc>
        <w:tc>
          <w:tcPr>
            <w:tcW w:w="160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4.22</w:t>
            </w:r>
          </w:p>
        </w:tc>
        <w:tc>
          <w:tcPr>
            <w:tcW w:w="360" w:type="dxa"/>
            <w:vAlign w:val="bottom"/>
          </w:tcPr>
          <w:p>
            <w:pPr>
              <w:spacing w:after="0"/>
              <w:rPr>
                <w:sz w:val="19"/>
                <w:szCs w:val="19"/>
                <w:color w:val="auto"/>
              </w:rPr>
            </w:pPr>
          </w:p>
        </w:tc>
        <w:tc>
          <w:tcPr>
            <w:tcW w:w="9300" w:type="dxa"/>
            <w:vAlign w:val="bottom"/>
            <w:tcBorders>
              <w:bottom w:val="single" w:sz="8" w:color="0000EE"/>
            </w:tcBorders>
            <w:gridSpan w:val="11"/>
          </w:tcPr>
          <w:p>
            <w:pPr>
              <w:spacing w:after="0"/>
              <w:rPr>
                <w:rFonts w:ascii="Arial" w:cs="Arial" w:eastAsia="Arial" w:hAnsi="Arial"/>
                <w:sz w:val="18"/>
                <w:szCs w:val="18"/>
                <w:color w:val="0000EE"/>
                <w:w w:val="91"/>
              </w:rPr>
            </w:pPr>
            <w:hyperlink r:id="rId201">
              <w:r>
                <w:rPr>
                  <w:rFonts w:ascii="Arial" w:cs="Arial" w:eastAsia="Arial" w:hAnsi="Arial"/>
                  <w:sz w:val="18"/>
                  <w:szCs w:val="18"/>
                  <w:color w:val="0000EE"/>
                  <w:w w:val="91"/>
                </w:rPr>
                <w:t>Indenture, dated as of February 10, 2020, among Uniti Group LP, Uniti Fiber Holdings Inc., Uniti Group Finance 2019 Inc., CSL</w:t>
              </w:r>
            </w:hyperlink>
          </w:p>
        </w:tc>
        <w:tc>
          <w:tcPr>
            <w:tcW w:w="360" w:type="dxa"/>
            <w:vAlign w:val="bottom"/>
            <w:gridSpan w:val="11"/>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201">
              <w:r>
                <w:rPr>
                  <w:rFonts w:ascii="Arial" w:cs="Arial" w:eastAsia="Arial" w:hAnsi="Arial"/>
                  <w:sz w:val="18"/>
                  <w:szCs w:val="18"/>
                  <w:color w:val="0000EE"/>
                  <w:w w:val="89"/>
                </w:rPr>
                <w:t>Capital, LLC, the guarantors named therein, and Deutsche Bank Trust Company Americas, as trustee and collateral agent, governing</w:t>
              </w:r>
            </w:hyperlink>
          </w:p>
        </w:tc>
        <w:tc>
          <w:tcPr>
            <w:tcW w:w="100" w:type="dxa"/>
            <w:vAlign w:val="bottom"/>
            <w:gridSpan w:val="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w w:val="91"/>
              </w:rPr>
            </w:pPr>
            <w:hyperlink r:id="rId201">
              <w:r>
                <w:rPr>
                  <w:rFonts w:ascii="Arial" w:cs="Arial" w:eastAsia="Arial" w:hAnsi="Arial"/>
                  <w:sz w:val="18"/>
                  <w:szCs w:val="18"/>
                  <w:color w:val="0000EE"/>
                  <w:w w:val="91"/>
                </w:rPr>
                <w:t>the 7.875% Senior Secured Notes due 2025 (incorporated by reference to Exhibit 4.1 to the Company’s Current Report on Form 8-K</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filed with the SEC on February 10, 2020 (File No. 001-36708))</w:t>
              </w:r>
            </w:hyperlink>
          </w:p>
        </w:tc>
        <w:tc>
          <w:tcPr>
            <w:tcW w:w="120" w:type="dxa"/>
            <w:vAlign w:val="bottom"/>
            <w:gridSpan w:val="5"/>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4.23</w:t>
            </w:r>
          </w:p>
        </w:tc>
        <w:tc>
          <w:tcPr>
            <w:tcW w:w="360" w:type="dxa"/>
            <w:vAlign w:val="bottom"/>
          </w:tcPr>
          <w:p>
            <w:pPr>
              <w:spacing w:after="0"/>
              <w:rPr>
                <w:sz w:val="19"/>
                <w:szCs w:val="19"/>
                <w:color w:val="auto"/>
              </w:rPr>
            </w:pPr>
          </w:p>
        </w:tc>
        <w:tc>
          <w:tcPr>
            <w:tcW w:w="9660" w:type="dxa"/>
            <w:vAlign w:val="bottom"/>
            <w:gridSpan w:val="22"/>
          </w:tcPr>
          <w:p>
            <w:pPr>
              <w:spacing w:after="0"/>
              <w:rPr>
                <w:rFonts w:ascii="Arial" w:cs="Arial" w:eastAsia="Arial" w:hAnsi="Arial"/>
                <w:sz w:val="18"/>
                <w:szCs w:val="18"/>
                <w:color w:val="0000EE"/>
                <w:w w:val="94"/>
              </w:rPr>
            </w:pPr>
            <w:hyperlink r:id="rId201">
              <w:r>
                <w:rPr>
                  <w:rFonts w:ascii="Arial" w:cs="Arial" w:eastAsia="Arial" w:hAnsi="Arial"/>
                  <w:sz w:val="18"/>
                  <w:szCs w:val="18"/>
                  <w:color w:val="0000EE"/>
                  <w:w w:val="94"/>
                </w:rPr>
                <w:t>Form of 7.875% Senior Secured Notes due 2025 (included in Exhibit 4.23 above) (incorporated by reference to Exhibit 4.2 to the</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Company’s Current Report on Form 8-K filed with the SEC on February 10, 2020 (File No. 001-36708))</w:t>
              </w:r>
            </w:hyperlink>
          </w:p>
        </w:tc>
        <w:tc>
          <w:tcPr>
            <w:tcW w:w="360" w:type="dxa"/>
            <w:vAlign w:val="bottom"/>
            <w:gridSpan w:val="11"/>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4.24</w:t>
            </w:r>
          </w:p>
        </w:tc>
        <w:tc>
          <w:tcPr>
            <w:tcW w:w="360" w:type="dxa"/>
            <w:vAlign w:val="bottom"/>
          </w:tcPr>
          <w:p>
            <w:pPr>
              <w:spacing w:after="0"/>
              <w:rPr>
                <w:sz w:val="19"/>
                <w:szCs w:val="19"/>
                <w:color w:val="auto"/>
              </w:rPr>
            </w:pPr>
          </w:p>
        </w:tc>
        <w:tc>
          <w:tcPr>
            <w:tcW w:w="9660" w:type="dxa"/>
            <w:vAlign w:val="bottom"/>
            <w:gridSpan w:val="22"/>
          </w:tcPr>
          <w:p>
            <w:pPr>
              <w:spacing w:after="0"/>
              <w:rPr>
                <w:rFonts w:ascii="Arial" w:cs="Arial" w:eastAsia="Arial" w:hAnsi="Arial"/>
                <w:sz w:val="18"/>
                <w:szCs w:val="18"/>
                <w:color w:val="0000EE"/>
                <w:w w:val="92"/>
              </w:rPr>
            </w:pPr>
            <w:hyperlink r:id="rId202">
              <w:r>
                <w:rPr>
                  <w:rFonts w:ascii="Arial" w:cs="Arial" w:eastAsia="Arial" w:hAnsi="Arial"/>
                  <w:sz w:val="18"/>
                  <w:szCs w:val="18"/>
                  <w:color w:val="0000EE"/>
                  <w:w w:val="92"/>
                </w:rPr>
                <w:t>Indenture, dated February 2, 2021, by and among Uniti Group LP, Uniti Group Finance 2019 Inc. and CSL Capital, LLC, as Issuers,</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20" w:type="dxa"/>
            <w:vAlign w:val="bottom"/>
            <w:tcBorders>
              <w:top w:val="single" w:sz="8" w:color="0000EE"/>
            </w:tcBorders>
            <w:gridSpan w:val="16"/>
          </w:tcPr>
          <w:p>
            <w:pPr>
              <w:spacing w:after="0" w:line="196" w:lineRule="exact"/>
              <w:rPr>
                <w:rFonts w:ascii="Arial" w:cs="Arial" w:eastAsia="Arial" w:hAnsi="Arial"/>
                <w:sz w:val="18"/>
                <w:szCs w:val="18"/>
                <w:color w:val="0000EE"/>
                <w:w w:val="89"/>
              </w:rPr>
            </w:pPr>
            <w:hyperlink r:id="rId202">
              <w:r>
                <w:rPr>
                  <w:rFonts w:ascii="Arial" w:cs="Arial" w:eastAsia="Arial" w:hAnsi="Arial"/>
                  <w:sz w:val="18"/>
                  <w:szCs w:val="18"/>
                  <w:color w:val="0000EE"/>
                  <w:w w:val="89"/>
                </w:rPr>
                <w:t>the guarantors party thereto and Deutsche Bank Trust Company Americas, as trustee, governing the 6.500% Senior Notes due 2029</w:t>
              </w:r>
            </w:hyperlink>
          </w:p>
        </w:tc>
        <w:tc>
          <w:tcPr>
            <w:tcW w:w="140" w:type="dxa"/>
            <w:vAlign w:val="bottom"/>
            <w:gridSpan w:val="6"/>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w w:val="92"/>
              </w:rPr>
            </w:pPr>
            <w:hyperlink r:id="rId202">
              <w:r>
                <w:rPr>
                  <w:rFonts w:ascii="Arial" w:cs="Arial" w:eastAsia="Arial" w:hAnsi="Arial"/>
                  <w:sz w:val="18"/>
                  <w:szCs w:val="18"/>
                  <w:color w:val="0000EE"/>
                  <w:w w:val="92"/>
                </w:rPr>
                <w:t>(incorporated by reference to Exhibit 4.1 to the Company’s Current Report on Form 8-K dated and filed with the SEC as of February</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202">
              <w:r>
                <w:rPr>
                  <w:rFonts w:ascii="Arial" w:cs="Arial" w:eastAsia="Arial" w:hAnsi="Arial"/>
                  <w:sz w:val="18"/>
                  <w:szCs w:val="18"/>
                  <w:color w:val="0000EE"/>
                  <w:w w:val="91"/>
                </w:rPr>
                <w:t>2, 2021 (File No. 001-36708))</w:t>
              </w:r>
            </w:hyperlink>
          </w:p>
        </w:tc>
        <w:tc>
          <w:tcPr>
            <w:tcW w:w="7380" w:type="dxa"/>
            <w:vAlign w:val="bottom"/>
            <w:tcBorders>
              <w:top w:val="single" w:sz="8" w:color="0000EE"/>
            </w:tcBorders>
            <w:gridSpan w:val="16"/>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4.25</w:t>
            </w:r>
          </w:p>
        </w:tc>
        <w:tc>
          <w:tcPr>
            <w:tcW w:w="360" w:type="dxa"/>
            <w:vAlign w:val="bottom"/>
          </w:tcPr>
          <w:p>
            <w:pPr>
              <w:spacing w:after="0"/>
              <w:rPr>
                <w:sz w:val="19"/>
                <w:szCs w:val="19"/>
                <w:color w:val="auto"/>
              </w:rPr>
            </w:pPr>
          </w:p>
        </w:tc>
        <w:tc>
          <w:tcPr>
            <w:tcW w:w="9080" w:type="dxa"/>
            <w:vAlign w:val="bottom"/>
            <w:tcBorders>
              <w:bottom w:val="single" w:sz="8" w:color="0000EE"/>
            </w:tcBorders>
            <w:gridSpan w:val="9"/>
          </w:tcPr>
          <w:p>
            <w:pPr>
              <w:spacing w:after="0"/>
              <w:rPr>
                <w:rFonts w:ascii="Arial" w:cs="Arial" w:eastAsia="Arial" w:hAnsi="Arial"/>
                <w:sz w:val="18"/>
                <w:szCs w:val="18"/>
                <w:color w:val="0000EE"/>
                <w:w w:val="91"/>
              </w:rPr>
            </w:pPr>
            <w:hyperlink r:id="rId202">
              <w:r>
                <w:rPr>
                  <w:rFonts w:ascii="Arial" w:cs="Arial" w:eastAsia="Arial" w:hAnsi="Arial"/>
                  <w:sz w:val="18"/>
                  <w:szCs w:val="18"/>
                  <w:color w:val="0000EE"/>
                  <w:w w:val="91"/>
                </w:rPr>
                <w:t>Form of 6.500% Senior Notes due 2029 (included in Exhibit 4.24) (incorporated by reference to Exhibit 4.2 to the Company’s</w:t>
              </w:r>
            </w:hyperlink>
          </w:p>
        </w:tc>
        <w:tc>
          <w:tcPr>
            <w:tcW w:w="580" w:type="dxa"/>
            <w:vAlign w:val="bottom"/>
            <w:gridSpan w:val="13"/>
          </w:tcPr>
          <w:p>
            <w:pPr>
              <w:spacing w:after="0"/>
              <w:rPr>
                <w:sz w:val="19"/>
                <w:szCs w:val="19"/>
                <w:color w:val="auto"/>
              </w:rPr>
            </w:pPr>
          </w:p>
        </w:tc>
      </w:tr>
      <w:tr>
        <w:trPr>
          <w:trHeight w:val="237"/>
        </w:trPr>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60" w:type="dxa"/>
            <w:vAlign w:val="bottom"/>
            <w:gridSpan w:val="22"/>
          </w:tcPr>
          <w:p>
            <w:pPr>
              <w:spacing w:after="0"/>
              <w:rPr>
                <w:rFonts w:ascii="Arial" w:cs="Arial" w:eastAsia="Arial" w:hAnsi="Arial"/>
                <w:sz w:val="18"/>
                <w:szCs w:val="18"/>
                <w:u w:val="single" w:color="auto"/>
                <w:color w:val="0000EE"/>
              </w:rPr>
            </w:pPr>
            <w:hyperlink r:id="rId202">
              <w:r>
                <w:rPr>
                  <w:rFonts w:ascii="Arial" w:cs="Arial" w:eastAsia="Arial" w:hAnsi="Arial"/>
                  <w:sz w:val="18"/>
                  <w:szCs w:val="18"/>
                  <w:u w:val="single" w:color="auto"/>
                  <w:color w:val="0000EE"/>
                </w:rPr>
                <w:t>Current Report on Form 8-K dated and filed with the SEC as of February 2, 2021 (File No. 001-36708))</w:t>
              </w:r>
            </w:hyperlink>
          </w:p>
        </w:tc>
      </w:tr>
      <w:tr>
        <w:trPr>
          <w:trHeight w:val="203"/>
        </w:trPr>
        <w:tc>
          <w:tcPr>
            <w:tcW w:w="1240" w:type="dxa"/>
            <w:vAlign w:val="bottom"/>
          </w:tcPr>
          <w:p>
            <w:pPr>
              <w:spacing w:after="0" w:line="202" w:lineRule="exact"/>
              <w:rPr>
                <w:sz w:val="20"/>
                <w:szCs w:val="20"/>
                <w:color w:val="auto"/>
              </w:rPr>
            </w:pPr>
            <w:r>
              <w:rPr>
                <w:rFonts w:ascii="Arial" w:cs="Arial" w:eastAsia="Arial" w:hAnsi="Arial"/>
                <w:sz w:val="18"/>
                <w:szCs w:val="18"/>
                <w:color w:val="auto"/>
              </w:rPr>
              <w:t>10.1</w:t>
            </w:r>
          </w:p>
        </w:tc>
        <w:tc>
          <w:tcPr>
            <w:tcW w:w="360" w:type="dxa"/>
            <w:vAlign w:val="bottom"/>
          </w:tcPr>
          <w:p>
            <w:pPr>
              <w:spacing w:after="0"/>
              <w:rPr>
                <w:sz w:val="17"/>
                <w:szCs w:val="17"/>
                <w:color w:val="auto"/>
              </w:rPr>
            </w:pPr>
          </w:p>
        </w:tc>
        <w:tc>
          <w:tcPr>
            <w:tcW w:w="9480" w:type="dxa"/>
            <w:vAlign w:val="bottom"/>
            <w:tcBorders>
              <w:bottom w:val="single" w:sz="8" w:color="0000EE"/>
            </w:tcBorders>
            <w:gridSpan w:val="15"/>
          </w:tcPr>
          <w:p>
            <w:pPr>
              <w:spacing w:after="0" w:line="202" w:lineRule="exact"/>
              <w:rPr>
                <w:rFonts w:ascii="Arial" w:cs="Arial" w:eastAsia="Arial" w:hAnsi="Arial"/>
                <w:sz w:val="18"/>
                <w:szCs w:val="18"/>
                <w:color w:val="0000EE"/>
                <w:w w:val="90"/>
              </w:rPr>
            </w:pPr>
            <w:hyperlink r:id="rId203">
              <w:r>
                <w:rPr>
                  <w:rFonts w:ascii="Arial" w:cs="Arial" w:eastAsia="Arial" w:hAnsi="Arial"/>
                  <w:sz w:val="18"/>
                  <w:szCs w:val="18"/>
                  <w:color w:val="0000EE"/>
                  <w:w w:val="90"/>
                </w:rPr>
                <w:t>Settlement Agreement, dated as of May 12, 2020 by and among Windstream Holdings, Inc., Windstream Services, LLC and certain</w:t>
              </w:r>
            </w:hyperlink>
          </w:p>
        </w:tc>
        <w:tc>
          <w:tcPr>
            <w:tcW w:w="18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of their subsidiaries, and Uniti Group Inc. and certain of its subsidiaries (incorporated by reference to Exhibit 10.1 to the Company’s</w:t>
              </w:r>
            </w:hyperlink>
          </w:p>
        </w:tc>
        <w:tc>
          <w:tcPr>
            <w:tcW w:w="120" w:type="dxa"/>
            <w:vAlign w:val="bottom"/>
            <w:gridSpan w:val="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2"/>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Current Report on Form 8-K filed with the SEC on May 15, 2020 (File No. 001-36708))</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0" w:type="dxa"/>
            <w:vAlign w:val="bottom"/>
            <w:gridSpan w:val="5"/>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9"/>
                <w:szCs w:val="19"/>
                <w:color w:val="auto"/>
              </w:rPr>
            </w:pPr>
          </w:p>
        </w:tc>
        <w:tc>
          <w:tcPr>
            <w:tcW w:w="9660" w:type="dxa"/>
            <w:vAlign w:val="bottom"/>
            <w:gridSpan w:val="22"/>
          </w:tcPr>
          <w:p>
            <w:pPr>
              <w:spacing w:after="0"/>
              <w:rPr>
                <w:rFonts w:ascii="Arial" w:cs="Arial" w:eastAsia="Arial" w:hAnsi="Arial"/>
                <w:sz w:val="18"/>
                <w:szCs w:val="18"/>
                <w:color w:val="0000EE"/>
                <w:w w:val="91"/>
              </w:rPr>
            </w:pPr>
            <w:hyperlink r:id="rId204">
              <w:r>
                <w:rPr>
                  <w:rFonts w:ascii="Arial" w:cs="Arial" w:eastAsia="Arial" w:hAnsi="Arial"/>
                  <w:sz w:val="18"/>
                  <w:szCs w:val="18"/>
                  <w:color w:val="0000EE"/>
                  <w:w w:val="91"/>
                </w:rPr>
                <w:t>Amended and Restated ILEC Master Lease, entered into as of September 18, 2020, by and between CSL National, LP and the other</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entities listed therein, as Landlord, and Windstream Holdings II, LLC (as successor in interest to Windstream Holdings, Inc.),</w:t>
              </w:r>
            </w:hyperlink>
          </w:p>
        </w:tc>
        <w:tc>
          <w:tcPr>
            <w:tcW w:w="440" w:type="dxa"/>
            <w:vAlign w:val="bottom"/>
            <w:tcBorders>
              <w:top w:val="single" w:sz="8" w:color="0000EE"/>
            </w:tcBorders>
            <w:gridSpan w:val="7"/>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Windstream Services II, LLC (as successor in interest to Windstream Services, LLC) and the other entities listed therein, as Tenant</w:t>
              </w:r>
            </w:hyperlink>
          </w:p>
        </w:tc>
        <w:tc>
          <w:tcPr>
            <w:tcW w:w="200" w:type="dxa"/>
            <w:vAlign w:val="bottom"/>
            <w:gridSpan w:val="8"/>
          </w:tcPr>
          <w:p>
            <w:pPr>
              <w:spacing w:after="0"/>
              <w:rPr>
                <w:sz w:val="17"/>
                <w:szCs w:val="17"/>
                <w:color w:val="auto"/>
              </w:rPr>
            </w:pPr>
          </w:p>
        </w:tc>
      </w:tr>
      <w:tr>
        <w:trPr>
          <w:trHeight w:val="222"/>
        </w:trPr>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60" w:type="dxa"/>
            <w:vAlign w:val="bottom"/>
            <w:gridSpan w:val="22"/>
          </w:tcPr>
          <w:p>
            <w:pPr>
              <w:spacing w:after="0"/>
              <w:rPr>
                <w:rFonts w:ascii="Arial" w:cs="Arial" w:eastAsia="Arial" w:hAnsi="Arial"/>
                <w:sz w:val="18"/>
                <w:szCs w:val="18"/>
                <w:u w:val="single" w:color="auto"/>
                <w:color w:val="0000EE"/>
                <w:w w:val="95"/>
              </w:rPr>
            </w:pPr>
            <w:hyperlink r:id="rId204">
              <w:r>
                <w:rPr>
                  <w:rFonts w:ascii="Arial" w:cs="Arial" w:eastAsia="Arial" w:hAnsi="Arial"/>
                  <w:sz w:val="18"/>
                  <w:szCs w:val="18"/>
                  <w:u w:val="single" w:color="auto"/>
                  <w:color w:val="0000EE"/>
                  <w:w w:val="95"/>
                </w:rPr>
                <w:t>(incorporated by reference to Exhibit 10.1 to the Company’s Quarterly Report on Form 10-Q filed with the SEC on November 9,</w:t>
              </w:r>
            </w:hyperlink>
          </w:p>
        </w:tc>
      </w:tr>
      <w:tr>
        <w:trPr>
          <w:trHeight w:val="230"/>
        </w:trPr>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60" w:type="dxa"/>
            <w:vAlign w:val="bottom"/>
            <w:gridSpan w:val="22"/>
          </w:tcPr>
          <w:p>
            <w:pPr>
              <w:spacing w:after="0"/>
              <w:rPr>
                <w:rFonts w:ascii="Arial" w:cs="Arial" w:eastAsia="Arial" w:hAnsi="Arial"/>
                <w:sz w:val="18"/>
                <w:szCs w:val="18"/>
                <w:u w:val="single" w:color="auto"/>
                <w:color w:val="0000EE"/>
              </w:rPr>
            </w:pPr>
            <w:hyperlink r:id="rId204">
              <w:r>
                <w:rPr>
                  <w:rFonts w:ascii="Arial" w:cs="Arial" w:eastAsia="Arial" w:hAnsi="Arial"/>
                  <w:sz w:val="18"/>
                  <w:szCs w:val="18"/>
                  <w:u w:val="single" w:color="auto"/>
                  <w:color w:val="0000EE"/>
                </w:rPr>
                <w:t>2020 (File No. 001-36708))</w:t>
              </w:r>
            </w:hyperlink>
          </w:p>
        </w:tc>
      </w:tr>
      <w:tr>
        <w:trPr>
          <w:trHeight w:val="203"/>
        </w:trPr>
        <w:tc>
          <w:tcPr>
            <w:tcW w:w="1240" w:type="dxa"/>
            <w:vAlign w:val="bottom"/>
          </w:tcPr>
          <w:p>
            <w:pPr>
              <w:spacing w:after="0" w:line="202" w:lineRule="exact"/>
              <w:rPr>
                <w:sz w:val="20"/>
                <w:szCs w:val="20"/>
                <w:color w:val="auto"/>
              </w:rPr>
            </w:pPr>
            <w:r>
              <w:rPr>
                <w:rFonts w:ascii="Arial" w:cs="Arial" w:eastAsia="Arial" w:hAnsi="Arial"/>
                <w:sz w:val="18"/>
                <w:szCs w:val="18"/>
                <w:color w:val="auto"/>
              </w:rPr>
              <w:t>10.3</w:t>
            </w:r>
          </w:p>
        </w:tc>
        <w:tc>
          <w:tcPr>
            <w:tcW w:w="360" w:type="dxa"/>
            <w:vAlign w:val="bottom"/>
          </w:tcPr>
          <w:p>
            <w:pPr>
              <w:spacing w:after="0"/>
              <w:rPr>
                <w:sz w:val="17"/>
                <w:szCs w:val="17"/>
                <w:color w:val="auto"/>
              </w:rPr>
            </w:pPr>
          </w:p>
        </w:tc>
        <w:tc>
          <w:tcPr>
            <w:tcW w:w="9660" w:type="dxa"/>
            <w:vAlign w:val="bottom"/>
            <w:gridSpan w:val="22"/>
          </w:tcPr>
          <w:p>
            <w:pPr>
              <w:spacing w:after="0" w:line="202"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Amended and Restated CLEC Master Lease, entered into as of September 18, 2020, by and between CSL National, LP and the other</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entities listed therein, as Landlord, and Windstream Holdings II, LLC (as successor in interest to Windstream Holdings, Inc.),</w:t>
              </w:r>
            </w:hyperlink>
          </w:p>
        </w:tc>
        <w:tc>
          <w:tcPr>
            <w:tcW w:w="500" w:type="dxa"/>
            <w:vAlign w:val="bottom"/>
            <w:tcBorders>
              <w:top w:val="single" w:sz="8" w:color="0000EE"/>
            </w:tcBorders>
            <w:gridSpan w:val="9"/>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Windstream Services II, LLC (as successor in interest to Windstream Services, LLC) and the other entities listed therein, as Tenant</w:t>
              </w:r>
            </w:hyperlink>
          </w:p>
        </w:tc>
        <w:tc>
          <w:tcPr>
            <w:tcW w:w="200" w:type="dxa"/>
            <w:vAlign w:val="bottom"/>
            <w:gridSpan w:val="8"/>
          </w:tcPr>
          <w:p>
            <w:pPr>
              <w:spacing w:after="0"/>
              <w:rPr>
                <w:sz w:val="17"/>
                <w:szCs w:val="17"/>
                <w:color w:val="auto"/>
              </w:rPr>
            </w:pPr>
          </w:p>
        </w:tc>
      </w:tr>
      <w:tr>
        <w:trPr>
          <w:trHeight w:val="222"/>
        </w:trPr>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60" w:type="dxa"/>
            <w:vAlign w:val="bottom"/>
            <w:gridSpan w:val="22"/>
          </w:tcPr>
          <w:p>
            <w:pPr>
              <w:spacing w:after="0"/>
              <w:rPr>
                <w:rFonts w:ascii="Arial" w:cs="Arial" w:eastAsia="Arial" w:hAnsi="Arial"/>
                <w:sz w:val="18"/>
                <w:szCs w:val="18"/>
                <w:u w:val="single" w:color="auto"/>
                <w:color w:val="0000EE"/>
                <w:w w:val="95"/>
              </w:rPr>
            </w:pPr>
            <w:hyperlink r:id="rId204">
              <w:r>
                <w:rPr>
                  <w:rFonts w:ascii="Arial" w:cs="Arial" w:eastAsia="Arial" w:hAnsi="Arial"/>
                  <w:sz w:val="18"/>
                  <w:szCs w:val="18"/>
                  <w:u w:val="single" w:color="auto"/>
                  <w:color w:val="0000EE"/>
                  <w:w w:val="95"/>
                </w:rPr>
                <w:t>(incorporated by reference to Exhibit 10.1 to the Company’s Quarterly Report on Form 10-Q filed with the SEC on November 9,</w:t>
              </w:r>
            </w:hyperlink>
          </w:p>
        </w:tc>
      </w:tr>
      <w:tr>
        <w:trPr>
          <w:trHeight w:val="230"/>
        </w:trPr>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60" w:type="dxa"/>
            <w:vAlign w:val="bottom"/>
            <w:gridSpan w:val="22"/>
          </w:tcPr>
          <w:p>
            <w:pPr>
              <w:spacing w:after="0"/>
              <w:rPr>
                <w:rFonts w:ascii="Arial" w:cs="Arial" w:eastAsia="Arial" w:hAnsi="Arial"/>
                <w:sz w:val="18"/>
                <w:szCs w:val="18"/>
                <w:u w:val="single" w:color="auto"/>
                <w:color w:val="0000EE"/>
              </w:rPr>
            </w:pPr>
            <w:hyperlink r:id="rId204">
              <w:r>
                <w:rPr>
                  <w:rFonts w:ascii="Arial" w:cs="Arial" w:eastAsia="Arial" w:hAnsi="Arial"/>
                  <w:sz w:val="18"/>
                  <w:szCs w:val="18"/>
                  <w:u w:val="single" w:color="auto"/>
                  <w:color w:val="0000EE"/>
                </w:rPr>
                <w:t>2020 (File No. 001-36708))</w:t>
              </w:r>
            </w:hyperlink>
          </w:p>
        </w:tc>
      </w:tr>
      <w:tr>
        <w:trPr>
          <w:trHeight w:val="202"/>
        </w:trPr>
        <w:tc>
          <w:tcPr>
            <w:tcW w:w="1240" w:type="dxa"/>
            <w:vAlign w:val="bottom"/>
          </w:tcPr>
          <w:p>
            <w:pPr>
              <w:spacing w:after="0" w:line="202" w:lineRule="exact"/>
              <w:rPr>
                <w:sz w:val="20"/>
                <w:szCs w:val="20"/>
                <w:color w:val="auto"/>
              </w:rPr>
            </w:pPr>
            <w:r>
              <w:rPr>
                <w:rFonts w:ascii="Arial" w:cs="Arial" w:eastAsia="Arial" w:hAnsi="Arial"/>
                <w:sz w:val="18"/>
                <w:szCs w:val="18"/>
                <w:color w:val="auto"/>
              </w:rPr>
              <w:t>10.4</w:t>
            </w:r>
          </w:p>
        </w:tc>
        <w:tc>
          <w:tcPr>
            <w:tcW w:w="360" w:type="dxa"/>
            <w:vAlign w:val="bottom"/>
          </w:tcPr>
          <w:p>
            <w:pPr>
              <w:spacing w:after="0"/>
              <w:rPr>
                <w:sz w:val="17"/>
                <w:szCs w:val="17"/>
                <w:color w:val="auto"/>
              </w:rPr>
            </w:pPr>
          </w:p>
        </w:tc>
        <w:tc>
          <w:tcPr>
            <w:tcW w:w="9660" w:type="dxa"/>
            <w:vAlign w:val="bottom"/>
            <w:gridSpan w:val="22"/>
          </w:tcPr>
          <w:p>
            <w:pPr>
              <w:spacing w:after="0" w:line="202"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Tax Matters Agreement, entered into as of April 24, 2015, by and among Windstream Holdings, Inc., Windstream Services, LLC and</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80" w:type="dxa"/>
            <w:vAlign w:val="bottom"/>
            <w:tcBorders>
              <w:top w:val="single" w:sz="8" w:color="0000EE"/>
            </w:tcBorders>
            <w:gridSpan w:val="19"/>
          </w:tcPr>
          <w:p>
            <w:pPr>
              <w:spacing w:after="0" w:line="196" w:lineRule="exact"/>
              <w:rPr>
                <w:rFonts w:ascii="Arial" w:cs="Arial" w:eastAsia="Arial" w:hAnsi="Arial"/>
                <w:sz w:val="18"/>
                <w:szCs w:val="18"/>
                <w:color w:val="0000EE"/>
                <w:w w:val="93"/>
              </w:rPr>
            </w:pPr>
            <w:hyperlink r:id="rId205">
              <w:r>
                <w:rPr>
                  <w:rFonts w:ascii="Arial" w:cs="Arial" w:eastAsia="Arial" w:hAnsi="Arial"/>
                  <w:sz w:val="18"/>
                  <w:szCs w:val="18"/>
                  <w:color w:val="0000EE"/>
                  <w:w w:val="93"/>
                </w:rPr>
                <w:t>Communications Sales &amp; Leasing, Inc. (incorporated by reference to Exhibit 10.2 to the Company’s Current Report on Form 8-K</w:t>
              </w:r>
            </w:hyperlink>
          </w:p>
        </w:tc>
        <w:tc>
          <w:tcPr>
            <w:tcW w:w="8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205">
              <w:r>
                <w:rPr>
                  <w:rFonts w:ascii="Arial" w:cs="Arial" w:eastAsia="Arial" w:hAnsi="Arial"/>
                  <w:sz w:val="18"/>
                  <w:szCs w:val="18"/>
                  <w:color w:val="0000EE"/>
                </w:rPr>
                <w:t>dated and filed with the SEC as of April 27, 2015 (File No. 001-36708))</w:t>
              </w:r>
            </w:hyperlink>
          </w:p>
        </w:tc>
        <w:tc>
          <w:tcPr>
            <w:tcW w:w="340" w:type="dxa"/>
            <w:vAlign w:val="bottom"/>
            <w:gridSpan w:val="10"/>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0" w:type="dxa"/>
            <w:vAlign w:val="bottom"/>
            <w:gridSpan w:val="5"/>
            <w:shd w:val="clear" w:color="auto" w:fill="0000EE"/>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9"/>
                <w:szCs w:val="19"/>
                <w:color w:val="auto"/>
              </w:rPr>
            </w:pPr>
          </w:p>
        </w:tc>
        <w:tc>
          <w:tcPr>
            <w:tcW w:w="9160" w:type="dxa"/>
            <w:vAlign w:val="bottom"/>
            <w:tcBorders>
              <w:bottom w:val="single" w:sz="8" w:color="0000EE"/>
            </w:tcBorders>
            <w:gridSpan w:val="10"/>
          </w:tcPr>
          <w:p>
            <w:pPr>
              <w:spacing w:after="0"/>
              <w:rPr>
                <w:rFonts w:ascii="Arial" w:cs="Arial" w:eastAsia="Arial" w:hAnsi="Arial"/>
                <w:sz w:val="18"/>
                <w:szCs w:val="18"/>
                <w:color w:val="0000EE"/>
                <w:w w:val="91"/>
              </w:rPr>
            </w:pPr>
            <w:hyperlink r:id="rId206">
              <w:r>
                <w:rPr>
                  <w:rFonts w:ascii="Arial" w:cs="Arial" w:eastAsia="Arial" w:hAnsi="Arial"/>
                  <w:sz w:val="18"/>
                  <w:szCs w:val="18"/>
                  <w:color w:val="0000EE"/>
                  <w:w w:val="91"/>
                </w:rPr>
                <w:t>Credit Agreement, dated as of April 24, 2015, by and among Communications Sales &amp; Leasing, Inc. and CSL Capital, LLC, as</w:t>
              </w:r>
            </w:hyperlink>
          </w:p>
        </w:tc>
        <w:tc>
          <w:tcPr>
            <w:tcW w:w="500" w:type="dxa"/>
            <w:vAlign w:val="bottom"/>
            <w:gridSpan w:val="12"/>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Borrowers, the guarantors party thereto, the lenders party thereto from time to time and Bank of America, N.A., as administrative</w:t>
              </w:r>
            </w:hyperlink>
          </w:p>
        </w:tc>
        <w:tc>
          <w:tcPr>
            <w:tcW w:w="340" w:type="dxa"/>
            <w:vAlign w:val="bottom"/>
            <w:gridSpan w:val="10"/>
          </w:tcPr>
          <w:p>
            <w:pPr>
              <w:spacing w:after="0"/>
              <w:rPr>
                <w:sz w:val="17"/>
                <w:szCs w:val="17"/>
                <w:color w:val="auto"/>
              </w:rPr>
            </w:pPr>
          </w:p>
        </w:tc>
      </w:tr>
    </w:tbl>
    <w:p>
      <w:pPr>
        <w:spacing w:after="0" w:line="13" w:lineRule="exact"/>
        <w:rPr>
          <w:sz w:val="20"/>
          <w:szCs w:val="20"/>
          <w:color w:val="auto"/>
        </w:rPr>
      </w:pPr>
    </w:p>
    <w:p>
      <w:pPr>
        <w:ind w:left="1600" w:right="40"/>
        <w:spacing w:after="0" w:line="277" w:lineRule="auto"/>
        <w:rPr>
          <w:rFonts w:ascii="Arial" w:cs="Arial" w:eastAsia="Arial" w:hAnsi="Arial"/>
          <w:sz w:val="18"/>
          <w:szCs w:val="18"/>
          <w:u w:val="single" w:color="auto"/>
          <w:color w:val="0000EE"/>
        </w:rPr>
      </w:pPr>
      <w:hyperlink r:id="rId206">
        <w:r>
          <w:rPr>
            <w:rFonts w:ascii="Arial" w:cs="Arial" w:eastAsia="Arial" w:hAnsi="Arial"/>
            <w:sz w:val="18"/>
            <w:szCs w:val="18"/>
            <w:u w:val="single" w:color="auto"/>
            <w:color w:val="0000EE"/>
          </w:rPr>
          <w:t>agent, collateral agent, swing line lender and L/C issuer (incorporated by reference to Exhibit 10.10 to the Company’s Current Report</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on Form 8-K dated and filed with the SEC as of April 27, 2015 (File No. 001-36708))</w:t>
        </w:r>
      </w:hyperlink>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0"/>
        </w:trPr>
        <w:tc>
          <w:tcPr>
            <w:tcW w:w="1600" w:type="dxa"/>
            <w:vAlign w:val="bottom"/>
            <w:gridSpan w:val="2"/>
          </w:tcPr>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tc>
        <w:tc>
          <w:tcPr>
            <w:tcW w:w="4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4"/>
        </w:trPr>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 No.</w:t>
            </w:r>
          </w:p>
        </w:tc>
        <w:tc>
          <w:tcPr>
            <w:tcW w:w="4260" w:type="dxa"/>
            <w:vAlign w:val="bottom"/>
          </w:tcPr>
          <w:p>
            <w:pPr>
              <w:spacing w:after="0"/>
              <w:rPr>
                <w:sz w:val="24"/>
                <w:szCs w:val="24"/>
                <w:color w:val="auto"/>
              </w:rPr>
            </w:pPr>
          </w:p>
        </w:tc>
        <w:tc>
          <w:tcPr>
            <w:tcW w:w="5400" w:type="dxa"/>
            <w:vAlign w:val="bottom"/>
            <w:gridSpan w:val="24"/>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2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10.6</w:t>
            </w:r>
          </w:p>
        </w:tc>
        <w:tc>
          <w:tcPr>
            <w:tcW w:w="360" w:type="dxa"/>
            <w:vAlign w:val="bottom"/>
          </w:tcPr>
          <w:p>
            <w:pPr>
              <w:spacing w:after="0"/>
              <w:rPr>
                <w:sz w:val="16"/>
                <w:szCs w:val="16"/>
                <w:color w:val="auto"/>
              </w:rPr>
            </w:pPr>
          </w:p>
        </w:tc>
        <w:tc>
          <w:tcPr>
            <w:tcW w:w="9540" w:type="dxa"/>
            <w:vAlign w:val="bottom"/>
            <w:tcBorders>
              <w:top w:val="single" w:sz="8" w:color="auto"/>
              <w:bottom w:val="single" w:sz="8" w:color="0000EE"/>
            </w:tcBorders>
            <w:gridSpan w:val="22"/>
          </w:tcPr>
          <w:p>
            <w:pPr>
              <w:spacing w:after="0" w:line="189" w:lineRule="exact"/>
              <w:rPr>
                <w:rFonts w:ascii="Arial" w:cs="Arial" w:eastAsia="Arial" w:hAnsi="Arial"/>
                <w:sz w:val="18"/>
                <w:szCs w:val="18"/>
                <w:color w:val="0000EE"/>
                <w:w w:val="90"/>
              </w:rPr>
            </w:pPr>
            <w:hyperlink r:id="rId208">
              <w:r>
                <w:rPr>
                  <w:rFonts w:ascii="Arial" w:cs="Arial" w:eastAsia="Arial" w:hAnsi="Arial"/>
                  <w:sz w:val="18"/>
                  <w:szCs w:val="18"/>
                  <w:color w:val="0000EE"/>
                  <w:w w:val="90"/>
                </w:rPr>
                <w:t>Amendment No. 1 to the Credit Agreement, dated as of October 21, 2016 by and among Communications Sales &amp; Leasing, Inc. and</w:t>
              </w:r>
            </w:hyperlink>
          </w:p>
        </w:tc>
        <w:tc>
          <w:tcPr>
            <w:tcW w:w="120" w:type="dxa"/>
            <w:vAlign w:val="bottom"/>
            <w:tcBorders>
              <w:top w:val="single" w:sz="8" w:color="auto"/>
            </w:tcBorders>
            <w:gridSpan w:val="3"/>
          </w:tcPr>
          <w:p>
            <w:pPr>
              <w:spacing w:after="0"/>
              <w:rPr>
                <w:sz w:val="16"/>
                <w:szCs w:val="16"/>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208">
              <w:r>
                <w:rPr>
                  <w:rFonts w:ascii="Arial" w:cs="Arial" w:eastAsia="Arial" w:hAnsi="Arial"/>
                  <w:sz w:val="18"/>
                  <w:szCs w:val="18"/>
                  <w:color w:val="0000EE"/>
                  <w:w w:val="90"/>
                </w:rPr>
                <w:t>CSL Capital, LLC, as borrowers, the guarantors party thereto, the lenders party thereto, and Bank of America, N.A., as administrative</w:t>
              </w:r>
            </w:hyperlink>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208">
              <w:r>
                <w:rPr>
                  <w:rFonts w:ascii="Arial" w:cs="Arial" w:eastAsia="Arial" w:hAnsi="Arial"/>
                  <w:sz w:val="18"/>
                  <w:szCs w:val="18"/>
                  <w:color w:val="0000EE"/>
                  <w:w w:val="90"/>
                </w:rPr>
                <w:t>agent and collateral agent (incorporated by reference to Exhibit 10.1 to the Company’s Current Report on Form 8-K dated and filed</w:t>
              </w:r>
            </w:hyperlink>
          </w:p>
        </w:tc>
        <w:tc>
          <w:tcPr>
            <w:tcW w:w="20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5"/>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with the SEC as of October 21, 2016 (File No. 001-36708))</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19"/>
                <w:szCs w:val="19"/>
                <w:color w:val="auto"/>
              </w:rPr>
            </w:pPr>
          </w:p>
        </w:tc>
        <w:tc>
          <w:tcPr>
            <w:tcW w:w="9520" w:type="dxa"/>
            <w:vAlign w:val="bottom"/>
            <w:tcBorders>
              <w:bottom w:val="single" w:sz="8" w:color="0000EE"/>
            </w:tcBorders>
            <w:gridSpan w:val="21"/>
          </w:tcPr>
          <w:p>
            <w:pPr>
              <w:spacing w:after="0"/>
              <w:rPr>
                <w:rFonts w:ascii="Arial" w:cs="Arial" w:eastAsia="Arial" w:hAnsi="Arial"/>
                <w:sz w:val="18"/>
                <w:szCs w:val="18"/>
                <w:color w:val="0000EE"/>
                <w:w w:val="90"/>
              </w:rPr>
            </w:pPr>
            <w:hyperlink r:id="rId209">
              <w:r>
                <w:rPr>
                  <w:rFonts w:ascii="Arial" w:cs="Arial" w:eastAsia="Arial" w:hAnsi="Arial"/>
                  <w:sz w:val="18"/>
                  <w:szCs w:val="18"/>
                  <w:color w:val="0000EE"/>
                  <w:w w:val="90"/>
                </w:rPr>
                <w:t>Amendment No. 2 to the Credit Agreement, dated as of February 9, 2017 by and among Communications Sales &amp; Leasing, Inc. and</w:t>
              </w:r>
            </w:hyperlink>
          </w:p>
        </w:tc>
        <w:tc>
          <w:tcPr>
            <w:tcW w:w="140" w:type="dxa"/>
            <w:vAlign w:val="bottom"/>
            <w:gridSpan w:val="4"/>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209">
              <w:r>
                <w:rPr>
                  <w:rFonts w:ascii="Arial" w:cs="Arial" w:eastAsia="Arial" w:hAnsi="Arial"/>
                  <w:sz w:val="18"/>
                  <w:szCs w:val="18"/>
                  <w:color w:val="0000EE"/>
                  <w:w w:val="90"/>
                </w:rPr>
                <w:t>CSL Capital, LLC, as borrowers, the guarantors party thereto, the lenders party thereto, and Bank of America, N.A., as administrative</w:t>
              </w:r>
            </w:hyperlink>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209">
              <w:r>
                <w:rPr>
                  <w:rFonts w:ascii="Arial" w:cs="Arial" w:eastAsia="Arial" w:hAnsi="Arial"/>
                  <w:sz w:val="18"/>
                  <w:szCs w:val="18"/>
                  <w:color w:val="0000EE"/>
                  <w:w w:val="90"/>
                </w:rPr>
                <w:t>agent and collateral agent (incorporated by reference to Exhibit 10.1 to the Company’s Current Report on Form 8-K dated and filed</w:t>
              </w:r>
            </w:hyperlink>
          </w:p>
        </w:tc>
        <w:tc>
          <w:tcPr>
            <w:tcW w:w="20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5"/>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with the SEC as of February 9, 2017 (File No. 001-36708))</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24"/>
                <w:szCs w:val="24"/>
                <w:color w:val="auto"/>
              </w:rPr>
            </w:pPr>
          </w:p>
        </w:tc>
        <w:tc>
          <w:tcPr>
            <w:tcW w:w="9360" w:type="dxa"/>
            <w:vAlign w:val="bottom"/>
            <w:tcBorders>
              <w:bottom w:val="single" w:sz="8" w:color="0000EE"/>
            </w:tcBorders>
            <w:gridSpan w:val="15"/>
          </w:tcPr>
          <w:p>
            <w:pPr>
              <w:spacing w:after="0"/>
              <w:rPr>
                <w:rFonts w:ascii="Arial" w:cs="Arial" w:eastAsia="Arial" w:hAnsi="Arial"/>
                <w:sz w:val="18"/>
                <w:szCs w:val="18"/>
                <w:color w:val="0000EE"/>
                <w:w w:val="91"/>
              </w:rPr>
            </w:pPr>
            <w:hyperlink r:id="rId210">
              <w:r>
                <w:rPr>
                  <w:rFonts w:ascii="Arial" w:cs="Arial" w:eastAsia="Arial" w:hAnsi="Arial"/>
                  <w:sz w:val="18"/>
                  <w:szCs w:val="18"/>
                  <w:color w:val="0000EE"/>
                  <w:w w:val="91"/>
                </w:rPr>
                <w:t>Amendment No. 3 (Incremental Amendment) to the Credit Agreement, dated as of April 28, 2017 by and among Uniti Group Inc.</w:t>
              </w:r>
            </w:hyperlink>
          </w:p>
        </w:tc>
        <w:tc>
          <w:tcPr>
            <w:tcW w:w="300" w:type="dxa"/>
            <w:vAlign w:val="bottom"/>
            <w:gridSpan w:val="10"/>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5"/>
          </w:tcPr>
          <w:p>
            <w:pPr>
              <w:spacing w:after="0" w:line="196" w:lineRule="exact"/>
              <w:rPr>
                <w:rFonts w:ascii="Arial" w:cs="Arial" w:eastAsia="Arial" w:hAnsi="Arial"/>
                <w:sz w:val="18"/>
                <w:szCs w:val="18"/>
                <w:color w:val="0000EE"/>
                <w:w w:val="98"/>
              </w:rPr>
            </w:pPr>
            <w:hyperlink r:id="rId210">
              <w:r>
                <w:rPr>
                  <w:rFonts w:ascii="Arial" w:cs="Arial" w:eastAsia="Arial" w:hAnsi="Arial"/>
                  <w:sz w:val="18"/>
                  <w:szCs w:val="18"/>
                  <w:color w:val="0000EE"/>
                  <w:w w:val="98"/>
                </w:rPr>
                <w:t>and CSL Capital, LLC, as borrowers, the guarantors party thereto, the lenders party thereto, and Bank of America, N.A., as</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2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administrative agent and collateral agent (incorporated by reference to Exhibit 10.1 to the Company’s Current Report on Form 8-K</w:t>
              </w:r>
            </w:hyperlink>
          </w:p>
        </w:tc>
        <w:tc>
          <w:tcPr>
            <w:tcW w:w="240" w:type="dxa"/>
            <w:vAlign w:val="bottom"/>
            <w:gridSpan w:val="9"/>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dated as of May 1, 2017 and filed with the SEC as of May 2, 2017 (File No. 001-36708))</w:t>
              </w:r>
            </w:hyperlink>
          </w:p>
        </w:tc>
        <w:tc>
          <w:tcPr>
            <w:tcW w:w="3240" w:type="dxa"/>
            <w:vAlign w:val="bottom"/>
            <w:gridSpan w:val="22"/>
          </w:tcPr>
          <w:p>
            <w:pPr>
              <w:spacing w:after="0"/>
              <w:rPr>
                <w:sz w:val="17"/>
                <w:szCs w:val="17"/>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24"/>
                <w:szCs w:val="24"/>
                <w:color w:val="auto"/>
              </w:rPr>
            </w:pPr>
          </w:p>
        </w:tc>
        <w:tc>
          <w:tcPr>
            <w:tcW w:w="9220" w:type="dxa"/>
            <w:vAlign w:val="bottom"/>
            <w:tcBorders>
              <w:bottom w:val="single" w:sz="8" w:color="0000EE"/>
            </w:tcBorders>
            <w:gridSpan w:val="10"/>
          </w:tcPr>
          <w:p>
            <w:pPr>
              <w:spacing w:after="0"/>
              <w:rPr>
                <w:rFonts w:ascii="Arial" w:cs="Arial" w:eastAsia="Arial" w:hAnsi="Arial"/>
                <w:sz w:val="18"/>
                <w:szCs w:val="18"/>
                <w:color w:val="0000EE"/>
                <w:w w:val="91"/>
              </w:rPr>
            </w:pPr>
            <w:hyperlink r:id="rId211">
              <w:r>
                <w:rPr>
                  <w:rFonts w:ascii="Arial" w:cs="Arial" w:eastAsia="Arial" w:hAnsi="Arial"/>
                  <w:sz w:val="18"/>
                  <w:szCs w:val="18"/>
                  <w:color w:val="0000EE"/>
                  <w:w w:val="91"/>
                </w:rPr>
                <w:t>Amendment No. 4 and Limited Waiver to the Credit Agreement, dated as of March 18, 2019, among Uniti Group Inc., as parent</w:t>
              </w:r>
            </w:hyperlink>
          </w:p>
        </w:tc>
        <w:tc>
          <w:tcPr>
            <w:tcW w:w="440" w:type="dxa"/>
            <w:vAlign w:val="bottom"/>
            <w:gridSpan w:val="1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guarantor, Uniti Group LP, Uniti Group Finance Inc. and CSL Capital, LLC, as borrowers, the guarantors party thereto, the lenders</w:t>
              </w:r>
            </w:hyperlink>
          </w:p>
        </w:tc>
        <w:tc>
          <w:tcPr>
            <w:tcW w:w="240" w:type="dxa"/>
            <w:vAlign w:val="bottom"/>
            <w:gridSpan w:val="9"/>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5"/>
          </w:tcPr>
          <w:p>
            <w:pPr>
              <w:spacing w:after="0" w:line="196" w:lineRule="exact"/>
              <w:rPr>
                <w:rFonts w:ascii="Arial" w:cs="Arial" w:eastAsia="Arial" w:hAnsi="Arial"/>
                <w:sz w:val="18"/>
                <w:szCs w:val="18"/>
                <w:color w:val="0000EE"/>
                <w:w w:val="93"/>
              </w:rPr>
            </w:pPr>
            <w:hyperlink r:id="rId211">
              <w:r>
                <w:rPr>
                  <w:rFonts w:ascii="Arial" w:cs="Arial" w:eastAsia="Arial" w:hAnsi="Arial"/>
                  <w:sz w:val="18"/>
                  <w:szCs w:val="18"/>
                  <w:color w:val="0000EE"/>
                  <w:w w:val="93"/>
                </w:rPr>
                <w:t>party thereto, and Bank of America, N.A., as administrative agent and collateral agent (incorporated by reference to Exhibit 10.1 to</w:t>
              </w:r>
            </w:hyperlink>
          </w:p>
        </w:tc>
      </w:tr>
      <w:tr>
        <w:trPr>
          <w:trHeight w:val="236"/>
        </w:trPr>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40" w:type="dxa"/>
            <w:vAlign w:val="bottom"/>
            <w:tcBorders>
              <w:top w:val="single" w:sz="8" w:color="0000EE"/>
            </w:tcBorders>
            <w:gridSpan w:val="17"/>
          </w:tcPr>
          <w:p>
            <w:pPr>
              <w:spacing w:after="0"/>
              <w:rPr>
                <w:rFonts w:ascii="Arial" w:cs="Arial" w:eastAsia="Arial" w:hAnsi="Arial"/>
                <w:sz w:val="18"/>
                <w:szCs w:val="18"/>
                <w:u w:val="single" w:color="auto"/>
                <w:color w:val="0000EE"/>
              </w:rPr>
            </w:pPr>
            <w:hyperlink r:id="rId211">
              <w:r>
                <w:rPr>
                  <w:rFonts w:ascii="Arial" w:cs="Arial" w:eastAsia="Arial" w:hAnsi="Arial"/>
                  <w:sz w:val="18"/>
                  <w:szCs w:val="18"/>
                  <w:u w:val="single" w:color="auto"/>
                  <w:color w:val="0000EE"/>
                </w:rPr>
                <w:t>the Company’s Annual Report on Form 10-K dated and filed with the SEC as of March 18, 2019 (File No. 001-36708</w:t>
              </w:r>
              <w:r>
                <w:rPr>
                  <w:rFonts w:ascii="Arial" w:cs="Arial" w:eastAsia="Arial" w:hAnsi="Arial"/>
                  <w:sz w:val="18"/>
                  <w:szCs w:val="18"/>
                  <w:u w:val="single" w:color="auto"/>
                  <w:color w:val="000000"/>
                </w:rPr>
                <w:t>))</w:t>
              </w:r>
            </w:hyperlink>
          </w:p>
        </w:tc>
        <w:tc>
          <w:tcPr>
            <w:tcW w:w="220" w:type="dxa"/>
            <w:vAlign w:val="bottom"/>
            <w:gridSpan w:val="8"/>
          </w:tcPr>
          <w:p>
            <w:pPr>
              <w:spacing w:after="0"/>
              <w:rPr>
                <w:sz w:val="20"/>
                <w:szCs w:val="20"/>
                <w:color w:val="auto"/>
              </w:rPr>
            </w:pPr>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10.10</w:t>
            </w:r>
          </w:p>
        </w:tc>
        <w:tc>
          <w:tcPr>
            <w:tcW w:w="360" w:type="dxa"/>
            <w:vAlign w:val="bottom"/>
          </w:tcPr>
          <w:p>
            <w:pPr>
              <w:spacing w:after="0"/>
              <w:rPr>
                <w:sz w:val="24"/>
                <w:szCs w:val="24"/>
                <w:color w:val="auto"/>
              </w:rPr>
            </w:pPr>
          </w:p>
        </w:tc>
        <w:tc>
          <w:tcPr>
            <w:tcW w:w="9660" w:type="dxa"/>
            <w:vAlign w:val="bottom"/>
            <w:gridSpan w:val="25"/>
          </w:tcPr>
          <w:p>
            <w:pPr>
              <w:spacing w:after="0"/>
              <w:rPr>
                <w:rFonts w:ascii="Arial" w:cs="Arial" w:eastAsia="Arial" w:hAnsi="Arial"/>
                <w:sz w:val="18"/>
                <w:szCs w:val="18"/>
                <w:color w:val="0000EE"/>
                <w:w w:val="91"/>
              </w:rPr>
            </w:pPr>
            <w:hyperlink r:id="rId212">
              <w:r>
                <w:rPr>
                  <w:rFonts w:ascii="Arial" w:cs="Arial" w:eastAsia="Arial" w:hAnsi="Arial"/>
                  <w:sz w:val="18"/>
                  <w:szCs w:val="18"/>
                  <w:color w:val="0000EE"/>
                  <w:w w:val="91"/>
                </w:rPr>
                <w:t>Amendment No. 5 to the Credit Agreement, dated as of June 24, 2019, among Uniti Group Inc., as parent guarantor, Uniti Group LP,</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212">
              <w:r>
                <w:rPr>
                  <w:rFonts w:ascii="Arial" w:cs="Arial" w:eastAsia="Arial" w:hAnsi="Arial"/>
                  <w:sz w:val="18"/>
                  <w:szCs w:val="18"/>
                  <w:color w:val="0000EE"/>
                  <w:w w:val="90"/>
                </w:rPr>
                <w:t>Uniti Group Finance Inc., and CSL Capital, LLC, as borrowers, the guarantors party thereto, the lenders party thereto, and Bank of</w:t>
              </w:r>
            </w:hyperlink>
          </w:p>
        </w:tc>
        <w:tc>
          <w:tcPr>
            <w:tcW w:w="140" w:type="dxa"/>
            <w:vAlign w:val="bottom"/>
            <w:tcBorders>
              <w:top w:val="single" w:sz="8" w:color="0000EE"/>
            </w:tcBorders>
            <w:gridSpan w:val="7"/>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5"/>
          </w:tcPr>
          <w:p>
            <w:pPr>
              <w:spacing w:after="0" w:line="196" w:lineRule="exact"/>
              <w:rPr>
                <w:rFonts w:ascii="Arial" w:cs="Arial" w:eastAsia="Arial" w:hAnsi="Arial"/>
                <w:sz w:val="18"/>
                <w:szCs w:val="18"/>
                <w:color w:val="0000EE"/>
                <w:w w:val="95"/>
              </w:rPr>
            </w:pPr>
            <w:hyperlink r:id="rId212">
              <w:r>
                <w:rPr>
                  <w:rFonts w:ascii="Arial" w:cs="Arial" w:eastAsia="Arial" w:hAnsi="Arial"/>
                  <w:sz w:val="18"/>
                  <w:szCs w:val="18"/>
                  <w:color w:val="0000EE"/>
                  <w:w w:val="95"/>
                </w:rPr>
                <w:t>America, N.A., as administrative agent and collateral agent (incorporated by reference to Exhibit 10.1 to the Company’s Current</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Report on Form 8-K dated and filed with the SEC as of June 24, 2019 (File No. 001-36708))</w:t>
              </w:r>
            </w:hyperlink>
          </w:p>
        </w:tc>
        <w:tc>
          <w:tcPr>
            <w:tcW w:w="2560" w:type="dxa"/>
            <w:vAlign w:val="bottom"/>
            <w:tcBorders>
              <w:top w:val="single" w:sz="8" w:color="0000EE"/>
            </w:tcBorders>
            <w:gridSpan w:val="7"/>
          </w:tcPr>
          <w:p>
            <w:pPr>
              <w:spacing w:after="0"/>
              <w:rPr>
                <w:sz w:val="17"/>
                <w:szCs w:val="17"/>
                <w:color w:val="auto"/>
              </w:rPr>
            </w:pPr>
          </w:p>
        </w:tc>
        <w:tc>
          <w:tcPr>
            <w:tcW w:w="420" w:type="dxa"/>
            <w:vAlign w:val="bottom"/>
            <w:gridSpan w:val="14"/>
          </w:tcPr>
          <w:p>
            <w:pPr>
              <w:spacing w:after="0"/>
              <w:rPr>
                <w:sz w:val="17"/>
                <w:szCs w:val="17"/>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10.11</w:t>
            </w:r>
          </w:p>
        </w:tc>
        <w:tc>
          <w:tcPr>
            <w:tcW w:w="360" w:type="dxa"/>
            <w:vAlign w:val="bottom"/>
          </w:tcPr>
          <w:p>
            <w:pPr>
              <w:spacing w:after="0"/>
              <w:rPr>
                <w:sz w:val="24"/>
                <w:szCs w:val="24"/>
                <w:color w:val="auto"/>
              </w:rPr>
            </w:pPr>
          </w:p>
        </w:tc>
        <w:tc>
          <w:tcPr>
            <w:tcW w:w="9660" w:type="dxa"/>
            <w:vAlign w:val="bottom"/>
            <w:gridSpan w:val="25"/>
          </w:tcPr>
          <w:p>
            <w:pPr>
              <w:spacing w:after="0"/>
              <w:rPr>
                <w:rFonts w:ascii="Arial" w:cs="Arial" w:eastAsia="Arial" w:hAnsi="Arial"/>
                <w:sz w:val="18"/>
                <w:szCs w:val="18"/>
                <w:color w:val="0000EE"/>
                <w:w w:val="92"/>
              </w:rPr>
            </w:pPr>
            <w:hyperlink r:id="rId213">
              <w:r>
                <w:rPr>
                  <w:rFonts w:ascii="Arial" w:cs="Arial" w:eastAsia="Arial" w:hAnsi="Arial"/>
                  <w:sz w:val="18"/>
                  <w:szCs w:val="18"/>
                  <w:color w:val="0000EE"/>
                  <w:w w:val="92"/>
                </w:rPr>
                <w:t>Amendment No. 6 and Limited Waiver to the Credit Agreement, dated as of February 10, 2020, among Uniti Group LP, Uniti Group</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50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r:id="rId213">
              <w:r>
                <w:rPr>
                  <w:rFonts w:ascii="Arial" w:cs="Arial" w:eastAsia="Arial" w:hAnsi="Arial"/>
                  <w:sz w:val="18"/>
                  <w:szCs w:val="18"/>
                  <w:color w:val="0000EE"/>
                  <w:w w:val="90"/>
                </w:rPr>
                <w:t>Finance 2019 Inc. and CSL Capital, LLC, as borrowers, the guarantor party thereto, the lenders party thereto, and Bank of America,</w:t>
              </w:r>
            </w:hyperlink>
          </w:p>
        </w:tc>
        <w:tc>
          <w:tcPr>
            <w:tcW w:w="40" w:type="dxa"/>
            <w:vAlign w:val="bottom"/>
            <w:tcBorders>
              <w:top w:val="single" w:sz="8" w:color="0000EE"/>
            </w:tcBorders>
            <w:gridSpan w:val="2"/>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213">
              <w:r>
                <w:rPr>
                  <w:rFonts w:ascii="Arial" w:cs="Arial" w:eastAsia="Arial" w:hAnsi="Arial"/>
                  <w:sz w:val="18"/>
                  <w:szCs w:val="18"/>
                  <w:color w:val="0000EE"/>
                  <w:w w:val="90"/>
                </w:rPr>
                <w:t>N.A., as administrative agent and collateral agent (incorporated by reference to Exhibit 10.1 to the Company’s Current Report on</w:t>
              </w:r>
            </w:hyperlink>
          </w:p>
        </w:tc>
        <w:tc>
          <w:tcPr>
            <w:tcW w:w="360" w:type="dxa"/>
            <w:vAlign w:val="bottom"/>
            <w:gridSpan w:val="1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5"/>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Form 8-K filed with the SEC on February 10, 2020 (File No. 001-36708))</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20" w:type="dxa"/>
            <w:vAlign w:val="bottom"/>
            <w:gridSpan w:val="2"/>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10.12</w:t>
            </w:r>
          </w:p>
        </w:tc>
        <w:tc>
          <w:tcPr>
            <w:tcW w:w="360" w:type="dxa"/>
            <w:vAlign w:val="bottom"/>
          </w:tcPr>
          <w:p>
            <w:pPr>
              <w:spacing w:after="0"/>
              <w:rPr>
                <w:sz w:val="24"/>
                <w:szCs w:val="24"/>
                <w:color w:val="auto"/>
              </w:rPr>
            </w:pPr>
          </w:p>
        </w:tc>
        <w:tc>
          <w:tcPr>
            <w:tcW w:w="9320" w:type="dxa"/>
            <w:vAlign w:val="bottom"/>
            <w:tcBorders>
              <w:bottom w:val="single" w:sz="8" w:color="0000EE"/>
            </w:tcBorders>
            <w:gridSpan w:val="13"/>
          </w:tcPr>
          <w:p>
            <w:pPr>
              <w:spacing w:after="0"/>
              <w:rPr>
                <w:rFonts w:ascii="Arial" w:cs="Arial" w:eastAsia="Arial" w:hAnsi="Arial"/>
                <w:sz w:val="18"/>
                <w:szCs w:val="18"/>
                <w:color w:val="0000EE"/>
                <w:w w:val="90"/>
              </w:rPr>
            </w:pPr>
            <w:hyperlink r:id="rId214">
              <w:r>
                <w:rPr>
                  <w:rFonts w:ascii="Arial" w:cs="Arial" w:eastAsia="Arial" w:hAnsi="Arial"/>
                  <w:sz w:val="18"/>
                  <w:szCs w:val="18"/>
                  <w:color w:val="0000EE"/>
                  <w:w w:val="90"/>
                </w:rPr>
                <w:t>Amendment No. 7 to the Credit Agreement, dated as of December 10, 2020, by and among Uniti Group Inc., as parent guarantor,</w:t>
              </w:r>
            </w:hyperlink>
          </w:p>
        </w:tc>
        <w:tc>
          <w:tcPr>
            <w:tcW w:w="340" w:type="dxa"/>
            <w:vAlign w:val="bottom"/>
            <w:gridSpan w:val="1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5"/>
          </w:tcPr>
          <w:p>
            <w:pPr>
              <w:spacing w:after="0" w:line="196" w:lineRule="exact"/>
              <w:rPr>
                <w:rFonts w:ascii="Arial" w:cs="Arial" w:eastAsia="Arial" w:hAnsi="Arial"/>
                <w:sz w:val="18"/>
                <w:szCs w:val="18"/>
                <w:color w:val="0000EE"/>
                <w:w w:val="96"/>
              </w:rPr>
            </w:pPr>
            <w:hyperlink r:id="rId214">
              <w:r>
                <w:rPr>
                  <w:rFonts w:ascii="Arial" w:cs="Arial" w:eastAsia="Arial" w:hAnsi="Arial"/>
                  <w:sz w:val="18"/>
                  <w:szCs w:val="18"/>
                  <w:color w:val="0000EE"/>
                  <w:w w:val="96"/>
                </w:rPr>
                <w:t>Uniti Group LP, Uniti Group Finance Inc., and CSL Capital, LLC, as borrowers, the guarantors party thereto, the lenders party</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0" w:type="dxa"/>
            <w:vAlign w:val="bottom"/>
            <w:gridSpan w:val="5"/>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214">
              <w:r>
                <w:rPr>
                  <w:rFonts w:ascii="Arial" w:cs="Arial" w:eastAsia="Arial" w:hAnsi="Arial"/>
                  <w:sz w:val="18"/>
                  <w:szCs w:val="18"/>
                  <w:color w:val="0000EE"/>
                  <w:w w:val="90"/>
                </w:rPr>
                <w:t>thereto, and Bank of America, N.A., as administrative agent and collateral agent (incorporated by reference to Exhibit 10.1 to the</w:t>
              </w:r>
            </w:hyperlink>
          </w:p>
        </w:tc>
        <w:tc>
          <w:tcPr>
            <w:tcW w:w="360" w:type="dxa"/>
            <w:vAlign w:val="bottom"/>
            <w:gridSpan w:val="13"/>
          </w:tcPr>
          <w:p>
            <w:pPr>
              <w:spacing w:after="0"/>
              <w:rPr>
                <w:sz w:val="17"/>
                <w:szCs w:val="17"/>
                <w:color w:val="auto"/>
              </w:rPr>
            </w:pPr>
          </w:p>
        </w:tc>
      </w:tr>
      <w:tr>
        <w:trPr>
          <w:trHeight w:val="237"/>
        </w:trPr>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60" w:type="dxa"/>
            <w:vAlign w:val="bottom"/>
            <w:gridSpan w:val="25"/>
          </w:tcPr>
          <w:p>
            <w:pPr>
              <w:spacing w:after="0"/>
              <w:rPr>
                <w:rFonts w:ascii="Arial" w:cs="Arial" w:eastAsia="Arial" w:hAnsi="Arial"/>
                <w:sz w:val="18"/>
                <w:szCs w:val="18"/>
                <w:u w:val="single" w:color="auto"/>
                <w:color w:val="0000EE"/>
              </w:rPr>
            </w:pPr>
            <w:hyperlink r:id="rId214">
              <w:r>
                <w:rPr>
                  <w:rFonts w:ascii="Arial" w:cs="Arial" w:eastAsia="Arial" w:hAnsi="Arial"/>
                  <w:sz w:val="18"/>
                  <w:szCs w:val="18"/>
                  <w:u w:val="single" w:color="auto"/>
                  <w:color w:val="0000EE"/>
                </w:rPr>
                <w:t>Company’s Current Report on Form 8-K dated and filed with the SEC as of December 10, 2020 (File No. 001-36708))</w:t>
              </w:r>
            </w:hyperlink>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10.13</w:t>
            </w:r>
          </w:p>
        </w:tc>
        <w:tc>
          <w:tcPr>
            <w:tcW w:w="360" w:type="dxa"/>
            <w:vAlign w:val="bottom"/>
          </w:tcPr>
          <w:p>
            <w:pPr>
              <w:spacing w:after="0"/>
              <w:rPr>
                <w:sz w:val="24"/>
                <w:szCs w:val="24"/>
                <w:color w:val="auto"/>
              </w:rPr>
            </w:pPr>
          </w:p>
        </w:tc>
        <w:tc>
          <w:tcPr>
            <w:tcW w:w="9660" w:type="dxa"/>
            <w:vAlign w:val="bottom"/>
            <w:gridSpan w:val="25"/>
          </w:tcPr>
          <w:p>
            <w:pPr>
              <w:spacing w:after="0"/>
              <w:rPr>
                <w:rFonts w:ascii="Arial" w:cs="Arial" w:eastAsia="Arial" w:hAnsi="Arial"/>
                <w:sz w:val="18"/>
                <w:szCs w:val="18"/>
                <w:color w:val="0000EE"/>
                <w:w w:val="93"/>
              </w:rPr>
            </w:pPr>
            <w:hyperlink r:id="rId215">
              <w:r>
                <w:rPr>
                  <w:rFonts w:ascii="Arial" w:cs="Arial" w:eastAsia="Arial" w:hAnsi="Arial"/>
                  <w:sz w:val="18"/>
                  <w:szCs w:val="18"/>
                  <w:color w:val="0000EE"/>
                  <w:w w:val="93"/>
                </w:rPr>
                <w:t>Agreement of Resignation, Appointment and Acceptance, dated as of June 26, 2019, by and among Uniti Group LP, CSL Capital,</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40" w:type="dxa"/>
            <w:vAlign w:val="bottom"/>
            <w:tcBorders>
              <w:top w:val="single" w:sz="8" w:color="0000EE"/>
            </w:tcBorders>
            <w:gridSpan w:val="14"/>
          </w:tcPr>
          <w:p>
            <w:pPr>
              <w:spacing w:after="0" w:line="196" w:lineRule="exact"/>
              <w:rPr>
                <w:rFonts w:ascii="Arial" w:cs="Arial" w:eastAsia="Arial" w:hAnsi="Arial"/>
                <w:sz w:val="18"/>
                <w:szCs w:val="18"/>
                <w:color w:val="0000EE"/>
                <w:w w:val="95"/>
              </w:rPr>
            </w:pPr>
            <w:hyperlink r:id="rId215">
              <w:r>
                <w:rPr>
                  <w:rFonts w:ascii="Arial" w:cs="Arial" w:eastAsia="Arial" w:hAnsi="Arial"/>
                  <w:sz w:val="18"/>
                  <w:szCs w:val="18"/>
                  <w:color w:val="0000EE"/>
                  <w:w w:val="95"/>
                </w:rPr>
                <w:t>LLC, Uniti Group Finance, Inc., and Unifi Fiber Holdings, Inc., as Issuers, and Deutsche Bank Trust Company Americas, as</w:t>
              </w:r>
            </w:hyperlink>
          </w:p>
        </w:tc>
        <w:tc>
          <w:tcPr>
            <w:tcW w:w="320" w:type="dxa"/>
            <w:vAlign w:val="bottom"/>
            <w:gridSpan w:val="11"/>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0" w:type="dxa"/>
            <w:vAlign w:val="bottom"/>
            <w:gridSpan w:val="5"/>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5"/>
          </w:tcPr>
          <w:p>
            <w:pPr>
              <w:spacing w:after="0" w:line="196" w:lineRule="exact"/>
              <w:rPr>
                <w:rFonts w:ascii="Arial" w:cs="Arial" w:eastAsia="Arial" w:hAnsi="Arial"/>
                <w:sz w:val="18"/>
                <w:szCs w:val="18"/>
                <w:color w:val="0000EE"/>
                <w:w w:val="94"/>
              </w:rPr>
            </w:pPr>
            <w:hyperlink r:id="rId215">
              <w:r>
                <w:rPr>
                  <w:rFonts w:ascii="Arial" w:cs="Arial" w:eastAsia="Arial" w:hAnsi="Arial"/>
                  <w:sz w:val="18"/>
                  <w:szCs w:val="18"/>
                  <w:color w:val="0000EE"/>
                  <w:w w:val="94"/>
                </w:rPr>
                <w:t>successor trustee, and Wells Fargo Bank, N.A., as resigning trustee (incorporated by reference to Exhibit 10.4 to the Company’s</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215">
              <w:r>
                <w:rPr>
                  <w:rFonts w:ascii="Arial" w:cs="Arial" w:eastAsia="Arial" w:hAnsi="Arial"/>
                  <w:sz w:val="18"/>
                  <w:szCs w:val="18"/>
                  <w:color w:val="0000EE"/>
                  <w:w w:val="91"/>
                </w:rPr>
                <w:t>Quarterly Report on Form 10-Q dated and filed with the SEC as of August 8, 2019 (File No. 001-36708))</w:t>
              </w:r>
            </w:hyperlink>
          </w:p>
        </w:tc>
        <w:tc>
          <w:tcPr>
            <w:tcW w:w="1600" w:type="dxa"/>
            <w:vAlign w:val="bottom"/>
            <w:tcBorders>
              <w:top w:val="single" w:sz="8" w:color="0000EE"/>
            </w:tcBorders>
            <w:gridSpan w:val="4"/>
          </w:tcPr>
          <w:p>
            <w:pPr>
              <w:spacing w:after="0"/>
              <w:rPr>
                <w:sz w:val="17"/>
                <w:szCs w:val="17"/>
                <w:color w:val="auto"/>
              </w:rPr>
            </w:pPr>
          </w:p>
        </w:tc>
        <w:tc>
          <w:tcPr>
            <w:tcW w:w="460" w:type="dxa"/>
            <w:vAlign w:val="bottom"/>
            <w:gridSpan w:val="16"/>
          </w:tcPr>
          <w:p>
            <w:pPr>
              <w:spacing w:after="0"/>
              <w:rPr>
                <w:sz w:val="17"/>
                <w:szCs w:val="17"/>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10.14</w:t>
            </w:r>
          </w:p>
        </w:tc>
        <w:tc>
          <w:tcPr>
            <w:tcW w:w="360" w:type="dxa"/>
            <w:vAlign w:val="bottom"/>
          </w:tcPr>
          <w:p>
            <w:pPr>
              <w:spacing w:after="0"/>
              <w:rPr>
                <w:sz w:val="24"/>
                <w:szCs w:val="24"/>
                <w:color w:val="auto"/>
              </w:rPr>
            </w:pPr>
          </w:p>
        </w:tc>
        <w:tc>
          <w:tcPr>
            <w:tcW w:w="9320" w:type="dxa"/>
            <w:vAlign w:val="bottom"/>
            <w:tcBorders>
              <w:bottom w:val="single" w:sz="8" w:color="0000EE"/>
            </w:tcBorders>
            <w:gridSpan w:val="13"/>
          </w:tcPr>
          <w:p>
            <w:pPr>
              <w:spacing w:after="0"/>
              <w:rPr>
                <w:rFonts w:ascii="Arial" w:cs="Arial" w:eastAsia="Arial" w:hAnsi="Arial"/>
                <w:sz w:val="18"/>
                <w:szCs w:val="18"/>
                <w:color w:val="0000EE"/>
                <w:w w:val="91"/>
              </w:rPr>
            </w:pPr>
            <w:hyperlink r:id="rId216">
              <w:r>
                <w:rPr>
                  <w:rFonts w:ascii="Arial" w:cs="Arial" w:eastAsia="Arial" w:hAnsi="Arial"/>
                  <w:sz w:val="18"/>
                  <w:szCs w:val="18"/>
                  <w:color w:val="0000EE"/>
                  <w:w w:val="91"/>
                </w:rPr>
                <w:t>Borrower Assumption Agreement and Joinder, dated as of May 9, 2017 by and among Uniti Group Inc., as initial borrower, Uniti</w:t>
              </w:r>
            </w:hyperlink>
          </w:p>
        </w:tc>
        <w:tc>
          <w:tcPr>
            <w:tcW w:w="340" w:type="dxa"/>
            <w:vAlign w:val="bottom"/>
            <w:gridSpan w:val="1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216">
              <w:r>
                <w:rPr>
                  <w:rFonts w:ascii="Arial" w:cs="Arial" w:eastAsia="Arial" w:hAnsi="Arial"/>
                  <w:sz w:val="18"/>
                  <w:szCs w:val="18"/>
                  <w:color w:val="0000EE"/>
                  <w:w w:val="90"/>
                </w:rPr>
                <w:t>Group LP and Uniti Group Finance Inc., as borrowers, the guarantors party thereto, the lenders party thereto, and Bank of America,</w:t>
              </w:r>
            </w:hyperlink>
          </w:p>
        </w:tc>
        <w:tc>
          <w:tcPr>
            <w:tcW w:w="180" w:type="dxa"/>
            <w:vAlign w:val="bottom"/>
            <w:gridSpan w:val="6"/>
          </w:tcPr>
          <w:p>
            <w:pPr>
              <w:spacing w:after="0"/>
              <w:rPr>
                <w:sz w:val="17"/>
                <w:szCs w:val="17"/>
                <w:color w:val="auto"/>
              </w:rPr>
            </w:pPr>
          </w:p>
        </w:tc>
      </w:tr>
    </w:tbl>
    <w:p>
      <w:pPr>
        <w:spacing w:after="0" w:line="13" w:lineRule="exact"/>
        <w:rPr>
          <w:sz w:val="20"/>
          <w:szCs w:val="20"/>
          <w:color w:val="auto"/>
        </w:rPr>
      </w:pPr>
    </w:p>
    <w:p>
      <w:pPr>
        <w:ind w:left="1600" w:right="320"/>
        <w:spacing w:after="0" w:line="277" w:lineRule="auto"/>
        <w:rPr>
          <w:rFonts w:ascii="Arial" w:cs="Arial" w:eastAsia="Arial" w:hAnsi="Arial"/>
          <w:sz w:val="18"/>
          <w:szCs w:val="18"/>
          <w:u w:val="single" w:color="auto"/>
          <w:color w:val="0000EE"/>
        </w:rPr>
      </w:pPr>
      <w:hyperlink r:id="rId216">
        <w:r>
          <w:rPr>
            <w:rFonts w:ascii="Arial" w:cs="Arial" w:eastAsia="Arial" w:hAnsi="Arial"/>
            <w:sz w:val="18"/>
            <w:szCs w:val="18"/>
            <w:u w:val="single" w:color="auto"/>
            <w:color w:val="0000EE"/>
          </w:rPr>
          <w:t>N.A., as administrative agent and collateral agent (incorporated by reference to Exhibit 10.1 to the Company’s Current Report on</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Form 8-K dated and filed with the SEC as of May 9, 2017 (File No. 001-36708))</w:t>
        </w:r>
      </w:hyperlink>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0"/>
        </w:trPr>
        <w:tc>
          <w:tcPr>
            <w:tcW w:w="1600" w:type="dxa"/>
            <w:vAlign w:val="bottom"/>
            <w:gridSpan w:val="2"/>
          </w:tcPr>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4"/>
        </w:trPr>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 No.</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20" w:type="dxa"/>
            <w:vAlign w:val="bottom"/>
            <w:gridSpan w:val="20"/>
          </w:tcPr>
          <w:p>
            <w:pPr>
              <w:ind w:left="314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2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10.15</w:t>
            </w:r>
          </w:p>
        </w:tc>
        <w:tc>
          <w:tcPr>
            <w:tcW w:w="360" w:type="dxa"/>
            <w:vAlign w:val="bottom"/>
          </w:tcPr>
          <w:p>
            <w:pPr>
              <w:spacing w:after="0"/>
              <w:rPr>
                <w:sz w:val="16"/>
                <w:szCs w:val="16"/>
                <w:color w:val="auto"/>
              </w:rPr>
            </w:pPr>
          </w:p>
        </w:tc>
        <w:tc>
          <w:tcPr>
            <w:tcW w:w="9580" w:type="dxa"/>
            <w:vAlign w:val="bottom"/>
            <w:tcBorders>
              <w:top w:val="single" w:sz="8" w:color="auto"/>
              <w:bottom w:val="single" w:sz="8" w:color="0000EE"/>
            </w:tcBorders>
            <w:gridSpan w:val="19"/>
          </w:tcPr>
          <w:p>
            <w:pPr>
              <w:spacing w:after="0" w:line="189" w:lineRule="exact"/>
              <w:rPr>
                <w:rFonts w:ascii="Arial" w:cs="Arial" w:eastAsia="Arial" w:hAnsi="Arial"/>
                <w:sz w:val="18"/>
                <w:szCs w:val="18"/>
                <w:color w:val="0000EE"/>
                <w:w w:val="90"/>
              </w:rPr>
            </w:pPr>
            <w:hyperlink r:id="rId218">
              <w:r>
                <w:rPr>
                  <w:rFonts w:ascii="Arial" w:cs="Arial" w:eastAsia="Arial" w:hAnsi="Arial"/>
                  <w:sz w:val="18"/>
                  <w:szCs w:val="18"/>
                  <w:color w:val="0000EE"/>
                  <w:w w:val="90"/>
                </w:rPr>
                <w:t>Recognition Agreement, dated April 24, 2015, by and among CSL National, LP and the other entities listed therein, as Landlord, and</w:t>
              </w:r>
            </w:hyperlink>
          </w:p>
        </w:tc>
        <w:tc>
          <w:tcPr>
            <w:tcW w:w="80" w:type="dxa"/>
            <w:vAlign w:val="bottom"/>
            <w:tcBorders>
              <w:top w:val="single" w:sz="8" w:color="auto"/>
            </w:tcBorders>
            <w:gridSpan w:val="4"/>
          </w:tcPr>
          <w:p>
            <w:pPr>
              <w:spacing w:after="0"/>
              <w:rPr>
                <w:sz w:val="16"/>
                <w:szCs w:val="16"/>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218">
              <w:r>
                <w:rPr>
                  <w:rFonts w:ascii="Arial" w:cs="Arial" w:eastAsia="Arial" w:hAnsi="Arial"/>
                  <w:sz w:val="18"/>
                  <w:szCs w:val="18"/>
                  <w:color w:val="0000EE"/>
                  <w:w w:val="90"/>
                </w:rPr>
                <w:t>Windstream Holdings, Inc., as Tenant, and JPMorgan Chase Bank, N.A., as administrative agent and collateral agent (incorporated by</w:t>
              </w:r>
            </w:hyperlink>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3"/>
          </w:tcPr>
          <w:p>
            <w:pPr>
              <w:spacing w:after="0" w:line="196" w:lineRule="exact"/>
              <w:rPr>
                <w:rFonts w:ascii="Arial" w:cs="Arial" w:eastAsia="Arial" w:hAnsi="Arial"/>
                <w:sz w:val="18"/>
                <w:szCs w:val="18"/>
                <w:color w:val="0000EE"/>
                <w:w w:val="92"/>
              </w:rPr>
            </w:pPr>
            <w:hyperlink r:id="rId218">
              <w:r>
                <w:rPr>
                  <w:rFonts w:ascii="Arial" w:cs="Arial" w:eastAsia="Arial" w:hAnsi="Arial"/>
                  <w:sz w:val="18"/>
                  <w:szCs w:val="18"/>
                  <w:color w:val="0000EE"/>
                  <w:w w:val="92"/>
                </w:rPr>
                <w:t>reference to Exhibit 10.11 to the Company’s Current Report on Form 8-K dated and filed with the SEC as of April 27, 2015 (File No.</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218">
              <w:r>
                <w:rPr>
                  <w:rFonts w:ascii="Arial" w:cs="Arial" w:eastAsia="Arial" w:hAnsi="Arial"/>
                  <w:sz w:val="18"/>
                  <w:szCs w:val="18"/>
                  <w:color w:val="0000EE"/>
                  <w:w w:val="89"/>
                </w:rPr>
                <w:t>001-36708))</w:t>
              </w:r>
            </w:hyperlink>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10.16+</w:t>
            </w:r>
          </w:p>
        </w:tc>
        <w:tc>
          <w:tcPr>
            <w:tcW w:w="360" w:type="dxa"/>
            <w:vAlign w:val="bottom"/>
          </w:tcPr>
          <w:p>
            <w:pPr>
              <w:spacing w:after="0"/>
              <w:rPr>
                <w:sz w:val="24"/>
                <w:szCs w:val="24"/>
                <w:color w:val="auto"/>
              </w:rPr>
            </w:pPr>
          </w:p>
        </w:tc>
        <w:tc>
          <w:tcPr>
            <w:tcW w:w="9320" w:type="dxa"/>
            <w:vAlign w:val="bottom"/>
            <w:tcBorders>
              <w:bottom w:val="single" w:sz="8" w:color="0000EE"/>
            </w:tcBorders>
            <w:gridSpan w:val="14"/>
          </w:tcPr>
          <w:p>
            <w:pPr>
              <w:spacing w:after="0"/>
              <w:rPr>
                <w:rFonts w:ascii="Arial" w:cs="Arial" w:eastAsia="Arial" w:hAnsi="Arial"/>
                <w:sz w:val="18"/>
                <w:szCs w:val="18"/>
                <w:color w:val="0000EE"/>
                <w:w w:val="90"/>
              </w:rPr>
            </w:pPr>
            <w:hyperlink r:id="rId219">
              <w:r>
                <w:rPr>
                  <w:rFonts w:ascii="Arial" w:cs="Arial" w:eastAsia="Arial" w:hAnsi="Arial"/>
                  <w:sz w:val="18"/>
                  <w:szCs w:val="18"/>
                  <w:color w:val="0000EE"/>
                  <w:w w:val="90"/>
                </w:rPr>
                <w:t>Employment Agreement between Uniti Group Inc. and Kenneth Gunderman, effective as of December 14, 2018 (incorporated by</w:t>
              </w:r>
            </w:hyperlink>
          </w:p>
        </w:tc>
        <w:tc>
          <w:tcPr>
            <w:tcW w:w="340" w:type="dxa"/>
            <w:vAlign w:val="bottom"/>
            <w:gridSpan w:val="9"/>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3"/>
          </w:tcPr>
          <w:p>
            <w:pPr>
              <w:spacing w:after="0" w:line="196" w:lineRule="exact"/>
              <w:rPr>
                <w:rFonts w:ascii="Arial" w:cs="Arial" w:eastAsia="Arial" w:hAnsi="Arial"/>
                <w:sz w:val="18"/>
                <w:szCs w:val="18"/>
                <w:color w:val="0000EE"/>
                <w:w w:val="91"/>
              </w:rPr>
            </w:pPr>
            <w:hyperlink r:id="rId219">
              <w:r>
                <w:rPr>
                  <w:rFonts w:ascii="Arial" w:cs="Arial" w:eastAsia="Arial" w:hAnsi="Arial"/>
                  <w:sz w:val="18"/>
                  <w:szCs w:val="18"/>
                  <w:color w:val="0000EE"/>
                  <w:w w:val="91"/>
                </w:rPr>
                <w:t>reference to Exhibit 10.1 to the Company’s Current Report on Form 8-K dated and filed with the SEC as of December 14, 2018 (File</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r:id="rId219">
              <w:r>
                <w:rPr>
                  <w:rFonts w:ascii="Arial" w:cs="Arial" w:eastAsia="Arial" w:hAnsi="Arial"/>
                  <w:sz w:val="18"/>
                  <w:szCs w:val="18"/>
                  <w:color w:val="0000EE"/>
                  <w:w w:val="93"/>
                </w:rPr>
                <w:t>No. 001-36708))</w:t>
              </w:r>
            </w:hyperlink>
          </w:p>
        </w:tc>
        <w:tc>
          <w:tcPr>
            <w:tcW w:w="8320" w:type="dxa"/>
            <w:vAlign w:val="bottom"/>
            <w:tcBorders>
              <w:top w:val="single" w:sz="8" w:color="0000EE"/>
            </w:tcBorders>
            <w:gridSpan w:val="15"/>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10.17+</w:t>
            </w:r>
          </w:p>
        </w:tc>
        <w:tc>
          <w:tcPr>
            <w:tcW w:w="360" w:type="dxa"/>
            <w:vAlign w:val="bottom"/>
          </w:tcPr>
          <w:p>
            <w:pPr>
              <w:spacing w:after="0"/>
              <w:rPr>
                <w:sz w:val="24"/>
                <w:szCs w:val="24"/>
                <w:color w:val="auto"/>
              </w:rPr>
            </w:pPr>
          </w:p>
        </w:tc>
        <w:tc>
          <w:tcPr>
            <w:tcW w:w="9660" w:type="dxa"/>
            <w:vAlign w:val="bottom"/>
            <w:gridSpan w:val="23"/>
          </w:tcPr>
          <w:p>
            <w:pPr>
              <w:spacing w:after="0"/>
              <w:rPr>
                <w:rFonts w:ascii="Arial" w:cs="Arial" w:eastAsia="Arial" w:hAnsi="Arial"/>
                <w:sz w:val="18"/>
                <w:szCs w:val="18"/>
                <w:color w:val="0000EE"/>
                <w:w w:val="95"/>
              </w:rPr>
            </w:pPr>
            <w:hyperlink r:id="rId220">
              <w:r>
                <w:rPr>
                  <w:rFonts w:ascii="Arial" w:cs="Arial" w:eastAsia="Arial" w:hAnsi="Arial"/>
                  <w:sz w:val="18"/>
                  <w:szCs w:val="18"/>
                  <w:color w:val="0000EE"/>
                  <w:w w:val="95"/>
                </w:rPr>
                <w:t>Severance Agreement, dated as of December 30, 2020, by and between Uniti Group Inc. and Mark A. Wallace (incorporated by</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3"/>
          </w:tcPr>
          <w:p>
            <w:pPr>
              <w:spacing w:after="0" w:line="196" w:lineRule="exact"/>
              <w:rPr>
                <w:rFonts w:ascii="Arial" w:cs="Arial" w:eastAsia="Arial" w:hAnsi="Arial"/>
                <w:sz w:val="18"/>
                <w:szCs w:val="18"/>
                <w:color w:val="0000EE"/>
                <w:w w:val="91"/>
              </w:rPr>
            </w:pPr>
            <w:hyperlink r:id="rId220">
              <w:r>
                <w:rPr>
                  <w:rFonts w:ascii="Arial" w:cs="Arial" w:eastAsia="Arial" w:hAnsi="Arial"/>
                  <w:sz w:val="18"/>
                  <w:szCs w:val="18"/>
                  <w:color w:val="0000EE"/>
                  <w:w w:val="91"/>
                </w:rPr>
                <w:t>reference to Exhibit 10.1 to the Company’s Current Report on Form 8-K dated and filed with the SEC as of December 30, 2020 (File</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r:id="rId220">
              <w:r>
                <w:rPr>
                  <w:rFonts w:ascii="Arial" w:cs="Arial" w:eastAsia="Arial" w:hAnsi="Arial"/>
                  <w:sz w:val="18"/>
                  <w:szCs w:val="18"/>
                  <w:color w:val="0000EE"/>
                  <w:w w:val="93"/>
                </w:rPr>
                <w:t>No. 001-36708))</w:t>
              </w:r>
            </w:hyperlink>
          </w:p>
        </w:tc>
        <w:tc>
          <w:tcPr>
            <w:tcW w:w="8320" w:type="dxa"/>
            <w:vAlign w:val="bottom"/>
            <w:tcBorders>
              <w:top w:val="single" w:sz="8" w:color="0000EE"/>
            </w:tcBorders>
            <w:gridSpan w:val="15"/>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10.18+</w:t>
            </w:r>
          </w:p>
        </w:tc>
        <w:tc>
          <w:tcPr>
            <w:tcW w:w="360" w:type="dxa"/>
            <w:vAlign w:val="bottom"/>
          </w:tcPr>
          <w:p>
            <w:pPr>
              <w:spacing w:after="0"/>
              <w:rPr>
                <w:sz w:val="24"/>
                <w:szCs w:val="24"/>
                <w:color w:val="auto"/>
              </w:rPr>
            </w:pPr>
          </w:p>
        </w:tc>
        <w:tc>
          <w:tcPr>
            <w:tcW w:w="9180" w:type="dxa"/>
            <w:vAlign w:val="bottom"/>
            <w:tcBorders>
              <w:bottom w:val="single" w:sz="8" w:color="0000EE"/>
            </w:tcBorders>
            <w:gridSpan w:val="13"/>
          </w:tcPr>
          <w:p>
            <w:pPr>
              <w:spacing w:after="0"/>
              <w:rPr>
                <w:rFonts w:ascii="Arial" w:cs="Arial" w:eastAsia="Arial" w:hAnsi="Arial"/>
                <w:sz w:val="18"/>
                <w:szCs w:val="18"/>
                <w:color w:val="0000EE"/>
                <w:w w:val="90"/>
              </w:rPr>
            </w:pPr>
            <w:hyperlink r:id="rId221">
              <w:r>
                <w:rPr>
                  <w:rFonts w:ascii="Arial" w:cs="Arial" w:eastAsia="Arial" w:hAnsi="Arial"/>
                  <w:sz w:val="18"/>
                  <w:szCs w:val="18"/>
                  <w:color w:val="0000EE"/>
                  <w:w w:val="90"/>
                </w:rPr>
                <w:t>Severance Agreement, dated as of December 30, 2020, by and between Uniti Group Inc. and Daniel L. Heard (incorporated by</w:t>
              </w:r>
            </w:hyperlink>
          </w:p>
        </w:tc>
        <w:tc>
          <w:tcPr>
            <w:tcW w:w="480" w:type="dxa"/>
            <w:vAlign w:val="bottom"/>
            <w:gridSpan w:val="10"/>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3"/>
          </w:tcPr>
          <w:p>
            <w:pPr>
              <w:spacing w:after="0" w:line="196"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reference to Exhibit 10.2 to the Company’s Current Report on Form 8-K dated and filed with the SEC as of December 30, 2020 (File</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No. 001-36708))</w:t>
              </w:r>
            </w:hyperlink>
          </w:p>
        </w:tc>
        <w:tc>
          <w:tcPr>
            <w:tcW w:w="8340" w:type="dxa"/>
            <w:vAlign w:val="bottom"/>
            <w:tcBorders>
              <w:top w:val="single" w:sz="8" w:color="0000EE"/>
            </w:tcBorders>
            <w:gridSpan w:val="16"/>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10.19+</w:t>
            </w:r>
          </w:p>
        </w:tc>
        <w:tc>
          <w:tcPr>
            <w:tcW w:w="360" w:type="dxa"/>
            <w:vAlign w:val="bottom"/>
          </w:tcPr>
          <w:p>
            <w:pPr>
              <w:spacing w:after="0"/>
              <w:rPr>
                <w:sz w:val="24"/>
                <w:szCs w:val="24"/>
                <w:color w:val="auto"/>
              </w:rPr>
            </w:pPr>
          </w:p>
        </w:tc>
        <w:tc>
          <w:tcPr>
            <w:tcW w:w="9660" w:type="dxa"/>
            <w:vAlign w:val="bottom"/>
            <w:gridSpan w:val="23"/>
          </w:tcPr>
          <w:p>
            <w:pPr>
              <w:spacing w:after="0"/>
              <w:rPr>
                <w:rFonts w:ascii="Arial" w:cs="Arial" w:eastAsia="Arial" w:hAnsi="Arial"/>
                <w:sz w:val="18"/>
                <w:szCs w:val="18"/>
                <w:color w:val="0000EE"/>
                <w:w w:val="91"/>
              </w:rPr>
            </w:pPr>
            <w:hyperlink r:id="rId222">
              <w:r>
                <w:rPr>
                  <w:rFonts w:ascii="Arial" w:cs="Arial" w:eastAsia="Arial" w:hAnsi="Arial"/>
                  <w:sz w:val="18"/>
                  <w:szCs w:val="18"/>
                  <w:color w:val="0000EE"/>
                  <w:w w:val="91"/>
                </w:rPr>
                <w:t>Uniti Group Inc. 2015 Equity Incentive Plan, as amended and restated effective March 28, 2018 (incorporated by reference to Exhibit</w:t>
              </w:r>
            </w:hyperlink>
          </w:p>
        </w:tc>
      </w:tr>
      <w:tr>
        <w:trPr>
          <w:trHeight w:val="237"/>
        </w:trPr>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20" w:type="dxa"/>
            <w:vAlign w:val="bottom"/>
            <w:tcBorders>
              <w:top w:val="single" w:sz="8" w:color="0000EE"/>
            </w:tcBorders>
            <w:gridSpan w:val="21"/>
          </w:tcPr>
          <w:p>
            <w:pPr>
              <w:spacing w:after="0"/>
              <w:rPr>
                <w:rFonts w:ascii="Arial" w:cs="Arial" w:eastAsia="Arial" w:hAnsi="Arial"/>
                <w:sz w:val="18"/>
                <w:szCs w:val="18"/>
                <w:u w:val="single" w:color="auto"/>
                <w:color w:val="0000EE"/>
                <w:w w:val="96"/>
              </w:rPr>
            </w:pPr>
            <w:hyperlink r:id="rId222">
              <w:r>
                <w:rPr>
                  <w:rFonts w:ascii="Arial" w:cs="Arial" w:eastAsia="Arial" w:hAnsi="Arial"/>
                  <w:sz w:val="18"/>
                  <w:szCs w:val="18"/>
                  <w:u w:val="single" w:color="auto"/>
                  <w:color w:val="0000EE"/>
                  <w:w w:val="96"/>
                </w:rPr>
                <w:t>10.1 to the Company’s Current Report on Form 8-K dated and filed with the SEC as of March 29, 2018 (File No. 001-36708))</w:t>
              </w:r>
            </w:hyperlink>
          </w:p>
        </w:tc>
        <w:tc>
          <w:tcPr>
            <w:tcW w:w="40" w:type="dxa"/>
            <w:vAlign w:val="bottom"/>
            <w:gridSpan w:val="2"/>
          </w:tcPr>
          <w:p>
            <w:pPr>
              <w:spacing w:after="0"/>
              <w:rPr>
                <w:sz w:val="20"/>
                <w:szCs w:val="20"/>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10.20+</w:t>
            </w:r>
          </w:p>
        </w:tc>
        <w:tc>
          <w:tcPr>
            <w:tcW w:w="360" w:type="dxa"/>
            <w:vAlign w:val="bottom"/>
          </w:tcPr>
          <w:p>
            <w:pPr>
              <w:spacing w:after="0"/>
              <w:rPr>
                <w:sz w:val="24"/>
                <w:szCs w:val="24"/>
                <w:color w:val="auto"/>
              </w:rPr>
            </w:pPr>
          </w:p>
        </w:tc>
        <w:tc>
          <w:tcPr>
            <w:tcW w:w="9540" w:type="dxa"/>
            <w:vAlign w:val="bottom"/>
            <w:tcBorders>
              <w:bottom w:val="single" w:sz="8" w:color="0000EE"/>
            </w:tcBorders>
            <w:gridSpan w:val="17"/>
          </w:tcPr>
          <w:p>
            <w:pPr>
              <w:spacing w:after="0"/>
              <w:rPr>
                <w:rFonts w:ascii="Arial" w:cs="Arial" w:eastAsia="Arial" w:hAnsi="Arial"/>
                <w:sz w:val="18"/>
                <w:szCs w:val="18"/>
                <w:color w:val="0000EE"/>
                <w:w w:val="90"/>
              </w:rPr>
            </w:pPr>
            <w:hyperlink r:id="rId223">
              <w:r>
                <w:rPr>
                  <w:rFonts w:ascii="Arial" w:cs="Arial" w:eastAsia="Arial" w:hAnsi="Arial"/>
                  <w:sz w:val="18"/>
                  <w:szCs w:val="18"/>
                  <w:color w:val="0000EE"/>
                  <w:w w:val="90"/>
                </w:rPr>
                <w:t>Form of Restricted Shares Agreement for employees (incorporated by reference to Exhibit 10.3 to the Company’s Current Report on</w:t>
              </w:r>
            </w:hyperlink>
          </w:p>
        </w:tc>
        <w:tc>
          <w:tcPr>
            <w:tcW w:w="12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3"/>
          </w:tcPr>
          <w:p>
            <w:pPr>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Form 8-K dated and filed with the SEC as of June 3, 2015 (File No. 001-36708))</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2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10.21+</w:t>
            </w:r>
          </w:p>
        </w:tc>
        <w:tc>
          <w:tcPr>
            <w:tcW w:w="360" w:type="dxa"/>
            <w:vAlign w:val="bottom"/>
          </w:tcPr>
          <w:p>
            <w:pPr>
              <w:spacing w:after="0"/>
              <w:rPr>
                <w:sz w:val="24"/>
                <w:szCs w:val="24"/>
                <w:color w:val="auto"/>
              </w:rPr>
            </w:pPr>
          </w:p>
        </w:tc>
        <w:tc>
          <w:tcPr>
            <w:tcW w:w="9620" w:type="dxa"/>
            <w:vAlign w:val="bottom"/>
            <w:tcBorders>
              <w:bottom w:val="single" w:sz="8" w:color="0000EE"/>
            </w:tcBorders>
            <w:gridSpan w:val="21"/>
          </w:tcPr>
          <w:p>
            <w:pPr>
              <w:spacing w:after="0"/>
              <w:rPr>
                <w:rFonts w:ascii="Arial" w:cs="Arial" w:eastAsia="Arial" w:hAnsi="Arial"/>
                <w:sz w:val="18"/>
                <w:szCs w:val="18"/>
                <w:color w:val="0000EE"/>
                <w:w w:val="90"/>
              </w:rPr>
            </w:pPr>
            <w:hyperlink r:id="rId224">
              <w:r>
                <w:rPr>
                  <w:rFonts w:ascii="Arial" w:cs="Arial" w:eastAsia="Arial" w:hAnsi="Arial"/>
                  <w:sz w:val="18"/>
                  <w:szCs w:val="18"/>
                  <w:color w:val="0000EE"/>
                  <w:w w:val="90"/>
                </w:rPr>
                <w:t>Form of Restricted Shares Agreement for employees (incorporated by reference to Exhibit 10.19 to the Company’s Annual Report on</w:t>
              </w:r>
            </w:hyperlink>
          </w:p>
        </w:tc>
        <w:tc>
          <w:tcPr>
            <w:tcW w:w="4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3"/>
          </w:tcPr>
          <w:p>
            <w:pPr>
              <w:spacing w:after="0" w:line="196" w:lineRule="exact"/>
              <w:rPr>
                <w:rFonts w:ascii="Arial" w:cs="Arial" w:eastAsia="Arial" w:hAnsi="Arial"/>
                <w:sz w:val="18"/>
                <w:szCs w:val="18"/>
                <w:color w:val="0000EE"/>
              </w:rPr>
            </w:pPr>
            <w:hyperlink r:id="rId224">
              <w:r>
                <w:rPr>
                  <w:rFonts w:ascii="Arial" w:cs="Arial" w:eastAsia="Arial" w:hAnsi="Arial"/>
                  <w:sz w:val="18"/>
                  <w:szCs w:val="18"/>
                  <w:color w:val="0000EE"/>
                </w:rPr>
                <w:t>Form 10-K dated and filed with the SEC as of March 18, 2019 (File No. 001-36708))</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2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10.22+</w:t>
            </w:r>
          </w:p>
        </w:tc>
        <w:tc>
          <w:tcPr>
            <w:tcW w:w="360" w:type="dxa"/>
            <w:vAlign w:val="bottom"/>
          </w:tcPr>
          <w:p>
            <w:pPr>
              <w:spacing w:after="0"/>
              <w:rPr>
                <w:sz w:val="24"/>
                <w:szCs w:val="24"/>
                <w:color w:val="auto"/>
              </w:rPr>
            </w:pPr>
          </w:p>
        </w:tc>
        <w:tc>
          <w:tcPr>
            <w:tcW w:w="9660" w:type="dxa"/>
            <w:vAlign w:val="bottom"/>
            <w:gridSpan w:val="23"/>
          </w:tcPr>
          <w:p>
            <w:pPr>
              <w:spacing w:after="0"/>
              <w:rPr>
                <w:rFonts w:ascii="Arial" w:cs="Arial" w:eastAsia="Arial" w:hAnsi="Arial"/>
                <w:sz w:val="18"/>
                <w:szCs w:val="18"/>
                <w:color w:val="0000EE"/>
                <w:w w:val="92"/>
              </w:rPr>
            </w:pPr>
            <w:hyperlink r:id="rId225">
              <w:r>
                <w:rPr>
                  <w:rFonts w:ascii="Arial" w:cs="Arial" w:eastAsia="Arial" w:hAnsi="Arial"/>
                  <w:sz w:val="18"/>
                  <w:szCs w:val="18"/>
                  <w:color w:val="0000EE"/>
                  <w:w w:val="92"/>
                </w:rPr>
                <w:t>Form of Performance-Based Restricted Stock Unit Agreement (incorporated by reference to Exhibit 10.4 to the Company’s Current</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225">
              <w:r>
                <w:rPr>
                  <w:rFonts w:ascii="Arial" w:cs="Arial" w:eastAsia="Arial" w:hAnsi="Arial"/>
                  <w:sz w:val="18"/>
                  <w:szCs w:val="18"/>
                  <w:color w:val="0000EE"/>
                </w:rPr>
                <w:t>Report on Form 8-K dated and filed with the SEC as of June 3, 2015 (File No. 001-36708))</w:t>
              </w:r>
            </w:hyperlink>
          </w:p>
        </w:tc>
        <w:tc>
          <w:tcPr>
            <w:tcW w:w="200" w:type="dxa"/>
            <w:vAlign w:val="bottom"/>
            <w:gridSpan w:val="7"/>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2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10.23+</w:t>
            </w:r>
          </w:p>
        </w:tc>
        <w:tc>
          <w:tcPr>
            <w:tcW w:w="360" w:type="dxa"/>
            <w:vAlign w:val="bottom"/>
          </w:tcPr>
          <w:p>
            <w:pPr>
              <w:spacing w:after="0"/>
              <w:rPr>
                <w:sz w:val="24"/>
                <w:szCs w:val="24"/>
                <w:color w:val="auto"/>
              </w:rPr>
            </w:pPr>
          </w:p>
        </w:tc>
        <w:tc>
          <w:tcPr>
            <w:tcW w:w="9540" w:type="dxa"/>
            <w:vAlign w:val="bottom"/>
            <w:tcBorders>
              <w:bottom w:val="single" w:sz="8" w:color="0000EE"/>
            </w:tcBorders>
            <w:gridSpan w:val="17"/>
          </w:tcPr>
          <w:p>
            <w:pPr>
              <w:spacing w:after="0"/>
              <w:rPr>
                <w:rFonts w:ascii="Arial" w:cs="Arial" w:eastAsia="Arial" w:hAnsi="Arial"/>
                <w:sz w:val="18"/>
                <w:szCs w:val="18"/>
                <w:color w:val="0000EE"/>
                <w:w w:val="91"/>
              </w:rPr>
            </w:pPr>
            <w:hyperlink r:id="rId226">
              <w:r>
                <w:rPr>
                  <w:rFonts w:ascii="Arial" w:cs="Arial" w:eastAsia="Arial" w:hAnsi="Arial"/>
                  <w:sz w:val="18"/>
                  <w:szCs w:val="18"/>
                  <w:color w:val="0000EE"/>
                  <w:w w:val="91"/>
                </w:rPr>
                <w:t>Form of Performance-Based Restricted Stock Unit Agreement (incorporated by reference to Exhibit 10.21 to the Company’s Annual</w:t>
              </w:r>
            </w:hyperlink>
          </w:p>
        </w:tc>
        <w:tc>
          <w:tcPr>
            <w:tcW w:w="12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3"/>
          </w:tcPr>
          <w:p>
            <w:pPr>
              <w:spacing w:after="0" w:line="196" w:lineRule="exact"/>
              <w:rPr>
                <w:rFonts w:ascii="Arial" w:cs="Arial" w:eastAsia="Arial" w:hAnsi="Arial"/>
                <w:sz w:val="18"/>
                <w:szCs w:val="18"/>
                <w:color w:val="0000EE"/>
              </w:rPr>
            </w:pPr>
            <w:hyperlink r:id="rId226">
              <w:r>
                <w:rPr>
                  <w:rFonts w:ascii="Arial" w:cs="Arial" w:eastAsia="Arial" w:hAnsi="Arial"/>
                  <w:sz w:val="18"/>
                  <w:szCs w:val="18"/>
                  <w:color w:val="0000EE"/>
                </w:rPr>
                <w:t>Report on Form 10-K dated and filed with the SEC as of March 18, 2019 (File No. 001-36708))</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2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10.24+</w:t>
            </w:r>
          </w:p>
        </w:tc>
        <w:tc>
          <w:tcPr>
            <w:tcW w:w="360" w:type="dxa"/>
            <w:vAlign w:val="bottom"/>
          </w:tcPr>
          <w:p>
            <w:pPr>
              <w:spacing w:after="0"/>
              <w:rPr>
                <w:sz w:val="24"/>
                <w:szCs w:val="24"/>
                <w:color w:val="auto"/>
              </w:rPr>
            </w:pPr>
          </w:p>
        </w:tc>
        <w:tc>
          <w:tcPr>
            <w:tcW w:w="9120" w:type="dxa"/>
            <w:vAlign w:val="bottom"/>
            <w:tcBorders>
              <w:bottom w:val="single" w:sz="8" w:color="0000EE"/>
            </w:tcBorders>
            <w:gridSpan w:val="12"/>
          </w:tcPr>
          <w:p>
            <w:pPr>
              <w:spacing w:after="0"/>
              <w:rPr>
                <w:rFonts w:ascii="Arial" w:cs="Arial" w:eastAsia="Arial" w:hAnsi="Arial"/>
                <w:sz w:val="18"/>
                <w:szCs w:val="18"/>
                <w:color w:val="0000EE"/>
                <w:w w:val="90"/>
              </w:rPr>
            </w:pPr>
            <w:hyperlink r:id="rId227">
              <w:r>
                <w:rPr>
                  <w:rFonts w:ascii="Arial" w:cs="Arial" w:eastAsia="Arial" w:hAnsi="Arial"/>
                  <w:sz w:val="18"/>
                  <w:szCs w:val="18"/>
                  <w:color w:val="0000EE"/>
                  <w:w w:val="90"/>
                </w:rPr>
                <w:t>Form of Restricted Shares Agreement for non-employee directors (incorporated by reference to Exhibit 10.5 to the Company’s</w:t>
              </w:r>
            </w:hyperlink>
          </w:p>
        </w:tc>
        <w:tc>
          <w:tcPr>
            <w:tcW w:w="540" w:type="dxa"/>
            <w:vAlign w:val="bottom"/>
            <w:gridSpan w:val="11"/>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1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227">
              <w:r>
                <w:rPr>
                  <w:rFonts w:ascii="Arial" w:cs="Arial" w:eastAsia="Arial" w:hAnsi="Arial"/>
                  <w:sz w:val="18"/>
                  <w:szCs w:val="18"/>
                  <w:color w:val="0000EE"/>
                  <w:w w:val="91"/>
                </w:rPr>
                <w:t>Current Report on Form 8-K dated and filed with the SEC as of June 3, 2015 (File No. 001-36708))</w:t>
              </w:r>
            </w:hyperlink>
          </w:p>
        </w:tc>
        <w:tc>
          <w:tcPr>
            <w:tcW w:w="2480" w:type="dxa"/>
            <w:vAlign w:val="bottom"/>
            <w:gridSpan w:val="13"/>
          </w:tcPr>
          <w:p>
            <w:pPr>
              <w:spacing w:after="0"/>
              <w:rPr>
                <w:sz w:val="17"/>
                <w:szCs w:val="17"/>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10.25+</w:t>
            </w:r>
          </w:p>
        </w:tc>
        <w:tc>
          <w:tcPr>
            <w:tcW w:w="360" w:type="dxa"/>
            <w:vAlign w:val="bottom"/>
          </w:tcPr>
          <w:p>
            <w:pPr>
              <w:spacing w:after="0"/>
              <w:rPr>
                <w:sz w:val="24"/>
                <w:szCs w:val="24"/>
                <w:color w:val="auto"/>
              </w:rPr>
            </w:pPr>
          </w:p>
        </w:tc>
        <w:tc>
          <w:tcPr>
            <w:tcW w:w="9340" w:type="dxa"/>
            <w:vAlign w:val="bottom"/>
            <w:tcBorders>
              <w:bottom w:val="single" w:sz="8" w:color="0000EE"/>
            </w:tcBorders>
            <w:gridSpan w:val="15"/>
          </w:tcPr>
          <w:p>
            <w:pPr>
              <w:spacing w:after="0"/>
              <w:rPr>
                <w:rFonts w:ascii="Arial" w:cs="Arial" w:eastAsia="Arial" w:hAnsi="Arial"/>
                <w:sz w:val="18"/>
                <w:szCs w:val="18"/>
                <w:color w:val="0000EE"/>
                <w:w w:val="91"/>
              </w:rPr>
            </w:pPr>
            <w:hyperlink r:id="rId228">
              <w:r>
                <w:rPr>
                  <w:rFonts w:ascii="Arial" w:cs="Arial" w:eastAsia="Arial" w:hAnsi="Arial"/>
                  <w:sz w:val="18"/>
                  <w:szCs w:val="18"/>
                  <w:color w:val="0000EE"/>
                  <w:w w:val="91"/>
                </w:rPr>
                <w:t>Form of Indemnity Agreement (incorporated by reference to Exhibit 10.20 to the Company’s Registration Statement on Form S-4</w:t>
              </w:r>
            </w:hyperlink>
          </w:p>
        </w:tc>
        <w:tc>
          <w:tcPr>
            <w:tcW w:w="320" w:type="dxa"/>
            <w:vAlign w:val="bottom"/>
            <w:gridSpan w:val="8"/>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3"/>
          </w:tcPr>
          <w:p>
            <w:pPr>
              <w:spacing w:after="0" w:line="196" w:lineRule="exact"/>
              <w:rPr>
                <w:rFonts w:ascii="Arial" w:cs="Arial" w:eastAsia="Arial" w:hAnsi="Arial"/>
                <w:sz w:val="18"/>
                <w:szCs w:val="18"/>
                <w:color w:val="0000EE"/>
              </w:rPr>
            </w:pPr>
            <w:hyperlink r:id="rId228">
              <w:r>
                <w:rPr>
                  <w:rFonts w:ascii="Arial" w:cs="Arial" w:eastAsia="Arial" w:hAnsi="Arial"/>
                  <w:sz w:val="18"/>
                  <w:szCs w:val="18"/>
                  <w:color w:val="0000EE"/>
                </w:rPr>
                <w:t>dated and filed with the SEC as of July 2, 2015 (File No. 333-205450))</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20" w:type="dxa"/>
            <w:vAlign w:val="bottom"/>
            <w:gridSpan w:val="4"/>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10.26+</w:t>
            </w:r>
          </w:p>
        </w:tc>
        <w:tc>
          <w:tcPr>
            <w:tcW w:w="360" w:type="dxa"/>
            <w:vAlign w:val="bottom"/>
          </w:tcPr>
          <w:p>
            <w:pPr>
              <w:spacing w:after="0"/>
              <w:rPr>
                <w:sz w:val="24"/>
                <w:szCs w:val="24"/>
                <w:color w:val="auto"/>
              </w:rPr>
            </w:pPr>
          </w:p>
        </w:tc>
        <w:tc>
          <w:tcPr>
            <w:tcW w:w="9660" w:type="dxa"/>
            <w:vAlign w:val="bottom"/>
            <w:gridSpan w:val="23"/>
          </w:tcPr>
          <w:p>
            <w:pPr>
              <w:spacing w:after="0"/>
              <w:rPr>
                <w:rFonts w:ascii="Arial" w:cs="Arial" w:eastAsia="Arial" w:hAnsi="Arial"/>
                <w:sz w:val="18"/>
                <w:szCs w:val="18"/>
                <w:color w:val="0000EE"/>
                <w:w w:val="91"/>
              </w:rPr>
            </w:pPr>
            <w:hyperlink r:id="rId229">
              <w:r>
                <w:rPr>
                  <w:rFonts w:ascii="Arial" w:cs="Arial" w:eastAsia="Arial" w:hAnsi="Arial"/>
                  <w:sz w:val="18"/>
                  <w:szCs w:val="18"/>
                  <w:color w:val="0000EE"/>
                  <w:w w:val="91"/>
                </w:rPr>
                <w:t>Communications Sales &amp; Leasing, Inc. Deferred Compensation Plan, effective August 10, 2015 (incorporated by reference to Exhibit</w:t>
              </w:r>
            </w:hyperlink>
          </w:p>
        </w:tc>
      </w:tr>
      <w:tr>
        <w:trPr>
          <w:trHeight w:val="237"/>
        </w:trPr>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20" w:type="dxa"/>
            <w:vAlign w:val="bottom"/>
            <w:tcBorders>
              <w:top w:val="single" w:sz="8" w:color="0000EE"/>
            </w:tcBorders>
            <w:gridSpan w:val="21"/>
          </w:tcPr>
          <w:p>
            <w:pPr>
              <w:spacing w:after="0"/>
              <w:rPr>
                <w:rFonts w:ascii="Arial" w:cs="Arial" w:eastAsia="Arial" w:hAnsi="Arial"/>
                <w:sz w:val="18"/>
                <w:szCs w:val="18"/>
                <w:u w:val="single" w:color="auto"/>
                <w:color w:val="0000EE"/>
                <w:w w:val="92"/>
              </w:rPr>
            </w:pPr>
            <w:hyperlink r:id="rId229">
              <w:r>
                <w:rPr>
                  <w:rFonts w:ascii="Arial" w:cs="Arial" w:eastAsia="Arial" w:hAnsi="Arial"/>
                  <w:sz w:val="18"/>
                  <w:szCs w:val="18"/>
                  <w:u w:val="single" w:color="auto"/>
                  <w:color w:val="0000EE"/>
                  <w:w w:val="92"/>
                </w:rPr>
                <w:t>10.20 to the Company’s Quarterly Report on Form 10-Q dated and filed with the SEC as of August 13, 2015 (File No. 001-36708))</w:t>
              </w:r>
            </w:hyperlink>
          </w:p>
        </w:tc>
        <w:tc>
          <w:tcPr>
            <w:tcW w:w="40" w:type="dxa"/>
            <w:vAlign w:val="bottom"/>
            <w:gridSpan w:val="2"/>
          </w:tcPr>
          <w:p>
            <w:pPr>
              <w:spacing w:after="0"/>
              <w:rPr>
                <w:sz w:val="20"/>
                <w:szCs w:val="20"/>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10.27+</w:t>
            </w:r>
          </w:p>
        </w:tc>
        <w:tc>
          <w:tcPr>
            <w:tcW w:w="360" w:type="dxa"/>
            <w:vAlign w:val="bottom"/>
          </w:tcPr>
          <w:p>
            <w:pPr>
              <w:spacing w:after="0"/>
              <w:rPr>
                <w:sz w:val="24"/>
                <w:szCs w:val="24"/>
                <w:color w:val="auto"/>
              </w:rPr>
            </w:pPr>
          </w:p>
        </w:tc>
        <w:tc>
          <w:tcPr>
            <w:tcW w:w="9660" w:type="dxa"/>
            <w:vAlign w:val="bottom"/>
            <w:gridSpan w:val="23"/>
          </w:tcPr>
          <w:p>
            <w:pPr>
              <w:spacing w:after="0"/>
              <w:rPr>
                <w:rFonts w:ascii="Arial" w:cs="Arial" w:eastAsia="Arial" w:hAnsi="Arial"/>
                <w:sz w:val="18"/>
                <w:szCs w:val="18"/>
                <w:color w:val="0000EE"/>
                <w:w w:val="91"/>
              </w:rPr>
            </w:pPr>
            <w:hyperlink r:id="rId230">
              <w:r>
                <w:rPr>
                  <w:rFonts w:ascii="Arial" w:cs="Arial" w:eastAsia="Arial" w:hAnsi="Arial"/>
                  <w:sz w:val="18"/>
                  <w:szCs w:val="18"/>
                  <w:color w:val="0000EE"/>
                  <w:w w:val="91"/>
                </w:rPr>
                <w:t>Uniti Group Inc. Amended and Restated Employee Stock Purchase Plan (incorporated by reference to Exhibit 99.1 to the Company’s</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230">
              <w:r>
                <w:rPr>
                  <w:rFonts w:ascii="Arial" w:cs="Arial" w:eastAsia="Arial" w:hAnsi="Arial"/>
                  <w:sz w:val="18"/>
                  <w:szCs w:val="18"/>
                  <w:color w:val="0000EE"/>
                  <w:w w:val="90"/>
                </w:rPr>
                <w:t>Registration Statement on Form S-8 dated and filed with the SEC as of June 7, 2018 (File No. 333-225501))</w:t>
              </w:r>
            </w:hyperlink>
          </w:p>
        </w:tc>
        <w:tc>
          <w:tcPr>
            <w:tcW w:w="1780" w:type="dxa"/>
            <w:vAlign w:val="bottom"/>
            <w:tcBorders>
              <w:top w:val="single" w:sz="8" w:color="0000EE"/>
            </w:tcBorders>
            <w:gridSpan w:val="8"/>
          </w:tcPr>
          <w:p>
            <w:pPr>
              <w:spacing w:after="0"/>
              <w:rPr>
                <w:sz w:val="17"/>
                <w:szCs w:val="17"/>
                <w:color w:val="auto"/>
              </w:rPr>
            </w:pPr>
          </w:p>
        </w:tc>
        <w:tc>
          <w:tcPr>
            <w:tcW w:w="80" w:type="dxa"/>
            <w:vAlign w:val="bottom"/>
            <w:gridSpan w:val="4"/>
          </w:tcPr>
          <w:p>
            <w:pPr>
              <w:spacing w:after="0"/>
              <w:rPr>
                <w:sz w:val="17"/>
                <w:szCs w:val="17"/>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10.28+</w:t>
            </w:r>
          </w:p>
        </w:tc>
        <w:tc>
          <w:tcPr>
            <w:tcW w:w="360" w:type="dxa"/>
            <w:vAlign w:val="bottom"/>
          </w:tcPr>
          <w:p>
            <w:pPr>
              <w:spacing w:after="0"/>
              <w:rPr>
                <w:sz w:val="24"/>
                <w:szCs w:val="24"/>
                <w:color w:val="auto"/>
              </w:rPr>
            </w:pPr>
          </w:p>
        </w:tc>
        <w:tc>
          <w:tcPr>
            <w:tcW w:w="9660" w:type="dxa"/>
            <w:vAlign w:val="bottom"/>
            <w:gridSpan w:val="23"/>
          </w:tcPr>
          <w:p>
            <w:pPr>
              <w:spacing w:after="0"/>
              <w:rPr>
                <w:rFonts w:ascii="Arial" w:cs="Arial" w:eastAsia="Arial" w:hAnsi="Arial"/>
                <w:sz w:val="18"/>
                <w:szCs w:val="18"/>
                <w:color w:val="0000EE"/>
                <w:w w:val="92"/>
              </w:rPr>
            </w:pPr>
            <w:hyperlink r:id="rId231">
              <w:r>
                <w:rPr>
                  <w:rFonts w:ascii="Arial" w:cs="Arial" w:eastAsia="Arial" w:hAnsi="Arial"/>
                  <w:sz w:val="18"/>
                  <w:szCs w:val="18"/>
                  <w:color w:val="0000EE"/>
                  <w:w w:val="92"/>
                </w:rPr>
                <w:t>Uniti Group Inc. Annual Short-Term Incentive Plan (incorporated by reference to Exhibit 10.2 to the Company’s Quarterly Report on</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231">
              <w:r>
                <w:rPr>
                  <w:rFonts w:ascii="Arial" w:cs="Arial" w:eastAsia="Arial" w:hAnsi="Arial"/>
                  <w:sz w:val="18"/>
                  <w:szCs w:val="18"/>
                  <w:color w:val="0000EE"/>
                </w:rPr>
                <w:t>Form 10-Q dated and filed with the SEC as of May 11, 2020 (File No. 001-36708))</w:t>
              </w:r>
            </w:hyperlink>
          </w:p>
        </w:tc>
        <w:tc>
          <w:tcPr>
            <w:tcW w:w="60" w:type="dxa"/>
            <w:vAlign w:val="bottom"/>
            <w:gridSpan w:val="3"/>
          </w:tcPr>
          <w:p>
            <w:pPr>
              <w:spacing w:after="0"/>
              <w:rPr>
                <w:sz w:val="17"/>
                <w:szCs w:val="17"/>
                <w:color w:val="auto"/>
              </w:rPr>
            </w:pPr>
          </w:p>
        </w:tc>
      </w:tr>
      <w:tr>
        <w:trPr>
          <w:trHeight w:val="574"/>
        </w:trPr>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20" w:type="dxa"/>
            <w:vAlign w:val="bottom"/>
            <w:tcBorders>
              <w:top w:val="single" w:sz="8" w:color="0000EE"/>
            </w:tcBorders>
            <w:gridSpan w:val="4"/>
          </w:tcPr>
          <w:p>
            <w:pPr>
              <w:ind w:left="3880"/>
              <w:spacing w:after="0"/>
              <w:rPr>
                <w:sz w:val="20"/>
                <w:szCs w:val="20"/>
                <w:color w:val="auto"/>
              </w:rPr>
            </w:pPr>
            <w:r>
              <w:rPr>
                <w:rFonts w:ascii="Arial" w:cs="Arial" w:eastAsia="Arial" w:hAnsi="Arial"/>
                <w:sz w:val="18"/>
                <w:szCs w:val="18"/>
                <w:color w:val="auto"/>
              </w:rPr>
              <w:t>133</w:t>
            </w:r>
          </w:p>
        </w:tc>
        <w:tc>
          <w:tcPr>
            <w:tcW w:w="7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0"/>
        </w:trPr>
        <w:tc>
          <w:tcPr>
            <w:tcW w:w="1600" w:type="dxa"/>
            <w:vAlign w:val="bottom"/>
            <w:gridSpan w:val="2"/>
          </w:tcPr>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tc>
        <w:tc>
          <w:tcPr>
            <w:tcW w:w="13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4"/>
        </w:trPr>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 No.</w:t>
            </w:r>
          </w:p>
        </w:tc>
        <w:tc>
          <w:tcPr>
            <w:tcW w:w="1340" w:type="dxa"/>
            <w:vAlign w:val="bottom"/>
          </w:tcPr>
          <w:p>
            <w:pPr>
              <w:spacing w:after="0"/>
              <w:rPr>
                <w:sz w:val="24"/>
                <w:szCs w:val="24"/>
                <w:color w:val="auto"/>
              </w:rPr>
            </w:pPr>
          </w:p>
        </w:tc>
        <w:tc>
          <w:tcPr>
            <w:tcW w:w="8320" w:type="dxa"/>
            <w:vAlign w:val="bottom"/>
            <w:gridSpan w:val="7"/>
          </w:tcPr>
          <w:p>
            <w:pPr>
              <w:ind w:left="304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2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10.29</w:t>
            </w:r>
          </w:p>
        </w:tc>
        <w:tc>
          <w:tcPr>
            <w:tcW w:w="360" w:type="dxa"/>
            <w:vAlign w:val="bottom"/>
          </w:tcPr>
          <w:p>
            <w:pPr>
              <w:spacing w:after="0"/>
              <w:rPr>
                <w:sz w:val="16"/>
                <w:szCs w:val="16"/>
                <w:color w:val="auto"/>
              </w:rPr>
            </w:pPr>
          </w:p>
        </w:tc>
        <w:tc>
          <w:tcPr>
            <w:tcW w:w="9560" w:type="dxa"/>
            <w:vAlign w:val="bottom"/>
            <w:tcBorders>
              <w:top w:val="single" w:sz="8" w:color="auto"/>
              <w:bottom w:val="single" w:sz="8" w:color="0000EE"/>
            </w:tcBorders>
            <w:gridSpan w:val="4"/>
          </w:tcPr>
          <w:p>
            <w:pPr>
              <w:spacing w:after="0" w:line="189" w:lineRule="exact"/>
              <w:rPr>
                <w:rFonts w:ascii="Arial" w:cs="Arial" w:eastAsia="Arial" w:hAnsi="Arial"/>
                <w:sz w:val="18"/>
                <w:szCs w:val="18"/>
                <w:color w:val="0000EE"/>
                <w:w w:val="91"/>
              </w:rPr>
            </w:pPr>
            <w:hyperlink r:id="rId234">
              <w:r>
                <w:rPr>
                  <w:rFonts w:ascii="Arial" w:cs="Arial" w:eastAsia="Arial" w:hAnsi="Arial"/>
                  <w:sz w:val="18"/>
                  <w:szCs w:val="18"/>
                  <w:color w:val="0000EE"/>
                  <w:w w:val="91"/>
                </w:rPr>
                <w:t>Form of binding Letter of Intent to purchase Settlement Common Stock (incorporated by reference to Exhibit 10.2 to the Company’s</w:t>
              </w:r>
            </w:hyperlink>
          </w:p>
        </w:tc>
        <w:tc>
          <w:tcPr>
            <w:tcW w:w="100" w:type="dxa"/>
            <w:vAlign w:val="bottom"/>
            <w:tcBorders>
              <w:top w:val="single" w:sz="8" w:color="auto"/>
            </w:tcBorders>
            <w:gridSpan w:val="4"/>
          </w:tcPr>
          <w:p>
            <w:pPr>
              <w:spacing w:after="0"/>
              <w:rPr>
                <w:sz w:val="16"/>
                <w:szCs w:val="16"/>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3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234">
              <w:r>
                <w:rPr>
                  <w:rFonts w:ascii="Arial" w:cs="Arial" w:eastAsia="Arial" w:hAnsi="Arial"/>
                  <w:sz w:val="18"/>
                  <w:szCs w:val="18"/>
                  <w:color w:val="0000EE"/>
                  <w:w w:val="91"/>
                </w:rPr>
                <w:t>Current Report on Form 8-K dated and filed with the SEC as of March 2, 2020 (File No. 001-36708))</w:t>
              </w:r>
            </w:hyperlink>
          </w:p>
        </w:tc>
        <w:tc>
          <w:tcPr>
            <w:tcW w:w="2340" w:type="dxa"/>
            <w:vAlign w:val="bottom"/>
            <w:gridSpan w:val="5"/>
          </w:tcPr>
          <w:p>
            <w:pPr>
              <w:spacing w:after="0"/>
              <w:rPr>
                <w:sz w:val="17"/>
                <w:szCs w:val="17"/>
                <w:color w:val="auto"/>
              </w:rPr>
            </w:pPr>
          </w:p>
        </w:tc>
      </w:tr>
      <w:tr>
        <w:trPr>
          <w:trHeight w:val="372"/>
        </w:trPr>
        <w:tc>
          <w:tcPr>
            <w:tcW w:w="1240" w:type="dxa"/>
            <w:vAlign w:val="bottom"/>
          </w:tcPr>
          <w:p>
            <w:pPr>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24"/>
                <w:szCs w:val="24"/>
                <w:color w:val="auto"/>
              </w:rPr>
            </w:pPr>
          </w:p>
        </w:tc>
        <w:tc>
          <w:tcPr>
            <w:tcW w:w="9660" w:type="dxa"/>
            <w:vAlign w:val="bottom"/>
            <w:gridSpan w:val="8"/>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List of Subsidiaries of Uniti Group Inc.</w:t>
              </w:r>
            </w:hyperlink>
          </w:p>
        </w:tc>
      </w:tr>
      <w:tr>
        <w:trPr>
          <w:trHeight w:val="351"/>
        </w:trPr>
        <w:tc>
          <w:tcPr>
            <w:tcW w:w="1240" w:type="dxa"/>
            <w:vAlign w:val="bottom"/>
          </w:tcPr>
          <w:p>
            <w:pPr>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9660" w:type="dxa"/>
            <w:vAlign w:val="bottom"/>
            <w:gridSpan w:val="8"/>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Consent of KPMG LLP, independent registered public accounting firm</w:t>
              </w:r>
            </w:hyperlink>
          </w:p>
        </w:tc>
      </w:tr>
      <w:tr>
        <w:trPr>
          <w:trHeight w:val="351"/>
        </w:trPr>
        <w:tc>
          <w:tcPr>
            <w:tcW w:w="1240" w:type="dxa"/>
            <w:vAlign w:val="bottom"/>
          </w:tcPr>
          <w:p>
            <w:pPr>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4"/>
                <w:szCs w:val="24"/>
                <w:color w:val="auto"/>
              </w:rPr>
            </w:pPr>
          </w:p>
        </w:tc>
        <w:tc>
          <w:tcPr>
            <w:tcW w:w="9660" w:type="dxa"/>
            <w:vAlign w:val="bottom"/>
            <w:gridSpan w:val="8"/>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Consent of PricewaterhouseCoopers LLP, independent registered public accounting firm</w:t>
              </w:r>
            </w:hyperlink>
          </w:p>
        </w:tc>
      </w:tr>
      <w:tr>
        <w:trPr>
          <w:trHeight w:val="311"/>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96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47">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4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8"/>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Adopted Pursuant to Section 302 of the Sarbanes-Oxley Act of 2002.</w:t>
              </w:r>
            </w:hyperlink>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640" w:type="dxa"/>
            <w:vAlign w:val="bottom"/>
            <w:tcBorders>
              <w:right w:val="single" w:sz="8" w:color="0000EE"/>
            </w:tcBorders>
            <w:shd w:val="clear" w:color="auto" w:fill="0000EE"/>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1"/>
        </w:trPr>
        <w:tc>
          <w:tcPr>
            <w:tcW w:w="1240" w:type="dxa"/>
            <w:vAlign w:val="bottom"/>
          </w:tcPr>
          <w:p>
            <w:pPr>
              <w:ind w:left="18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95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48">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8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48">
              <w:r>
                <w:rPr>
                  <w:rFonts w:ascii="Arial" w:cs="Arial" w:eastAsia="Arial" w:hAnsi="Arial"/>
                  <w:sz w:val="18"/>
                  <w:szCs w:val="18"/>
                  <w:color w:val="0000EE"/>
                  <w:w w:val="90"/>
                </w:rPr>
                <w:t>Adopted Pursuant to Section 302 of the Sarbanes-Oxley Act of 2002</w:t>
              </w:r>
            </w:hyperlink>
          </w:p>
        </w:tc>
        <w:tc>
          <w:tcPr>
            <w:tcW w:w="4680" w:type="dxa"/>
            <w:vAlign w:val="bottom"/>
            <w:gridSpan w:val="6"/>
          </w:tcPr>
          <w:p>
            <w:pPr>
              <w:spacing w:after="0"/>
              <w:rPr>
                <w:sz w:val="17"/>
                <w:szCs w:val="17"/>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9660" w:type="dxa"/>
            <w:vAlign w:val="bottom"/>
            <w:gridSpan w:val="8"/>
          </w:tcPr>
          <w:p>
            <w:pPr>
              <w:spacing w:after="0"/>
              <w:rPr>
                <w:rFonts w:ascii="Arial" w:cs="Arial" w:eastAsia="Arial" w:hAnsi="Arial"/>
                <w:sz w:val="18"/>
                <w:szCs w:val="18"/>
                <w:color w:val="0000EE"/>
                <w:w w:val="91"/>
              </w:rPr>
            </w:pPr>
            <w:hyperlink w:anchor="page149">
              <w:r>
                <w:rPr>
                  <w:rFonts w:ascii="Arial" w:cs="Arial" w:eastAsia="Arial" w:hAnsi="Arial"/>
                  <w:sz w:val="18"/>
                  <w:szCs w:val="18"/>
                  <w:color w:val="0000EE"/>
                  <w:w w:val="91"/>
                </w:rPr>
                <w:t>Certification of Principal Executive Officer Pursuant to 18 U.S.C. Section 1350, as Adopted Pursuant to Section 906 of the Sarbanes-</w:t>
              </w:r>
            </w:hyperlink>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Oxley Act of 2002</w:t>
              </w:r>
            </w:hyperlink>
          </w:p>
        </w:tc>
        <w:tc>
          <w:tcPr>
            <w:tcW w:w="60" w:type="dxa"/>
            <w:vAlign w:val="bottom"/>
            <w:gridSpan w:val="2"/>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2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95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50">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10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8"/>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Oxley Act of 2002</w:t>
              </w:r>
            </w:hyperlink>
          </w:p>
        </w:tc>
      </w:tr>
      <w:tr>
        <w:trPr>
          <w:trHeight w:val="20"/>
        </w:trPr>
        <w:tc>
          <w:tcPr>
            <w:tcW w:w="1600" w:type="dxa"/>
            <w:vAlign w:val="bottom"/>
            <w:gridSpan w:val="2"/>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320" w:type="dxa"/>
            <w:vAlign w:val="bottom"/>
            <w:gridSpan w:val="7"/>
          </w:tcPr>
          <w:p>
            <w:pPr>
              <w:spacing w:after="0" w:line="20" w:lineRule="exact"/>
              <w:rPr>
                <w:sz w:val="1"/>
                <w:szCs w:val="1"/>
                <w:color w:val="auto"/>
              </w:rPr>
            </w:pPr>
          </w:p>
        </w:tc>
      </w:tr>
      <w:tr>
        <w:trPr>
          <w:trHeight w:val="357"/>
        </w:trPr>
        <w:tc>
          <w:tcPr>
            <w:tcW w:w="16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660" w:type="dxa"/>
            <w:vAlign w:val="bottom"/>
            <w:gridSpan w:val="8"/>
          </w:tcPr>
          <w:p>
            <w:pPr>
              <w:spacing w:after="0"/>
              <w:rPr>
                <w:sz w:val="20"/>
                <w:szCs w:val="20"/>
                <w:color w:val="auto"/>
              </w:rPr>
            </w:pPr>
            <w:r>
              <w:rPr>
                <w:rFonts w:ascii="Arial" w:cs="Arial" w:eastAsia="Arial" w:hAnsi="Arial"/>
                <w:sz w:val="18"/>
                <w:szCs w:val="18"/>
                <w:color w:val="212529"/>
                <w:w w:val="96"/>
              </w:rPr>
              <w:t xml:space="preserve">Inline </w:t>
            </w:r>
            <w:r>
              <w:rPr>
                <w:rFonts w:ascii="Arial" w:cs="Arial" w:eastAsia="Arial" w:hAnsi="Arial"/>
                <w:sz w:val="18"/>
                <w:szCs w:val="18"/>
                <w:color w:val="000000"/>
                <w:w w:val="96"/>
              </w:rPr>
              <w:t>XBRL Instance Document – the instance document does not appear in the Interactive Data File because XBRL tags are</w:t>
            </w:r>
          </w:p>
        </w:tc>
      </w:tr>
      <w:tr>
        <w:trPr>
          <w:trHeight w:val="230"/>
        </w:trPr>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6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51"/>
        </w:trPr>
        <w:tc>
          <w:tcPr>
            <w:tcW w:w="16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660" w:type="dxa"/>
            <w:vAlign w:val="bottom"/>
            <w:gridSpan w:val="8"/>
          </w:tcPr>
          <w:p>
            <w:pPr>
              <w:spacing w:after="0"/>
              <w:rPr>
                <w:sz w:val="20"/>
                <w:szCs w:val="20"/>
                <w:color w:val="auto"/>
              </w:rPr>
            </w:pPr>
            <w:r>
              <w:rPr>
                <w:rFonts w:ascii="Arial" w:cs="Arial" w:eastAsia="Arial" w:hAnsi="Arial"/>
                <w:sz w:val="18"/>
                <w:szCs w:val="18"/>
                <w:color w:val="212529"/>
              </w:rPr>
              <w:t xml:space="preserve">Inline </w:t>
            </w:r>
            <w:r>
              <w:rPr>
                <w:rFonts w:ascii="Arial" w:cs="Arial" w:eastAsia="Arial" w:hAnsi="Arial"/>
                <w:sz w:val="18"/>
                <w:szCs w:val="18"/>
                <w:color w:val="000000"/>
              </w:rPr>
              <w:t>XBRL Taxonomy Extension Schema Document</w:t>
            </w:r>
          </w:p>
        </w:tc>
      </w:tr>
      <w:tr>
        <w:trPr>
          <w:trHeight w:val="351"/>
        </w:trPr>
        <w:tc>
          <w:tcPr>
            <w:tcW w:w="16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660" w:type="dxa"/>
            <w:vAlign w:val="bottom"/>
            <w:gridSpan w:val="8"/>
          </w:tcPr>
          <w:p>
            <w:pPr>
              <w:spacing w:after="0"/>
              <w:rPr>
                <w:sz w:val="20"/>
                <w:szCs w:val="20"/>
                <w:color w:val="auto"/>
              </w:rPr>
            </w:pPr>
            <w:r>
              <w:rPr>
                <w:rFonts w:ascii="Arial" w:cs="Arial" w:eastAsia="Arial" w:hAnsi="Arial"/>
                <w:sz w:val="18"/>
                <w:szCs w:val="18"/>
                <w:color w:val="212529"/>
              </w:rPr>
              <w:t xml:space="preserve">Inline </w:t>
            </w:r>
            <w:r>
              <w:rPr>
                <w:rFonts w:ascii="Arial" w:cs="Arial" w:eastAsia="Arial" w:hAnsi="Arial"/>
                <w:sz w:val="18"/>
                <w:szCs w:val="18"/>
                <w:color w:val="000000"/>
              </w:rPr>
              <w:t>XBRL Taxonomy Extension Calculation Linkbase Document</w:t>
            </w:r>
          </w:p>
        </w:tc>
      </w:tr>
      <w:tr>
        <w:trPr>
          <w:trHeight w:val="351"/>
        </w:trPr>
        <w:tc>
          <w:tcPr>
            <w:tcW w:w="16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660" w:type="dxa"/>
            <w:vAlign w:val="bottom"/>
            <w:gridSpan w:val="8"/>
          </w:tcPr>
          <w:p>
            <w:pPr>
              <w:spacing w:after="0"/>
              <w:rPr>
                <w:sz w:val="20"/>
                <w:szCs w:val="20"/>
                <w:color w:val="auto"/>
              </w:rPr>
            </w:pPr>
            <w:r>
              <w:rPr>
                <w:rFonts w:ascii="Arial" w:cs="Arial" w:eastAsia="Arial" w:hAnsi="Arial"/>
                <w:sz w:val="18"/>
                <w:szCs w:val="18"/>
                <w:color w:val="212529"/>
              </w:rPr>
              <w:t xml:space="preserve">Inline </w:t>
            </w:r>
            <w:r>
              <w:rPr>
                <w:rFonts w:ascii="Arial" w:cs="Arial" w:eastAsia="Arial" w:hAnsi="Arial"/>
                <w:sz w:val="18"/>
                <w:szCs w:val="18"/>
                <w:color w:val="000000"/>
              </w:rPr>
              <w:t>XBRL Taxonomy Extension Definition Linkbase Document</w:t>
            </w:r>
          </w:p>
        </w:tc>
      </w:tr>
      <w:tr>
        <w:trPr>
          <w:trHeight w:val="351"/>
        </w:trPr>
        <w:tc>
          <w:tcPr>
            <w:tcW w:w="16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660" w:type="dxa"/>
            <w:vAlign w:val="bottom"/>
            <w:gridSpan w:val="8"/>
          </w:tcPr>
          <w:p>
            <w:pPr>
              <w:spacing w:after="0"/>
              <w:rPr>
                <w:sz w:val="20"/>
                <w:szCs w:val="20"/>
                <w:color w:val="auto"/>
              </w:rPr>
            </w:pPr>
            <w:r>
              <w:rPr>
                <w:rFonts w:ascii="Arial" w:cs="Arial" w:eastAsia="Arial" w:hAnsi="Arial"/>
                <w:sz w:val="18"/>
                <w:szCs w:val="18"/>
                <w:color w:val="212529"/>
              </w:rPr>
              <w:t xml:space="preserve">Inline </w:t>
            </w:r>
            <w:r>
              <w:rPr>
                <w:rFonts w:ascii="Arial" w:cs="Arial" w:eastAsia="Arial" w:hAnsi="Arial"/>
                <w:sz w:val="18"/>
                <w:szCs w:val="18"/>
                <w:color w:val="000000"/>
              </w:rPr>
              <w:t>XBRL Taxonomy Extension Label Linkbase Document</w:t>
            </w:r>
          </w:p>
        </w:tc>
      </w:tr>
      <w:tr>
        <w:trPr>
          <w:trHeight w:val="351"/>
        </w:trPr>
        <w:tc>
          <w:tcPr>
            <w:tcW w:w="16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660" w:type="dxa"/>
            <w:vAlign w:val="bottom"/>
            <w:gridSpan w:val="8"/>
          </w:tcPr>
          <w:p>
            <w:pPr>
              <w:spacing w:after="0"/>
              <w:rPr>
                <w:sz w:val="20"/>
                <w:szCs w:val="20"/>
                <w:color w:val="auto"/>
              </w:rPr>
            </w:pPr>
            <w:r>
              <w:rPr>
                <w:rFonts w:ascii="Arial" w:cs="Arial" w:eastAsia="Arial" w:hAnsi="Arial"/>
                <w:sz w:val="18"/>
                <w:szCs w:val="18"/>
                <w:color w:val="212529"/>
              </w:rPr>
              <w:t xml:space="preserve">Inline </w:t>
            </w:r>
            <w:r>
              <w:rPr>
                <w:rFonts w:ascii="Arial" w:cs="Arial" w:eastAsia="Arial" w:hAnsi="Arial"/>
                <w:sz w:val="18"/>
                <w:szCs w:val="18"/>
                <w:color w:val="000000"/>
              </w:rPr>
              <w:t>XBRL Taxonomy Extension Presentation Linkbase Document</w:t>
            </w:r>
          </w:p>
        </w:tc>
      </w:tr>
      <w:tr>
        <w:trPr>
          <w:trHeight w:val="351"/>
        </w:trPr>
        <w:tc>
          <w:tcPr>
            <w:tcW w:w="1240" w:type="dxa"/>
            <w:vAlign w:val="bottom"/>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966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373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36"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80" w:right="200" w:hanging="572"/>
        <w:spacing w:after="0" w:line="277" w:lineRule="auto"/>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Certain portions of this exhibit have been omitted pursuant to a request for confidential treatment granted by, and have been filed separately with, the Securities and Exchange Commission. Also, certain exhibits and schedules to this exhibit have been omitted pursuant to Item 601(b)(2) of Regulation S-K. The Company agrees to furnish a supplemental copy of any such omitted exhibit or schedule to the Securities and Exchange Commission upon request but may request confidential treatment for any exhibit or schedule so furnished.</w:t>
      </w:r>
    </w:p>
    <w:p>
      <w:pPr>
        <w:spacing w:after="0" w:line="2"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Constitutes a management contract or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UNITI GROUP INC.</w:t>
      </w:r>
    </w:p>
    <w:p>
      <w:pPr>
        <w:spacing w:after="0" w:line="252" w:lineRule="exact"/>
        <w:rPr>
          <w:sz w:val="20"/>
          <w:szCs w:val="20"/>
          <w:color w:val="auto"/>
        </w:rPr>
      </w:pPr>
    </w:p>
    <w:p>
      <w:pPr>
        <w:spacing w:after="0"/>
        <w:tabs>
          <w:tab w:leader="none" w:pos="5720" w:val="left"/>
          <w:tab w:leader="none" w:pos="7660" w:val="left"/>
        </w:tabs>
        <w:rPr>
          <w:sz w:val="20"/>
          <w:szCs w:val="20"/>
          <w:color w:val="auto"/>
        </w:rPr>
      </w:pPr>
      <w:r>
        <w:rPr>
          <w:rFonts w:ascii="Arial" w:cs="Arial" w:eastAsia="Arial" w:hAnsi="Arial"/>
          <w:sz w:val="18"/>
          <w:szCs w:val="18"/>
          <w:color w:val="auto"/>
        </w:rPr>
        <w:t>Date: March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Kenneth A. Gunderman</w:t>
      </w:r>
    </w:p>
    <w:p>
      <w:pPr>
        <w:spacing w:after="0" w:line="27"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24"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ind w:left="1280"/>
              <w:spacing w:after="0"/>
              <w:rPr>
                <w:sz w:val="20"/>
                <w:szCs w:val="20"/>
                <w:color w:val="auto"/>
              </w:rPr>
            </w:pPr>
            <w:r>
              <w:rPr>
                <w:rFonts w:ascii="Arial" w:cs="Arial" w:eastAsia="Arial" w:hAnsi="Arial"/>
                <w:sz w:val="14"/>
                <w:szCs w:val="14"/>
                <w:b w:val="1"/>
                <w:bCs w:val="1"/>
                <w:color w:val="auto"/>
              </w:rPr>
              <w:t>Name</w:t>
            </w:r>
          </w:p>
        </w:tc>
        <w:tc>
          <w:tcPr>
            <w:tcW w:w="5700" w:type="dxa"/>
            <w:vAlign w:val="bottom"/>
          </w:tcPr>
          <w:p>
            <w:pPr>
              <w:ind w:left="2800"/>
              <w:spacing w:after="0"/>
              <w:rPr>
                <w:sz w:val="20"/>
                <w:szCs w:val="20"/>
                <w:color w:val="auto"/>
              </w:rPr>
            </w:pPr>
            <w:r>
              <w:rPr>
                <w:rFonts w:ascii="Arial" w:cs="Arial" w:eastAsia="Arial" w:hAnsi="Arial"/>
                <w:sz w:val="14"/>
                <w:szCs w:val="14"/>
                <w:b w:val="1"/>
                <w:bCs w:val="1"/>
                <w:color w:val="auto"/>
              </w:rPr>
              <w:t>Title</w:t>
            </w:r>
          </w:p>
        </w:tc>
        <w:tc>
          <w:tcPr>
            <w:tcW w:w="1940" w:type="dxa"/>
            <w:vAlign w:val="bottom"/>
          </w:tcPr>
          <w:p>
            <w:pPr>
              <w:jc w:val="center"/>
              <w:ind w:left="772"/>
              <w:spacing w:after="0"/>
              <w:rPr>
                <w:sz w:val="20"/>
                <w:szCs w:val="20"/>
                <w:color w:val="auto"/>
              </w:rPr>
            </w:pPr>
            <w:r>
              <w:rPr>
                <w:rFonts w:ascii="Arial" w:cs="Arial" w:eastAsia="Arial" w:hAnsi="Arial"/>
                <w:sz w:val="14"/>
                <w:szCs w:val="14"/>
                <w:b w:val="1"/>
                <w:bCs w:val="1"/>
                <w:color w:val="auto"/>
                <w:w w:val="92"/>
              </w:rPr>
              <w:t>Date</w:t>
            </w:r>
          </w:p>
        </w:tc>
      </w:tr>
      <w:tr>
        <w:trPr>
          <w:trHeight w:val="593"/>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A. Gunderman</w:t>
            </w:r>
          </w:p>
        </w:tc>
        <w:tc>
          <w:tcPr>
            <w:tcW w:w="570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c>
          <w:tcPr>
            <w:tcW w:w="1940" w:type="dxa"/>
            <w:vAlign w:val="bottom"/>
          </w:tcPr>
          <w:p>
            <w:pPr>
              <w:jc w:val="center"/>
              <w:ind w:left="792"/>
              <w:spacing w:after="0"/>
              <w:rPr>
                <w:sz w:val="20"/>
                <w:szCs w:val="20"/>
                <w:color w:val="auto"/>
              </w:rPr>
            </w:pPr>
            <w:r>
              <w:rPr>
                <w:rFonts w:ascii="Arial" w:cs="Arial" w:eastAsia="Arial" w:hAnsi="Arial"/>
                <w:sz w:val="18"/>
                <w:szCs w:val="18"/>
                <w:color w:val="auto"/>
                <w:w w:val="92"/>
              </w:rPr>
              <w:t>March 5, 2021</w:t>
            </w:r>
          </w:p>
        </w:tc>
      </w:tr>
      <w:tr>
        <w:trPr>
          <w:trHeight w:val="238"/>
        </w:trPr>
        <w:tc>
          <w:tcPr>
            <w:tcW w:w="2920" w:type="dxa"/>
            <w:vAlign w:val="bottom"/>
          </w:tcPr>
          <w:p>
            <w:pPr>
              <w:ind w:left="220"/>
              <w:spacing w:after="0"/>
              <w:rPr>
                <w:sz w:val="20"/>
                <w:szCs w:val="20"/>
                <w:color w:val="auto"/>
              </w:rPr>
            </w:pPr>
            <w:r>
              <w:rPr>
                <w:rFonts w:ascii="Arial" w:cs="Arial" w:eastAsia="Arial" w:hAnsi="Arial"/>
                <w:sz w:val="14"/>
                <w:szCs w:val="14"/>
                <w:b w:val="1"/>
                <w:bCs w:val="1"/>
                <w:color w:val="auto"/>
              </w:rPr>
              <w:t>Kenneth A. Gunderman</w:t>
            </w:r>
          </w:p>
        </w:tc>
        <w:tc>
          <w:tcPr>
            <w:tcW w:w="570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940" w:type="dxa"/>
            <w:vAlign w:val="bottom"/>
          </w:tcPr>
          <w:p>
            <w:pPr>
              <w:spacing w:after="0"/>
              <w:rPr>
                <w:sz w:val="20"/>
                <w:szCs w:val="20"/>
                <w:color w:val="auto"/>
              </w:rPr>
            </w:pPr>
          </w:p>
        </w:tc>
      </w:tr>
      <w:tr>
        <w:trPr>
          <w:trHeight w:val="633"/>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Wallace</w:t>
            </w:r>
          </w:p>
        </w:tc>
        <w:tc>
          <w:tcPr>
            <w:tcW w:w="5700" w:type="dxa"/>
            <w:vAlign w:val="bottom"/>
          </w:tcPr>
          <w:p>
            <w:pPr>
              <w:ind w:left="120"/>
              <w:spacing w:after="0"/>
              <w:rPr>
                <w:sz w:val="20"/>
                <w:szCs w:val="20"/>
                <w:color w:val="auto"/>
              </w:rPr>
            </w:pPr>
            <w:r>
              <w:rPr>
                <w:rFonts w:ascii="Arial" w:cs="Arial" w:eastAsia="Arial" w:hAnsi="Arial"/>
                <w:sz w:val="18"/>
                <w:szCs w:val="18"/>
                <w:color w:val="auto"/>
              </w:rPr>
              <w:t>Executive Vice President – Chief Financial Officer and Treasurer</w:t>
            </w:r>
          </w:p>
        </w:tc>
        <w:tc>
          <w:tcPr>
            <w:tcW w:w="1940" w:type="dxa"/>
            <w:vAlign w:val="bottom"/>
          </w:tcPr>
          <w:p>
            <w:pPr>
              <w:jc w:val="center"/>
              <w:ind w:left="792"/>
              <w:spacing w:after="0"/>
              <w:rPr>
                <w:sz w:val="20"/>
                <w:szCs w:val="20"/>
                <w:color w:val="auto"/>
              </w:rPr>
            </w:pPr>
            <w:r>
              <w:rPr>
                <w:rFonts w:ascii="Arial" w:cs="Arial" w:eastAsia="Arial" w:hAnsi="Arial"/>
                <w:sz w:val="18"/>
                <w:szCs w:val="18"/>
                <w:color w:val="auto"/>
                <w:w w:val="92"/>
              </w:rPr>
              <w:t>March 5, 2021</w:t>
            </w:r>
          </w:p>
        </w:tc>
      </w:tr>
      <w:tr>
        <w:trPr>
          <w:trHeight w:val="238"/>
        </w:trPr>
        <w:tc>
          <w:tcPr>
            <w:tcW w:w="2920" w:type="dxa"/>
            <w:vAlign w:val="bottom"/>
          </w:tcPr>
          <w:p>
            <w:pPr>
              <w:ind w:left="220"/>
              <w:spacing w:after="0"/>
              <w:rPr>
                <w:sz w:val="20"/>
                <w:szCs w:val="20"/>
                <w:color w:val="auto"/>
              </w:rPr>
            </w:pPr>
            <w:r>
              <w:rPr>
                <w:rFonts w:ascii="Arial" w:cs="Arial" w:eastAsia="Arial" w:hAnsi="Arial"/>
                <w:sz w:val="14"/>
                <w:szCs w:val="14"/>
                <w:b w:val="1"/>
                <w:bCs w:val="1"/>
                <w:color w:val="auto"/>
              </w:rPr>
              <w:t>Mark A. Wallace</w:t>
            </w:r>
          </w:p>
        </w:tc>
        <w:tc>
          <w:tcPr>
            <w:tcW w:w="570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Officer)</w:t>
            </w:r>
          </w:p>
        </w:tc>
        <w:tc>
          <w:tcPr>
            <w:tcW w:w="1940" w:type="dxa"/>
            <w:vAlign w:val="bottom"/>
          </w:tcPr>
          <w:p>
            <w:pPr>
              <w:spacing w:after="0"/>
              <w:rPr>
                <w:sz w:val="20"/>
                <w:szCs w:val="20"/>
                <w:color w:val="auto"/>
              </w:rPr>
            </w:pPr>
          </w:p>
        </w:tc>
      </w:tr>
      <w:tr>
        <w:trPr>
          <w:trHeight w:val="471"/>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Blake Schuhmacher</w:t>
            </w:r>
          </w:p>
        </w:tc>
        <w:tc>
          <w:tcPr>
            <w:tcW w:w="5700" w:type="dxa"/>
            <w:vAlign w:val="bottom"/>
          </w:tcPr>
          <w:p>
            <w:pPr>
              <w:ind w:left="120"/>
              <w:spacing w:after="0"/>
              <w:rPr>
                <w:sz w:val="20"/>
                <w:szCs w:val="20"/>
                <w:color w:val="auto"/>
              </w:rPr>
            </w:pPr>
            <w:r>
              <w:rPr>
                <w:rFonts w:ascii="Arial" w:cs="Arial" w:eastAsia="Arial" w:hAnsi="Arial"/>
                <w:sz w:val="18"/>
                <w:szCs w:val="18"/>
                <w:color w:val="auto"/>
              </w:rPr>
              <w:t>Senior Vice President – Chief Accounting Officer</w:t>
            </w:r>
          </w:p>
        </w:tc>
        <w:tc>
          <w:tcPr>
            <w:tcW w:w="1940" w:type="dxa"/>
            <w:vAlign w:val="bottom"/>
          </w:tcPr>
          <w:p>
            <w:pPr>
              <w:jc w:val="center"/>
              <w:ind w:left="792"/>
              <w:spacing w:after="0"/>
              <w:rPr>
                <w:sz w:val="20"/>
                <w:szCs w:val="20"/>
                <w:color w:val="auto"/>
              </w:rPr>
            </w:pPr>
            <w:r>
              <w:rPr>
                <w:rFonts w:ascii="Arial" w:cs="Arial" w:eastAsia="Arial" w:hAnsi="Arial"/>
                <w:sz w:val="18"/>
                <w:szCs w:val="18"/>
                <w:color w:val="auto"/>
                <w:w w:val="92"/>
              </w:rPr>
              <w:t>March 5, 2021</w:t>
            </w:r>
          </w:p>
        </w:tc>
      </w:tr>
      <w:tr>
        <w:trPr>
          <w:trHeight w:val="238"/>
        </w:trPr>
        <w:tc>
          <w:tcPr>
            <w:tcW w:w="2920" w:type="dxa"/>
            <w:vAlign w:val="bottom"/>
          </w:tcPr>
          <w:p>
            <w:pPr>
              <w:ind w:left="220"/>
              <w:spacing w:after="0"/>
              <w:rPr>
                <w:sz w:val="20"/>
                <w:szCs w:val="20"/>
                <w:color w:val="auto"/>
              </w:rPr>
            </w:pPr>
            <w:r>
              <w:rPr>
                <w:rFonts w:ascii="Arial" w:cs="Arial" w:eastAsia="Arial" w:hAnsi="Arial"/>
                <w:sz w:val="14"/>
                <w:szCs w:val="14"/>
                <w:b w:val="1"/>
                <w:bCs w:val="1"/>
                <w:color w:val="auto"/>
              </w:rPr>
              <w:t>Blake Schuhmacher</w:t>
            </w:r>
          </w:p>
        </w:tc>
        <w:tc>
          <w:tcPr>
            <w:tcW w:w="5700" w:type="dxa"/>
            <w:vAlign w:val="bottom"/>
          </w:tcPr>
          <w:p>
            <w:pPr>
              <w:ind w:left="120"/>
              <w:spacing w:after="0"/>
              <w:rPr>
                <w:sz w:val="20"/>
                <w:szCs w:val="20"/>
                <w:color w:val="auto"/>
              </w:rPr>
            </w:pPr>
            <w:r>
              <w:rPr>
                <w:rFonts w:ascii="Arial" w:cs="Arial" w:eastAsia="Arial" w:hAnsi="Arial"/>
                <w:sz w:val="18"/>
                <w:szCs w:val="18"/>
                <w:i w:val="1"/>
                <w:iCs w:val="1"/>
                <w:color w:val="auto"/>
              </w:rPr>
              <w:t>(Principal Accounting Officer)</w:t>
            </w:r>
          </w:p>
        </w:tc>
        <w:tc>
          <w:tcPr>
            <w:tcW w:w="1940" w:type="dxa"/>
            <w:vAlign w:val="bottom"/>
          </w:tcPr>
          <w:p>
            <w:pPr>
              <w:spacing w:after="0"/>
              <w:rPr>
                <w:sz w:val="20"/>
                <w:szCs w:val="20"/>
                <w:color w:val="auto"/>
              </w:rPr>
            </w:pPr>
          </w:p>
        </w:tc>
      </w:tr>
      <w:tr>
        <w:trPr>
          <w:trHeight w:val="471"/>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Francis X. Frantz</w:t>
            </w:r>
          </w:p>
        </w:tc>
        <w:tc>
          <w:tcPr>
            <w:tcW w:w="5700" w:type="dxa"/>
            <w:vAlign w:val="bottom"/>
          </w:tcPr>
          <w:p>
            <w:pPr>
              <w:ind w:left="120"/>
              <w:spacing w:after="0"/>
              <w:rPr>
                <w:sz w:val="20"/>
                <w:szCs w:val="20"/>
                <w:color w:val="auto"/>
              </w:rPr>
            </w:pPr>
            <w:r>
              <w:rPr>
                <w:rFonts w:ascii="Arial" w:cs="Arial" w:eastAsia="Arial" w:hAnsi="Arial"/>
                <w:sz w:val="18"/>
                <w:szCs w:val="18"/>
                <w:color w:val="auto"/>
              </w:rPr>
              <w:t>Chairman and Director</w:t>
            </w:r>
          </w:p>
        </w:tc>
        <w:tc>
          <w:tcPr>
            <w:tcW w:w="1940" w:type="dxa"/>
            <w:vAlign w:val="bottom"/>
          </w:tcPr>
          <w:p>
            <w:pPr>
              <w:jc w:val="center"/>
              <w:ind w:left="792"/>
              <w:spacing w:after="0"/>
              <w:rPr>
                <w:sz w:val="20"/>
                <w:szCs w:val="20"/>
                <w:color w:val="auto"/>
              </w:rPr>
            </w:pPr>
            <w:r>
              <w:rPr>
                <w:rFonts w:ascii="Arial" w:cs="Arial" w:eastAsia="Arial" w:hAnsi="Arial"/>
                <w:sz w:val="18"/>
                <w:szCs w:val="18"/>
                <w:color w:val="auto"/>
                <w:w w:val="92"/>
              </w:rPr>
              <w:t>March 5, 2021</w:t>
            </w:r>
          </w:p>
        </w:tc>
      </w:tr>
      <w:tr>
        <w:trPr>
          <w:trHeight w:val="238"/>
        </w:trPr>
        <w:tc>
          <w:tcPr>
            <w:tcW w:w="2920" w:type="dxa"/>
            <w:vAlign w:val="bottom"/>
          </w:tcPr>
          <w:p>
            <w:pPr>
              <w:ind w:left="220"/>
              <w:spacing w:after="0"/>
              <w:rPr>
                <w:sz w:val="20"/>
                <w:szCs w:val="20"/>
                <w:color w:val="auto"/>
              </w:rPr>
            </w:pPr>
            <w:r>
              <w:rPr>
                <w:rFonts w:ascii="Arial" w:cs="Arial" w:eastAsia="Arial" w:hAnsi="Arial"/>
                <w:sz w:val="14"/>
                <w:szCs w:val="14"/>
                <w:b w:val="1"/>
                <w:bCs w:val="1"/>
                <w:color w:val="auto"/>
              </w:rPr>
              <w:t>Francis X. Frantz</w:t>
            </w:r>
          </w:p>
        </w:tc>
        <w:tc>
          <w:tcPr>
            <w:tcW w:w="57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52"/>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S. Banner</w:t>
            </w:r>
          </w:p>
        </w:tc>
        <w:tc>
          <w:tcPr>
            <w:tcW w:w="5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ind w:left="792"/>
              <w:spacing w:after="0"/>
              <w:rPr>
                <w:sz w:val="20"/>
                <w:szCs w:val="20"/>
                <w:color w:val="auto"/>
              </w:rPr>
            </w:pPr>
            <w:r>
              <w:rPr>
                <w:rFonts w:ascii="Arial" w:cs="Arial" w:eastAsia="Arial" w:hAnsi="Arial"/>
                <w:sz w:val="18"/>
                <w:szCs w:val="18"/>
                <w:color w:val="auto"/>
                <w:w w:val="92"/>
              </w:rPr>
              <w:t>March 5, 2021</w:t>
            </w:r>
          </w:p>
        </w:tc>
      </w:tr>
      <w:tr>
        <w:trPr>
          <w:trHeight w:val="238"/>
        </w:trPr>
        <w:tc>
          <w:tcPr>
            <w:tcW w:w="2920" w:type="dxa"/>
            <w:vAlign w:val="bottom"/>
          </w:tcPr>
          <w:p>
            <w:pPr>
              <w:ind w:left="220"/>
              <w:spacing w:after="0"/>
              <w:rPr>
                <w:sz w:val="20"/>
                <w:szCs w:val="20"/>
                <w:color w:val="auto"/>
              </w:rPr>
            </w:pPr>
            <w:r>
              <w:rPr>
                <w:rFonts w:ascii="Arial" w:cs="Arial" w:eastAsia="Arial" w:hAnsi="Arial"/>
                <w:sz w:val="14"/>
                <w:szCs w:val="14"/>
                <w:b w:val="1"/>
                <w:bCs w:val="1"/>
                <w:color w:val="auto"/>
              </w:rPr>
              <w:t>Jennifer S. Banner</w:t>
            </w:r>
          </w:p>
        </w:tc>
        <w:tc>
          <w:tcPr>
            <w:tcW w:w="57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65"/>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G. Bruce</w:t>
            </w:r>
          </w:p>
        </w:tc>
        <w:tc>
          <w:tcPr>
            <w:tcW w:w="5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ind w:left="792"/>
              <w:spacing w:after="0"/>
              <w:rPr>
                <w:sz w:val="20"/>
                <w:szCs w:val="20"/>
                <w:color w:val="auto"/>
              </w:rPr>
            </w:pPr>
            <w:r>
              <w:rPr>
                <w:rFonts w:ascii="Arial" w:cs="Arial" w:eastAsia="Arial" w:hAnsi="Arial"/>
                <w:sz w:val="18"/>
                <w:szCs w:val="18"/>
                <w:color w:val="auto"/>
                <w:w w:val="92"/>
              </w:rPr>
              <w:t>March 5, 2021</w:t>
            </w:r>
          </w:p>
        </w:tc>
      </w:tr>
      <w:tr>
        <w:trPr>
          <w:trHeight w:val="238"/>
        </w:trPr>
        <w:tc>
          <w:tcPr>
            <w:tcW w:w="2920" w:type="dxa"/>
            <w:vAlign w:val="bottom"/>
          </w:tcPr>
          <w:p>
            <w:pPr>
              <w:ind w:left="220"/>
              <w:spacing w:after="0"/>
              <w:rPr>
                <w:sz w:val="20"/>
                <w:szCs w:val="20"/>
                <w:color w:val="auto"/>
              </w:rPr>
            </w:pPr>
            <w:r>
              <w:rPr>
                <w:rFonts w:ascii="Arial" w:cs="Arial" w:eastAsia="Arial" w:hAnsi="Arial"/>
                <w:sz w:val="14"/>
                <w:szCs w:val="14"/>
                <w:b w:val="1"/>
                <w:bCs w:val="1"/>
                <w:color w:val="auto"/>
              </w:rPr>
              <w:t>Scott G. Bruce</w:t>
            </w:r>
          </w:p>
        </w:tc>
        <w:tc>
          <w:tcPr>
            <w:tcW w:w="57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52"/>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Carmen Perez-Carlton</w:t>
            </w:r>
          </w:p>
        </w:tc>
        <w:tc>
          <w:tcPr>
            <w:tcW w:w="5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ind w:left="792"/>
              <w:spacing w:after="0"/>
              <w:rPr>
                <w:sz w:val="20"/>
                <w:szCs w:val="20"/>
                <w:color w:val="auto"/>
              </w:rPr>
            </w:pPr>
            <w:r>
              <w:rPr>
                <w:rFonts w:ascii="Arial" w:cs="Arial" w:eastAsia="Arial" w:hAnsi="Arial"/>
                <w:sz w:val="18"/>
                <w:szCs w:val="18"/>
                <w:color w:val="auto"/>
                <w:w w:val="92"/>
              </w:rPr>
              <w:t>March 5, 2021</w:t>
            </w:r>
          </w:p>
        </w:tc>
      </w:tr>
      <w:tr>
        <w:trPr>
          <w:trHeight w:val="238"/>
        </w:trPr>
        <w:tc>
          <w:tcPr>
            <w:tcW w:w="2920" w:type="dxa"/>
            <w:vAlign w:val="bottom"/>
          </w:tcPr>
          <w:p>
            <w:pPr>
              <w:ind w:left="220"/>
              <w:spacing w:after="0"/>
              <w:rPr>
                <w:sz w:val="20"/>
                <w:szCs w:val="20"/>
                <w:color w:val="auto"/>
              </w:rPr>
            </w:pPr>
            <w:r>
              <w:rPr>
                <w:rFonts w:ascii="Arial" w:cs="Arial" w:eastAsia="Arial" w:hAnsi="Arial"/>
                <w:sz w:val="14"/>
                <w:szCs w:val="14"/>
                <w:b w:val="1"/>
                <w:bCs w:val="1"/>
                <w:color w:val="auto"/>
              </w:rPr>
              <w:t>Carmen Perez-Carlton</w:t>
            </w:r>
          </w:p>
        </w:tc>
        <w:tc>
          <w:tcPr>
            <w:tcW w:w="57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552"/>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Solomon</w:t>
            </w:r>
          </w:p>
        </w:tc>
        <w:tc>
          <w:tcPr>
            <w:tcW w:w="57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ind w:left="792"/>
              <w:spacing w:after="0"/>
              <w:rPr>
                <w:sz w:val="20"/>
                <w:szCs w:val="20"/>
                <w:color w:val="auto"/>
              </w:rPr>
            </w:pPr>
            <w:r>
              <w:rPr>
                <w:rFonts w:ascii="Arial" w:cs="Arial" w:eastAsia="Arial" w:hAnsi="Arial"/>
                <w:sz w:val="18"/>
                <w:szCs w:val="18"/>
                <w:color w:val="auto"/>
                <w:w w:val="92"/>
              </w:rPr>
              <w:t>March 5, 2021</w:t>
            </w:r>
          </w:p>
        </w:tc>
      </w:tr>
      <w:tr>
        <w:trPr>
          <w:trHeight w:val="225"/>
        </w:trPr>
        <w:tc>
          <w:tcPr>
            <w:tcW w:w="2920" w:type="dxa"/>
            <w:vAlign w:val="bottom"/>
          </w:tcPr>
          <w:p>
            <w:pPr>
              <w:ind w:left="220"/>
              <w:spacing w:after="0"/>
              <w:rPr>
                <w:sz w:val="20"/>
                <w:szCs w:val="20"/>
                <w:color w:val="auto"/>
              </w:rPr>
            </w:pPr>
            <w:r>
              <w:rPr>
                <w:rFonts w:ascii="Arial" w:cs="Arial" w:eastAsia="Arial" w:hAnsi="Arial"/>
                <w:sz w:val="14"/>
                <w:szCs w:val="14"/>
                <w:b w:val="1"/>
                <w:bCs w:val="1"/>
                <w:color w:val="auto"/>
              </w:rPr>
              <w:t>David L. Solomon</w:t>
            </w:r>
          </w:p>
        </w:tc>
        <w:tc>
          <w:tcPr>
            <w:tcW w:w="570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 – Condensed Financial Information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Registrant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gridSpan w:val="2"/>
          </w:tcPr>
          <w:p>
            <w:pPr>
              <w:spacing w:after="0"/>
              <w:rPr>
                <w:sz w:val="20"/>
                <w:szCs w:val="20"/>
                <w:color w:val="auto"/>
              </w:rPr>
            </w:pPr>
            <w:r>
              <w:rPr>
                <w:rFonts w:ascii="Arial" w:cs="Arial" w:eastAsia="Arial" w:hAnsi="Arial"/>
                <w:sz w:val="14"/>
                <w:szCs w:val="14"/>
                <w:color w:val="auto"/>
              </w:rPr>
              <w:t>(Thousands, except par value)</w:t>
            </w:r>
          </w:p>
        </w:tc>
        <w:tc>
          <w:tcPr>
            <w:tcW w:w="260" w:type="dxa"/>
            <w:vAlign w:val="bottom"/>
          </w:tcPr>
          <w:p>
            <w:pPr>
              <w:spacing w:after="0"/>
              <w:rPr>
                <w:sz w:val="14"/>
                <w:szCs w:val="14"/>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14"/>
                <w:szCs w:val="14"/>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6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840" w:type="dxa"/>
            <w:vAlign w:val="bottom"/>
            <w:gridSpan w:val="2"/>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2,284</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43,423</w:t>
            </w:r>
          </w:p>
        </w:tc>
        <w:tc>
          <w:tcPr>
            <w:tcW w:w="100" w:type="dxa"/>
            <w:vAlign w:val="bottom"/>
          </w:tcPr>
          <w:p>
            <w:pPr>
              <w:spacing w:after="0"/>
              <w:rPr>
                <w:sz w:val="19"/>
                <w:szCs w:val="19"/>
                <w:color w:val="auto"/>
              </w:rPr>
            </w:pPr>
          </w:p>
        </w:tc>
      </w:tr>
      <w:tr>
        <w:trPr>
          <w:trHeight w:val="229"/>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37,894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FF0FC"/>
          </w:tcPr>
          <w:p>
            <w:pPr>
              <w:spacing w:after="0"/>
              <w:rPr>
                <w:sz w:val="19"/>
                <w:szCs w:val="19"/>
                <w:color w:val="auto"/>
              </w:rPr>
            </w:pPr>
          </w:p>
        </w:tc>
      </w:tr>
      <w:tr>
        <w:trPr>
          <w:trHeight w:val="263"/>
        </w:trPr>
        <w:tc>
          <w:tcPr>
            <w:tcW w:w="6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40,178</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43,714</w:t>
            </w:r>
          </w:p>
        </w:tc>
        <w:tc>
          <w:tcPr>
            <w:tcW w:w="100" w:type="dxa"/>
            <w:vAlign w:val="bottom"/>
            <w:tcBorders>
              <w:bottom w:val="single" w:sz="8" w:color="CFF0FC"/>
            </w:tcBorders>
          </w:tcPr>
          <w:p>
            <w:pPr>
              <w:spacing w:after="0"/>
              <w:rPr>
                <w:sz w:val="22"/>
                <w:szCs w:val="22"/>
                <w:color w:val="auto"/>
              </w:rPr>
            </w:pPr>
          </w:p>
        </w:tc>
      </w:tr>
      <w:tr>
        <w:trPr>
          <w:trHeight w:val="210"/>
        </w:trPr>
        <w:tc>
          <w:tcPr>
            <w:tcW w:w="6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other liabilities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FF0FC"/>
          </w:tcPr>
          <w:p>
            <w:pPr>
              <w:spacing w:after="0"/>
              <w:rPr>
                <w:sz w:val="19"/>
                <w:szCs w:val="19"/>
                <w:color w:val="auto"/>
              </w:rPr>
            </w:pPr>
          </w:p>
        </w:tc>
      </w:tr>
      <w:tr>
        <w:trPr>
          <w:trHeight w:val="230"/>
        </w:trPr>
        <w:tc>
          <w:tcPr>
            <w:tcW w:w="6840" w:type="dxa"/>
            <w:vAlign w:val="bottom"/>
            <w:gridSpan w:val="2"/>
          </w:tcPr>
          <w:p>
            <w:pPr>
              <w:ind w:left="260"/>
              <w:spacing w:after="0"/>
              <w:rPr>
                <w:sz w:val="20"/>
                <w:szCs w:val="20"/>
                <w:color w:val="auto"/>
              </w:rPr>
            </w:pPr>
            <w:r>
              <w:rPr>
                <w:rFonts w:ascii="Arial" w:cs="Arial" w:eastAsia="Arial" w:hAnsi="Arial"/>
                <w:sz w:val="18"/>
                <w:szCs w:val="18"/>
                <w:color w:val="auto"/>
              </w:rPr>
              <w:t>Dividends payable</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36,205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42,519</w:t>
            </w:r>
          </w:p>
        </w:tc>
        <w:tc>
          <w:tcPr>
            <w:tcW w:w="100" w:type="dxa"/>
            <w:vAlign w:val="bottom"/>
          </w:tcPr>
          <w:p>
            <w:pPr>
              <w:spacing w:after="0"/>
              <w:rPr>
                <w:sz w:val="19"/>
                <w:szCs w:val="19"/>
                <w:color w:val="auto"/>
              </w:rPr>
            </w:pPr>
          </w:p>
        </w:tc>
      </w:tr>
      <w:tr>
        <w:trPr>
          <w:trHeight w:val="229"/>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9"/>
              </w:rPr>
              <w:t>Cash distributions and losses in excess of investments in consolidated subsidiaries</w:t>
            </w:r>
          </w:p>
        </w:tc>
        <w:tc>
          <w:tcPr>
            <w:tcW w:w="2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2,144,486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1,567,499</w:t>
            </w:r>
          </w:p>
        </w:tc>
        <w:tc>
          <w:tcPr>
            <w:tcW w:w="100" w:type="dxa"/>
            <w:vAlign w:val="bottom"/>
            <w:shd w:val="clear" w:color="auto" w:fill="CFF0FC"/>
          </w:tcPr>
          <w:p>
            <w:pPr>
              <w:spacing w:after="0"/>
              <w:rPr>
                <w:sz w:val="19"/>
                <w:szCs w:val="19"/>
                <w:color w:val="auto"/>
              </w:rPr>
            </w:pPr>
          </w:p>
        </w:tc>
      </w:tr>
      <w:tr>
        <w:trPr>
          <w:trHeight w:val="223"/>
        </w:trPr>
        <w:tc>
          <w:tcPr>
            <w:tcW w:w="68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2,181,836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1,610,582</w:t>
            </w:r>
          </w:p>
        </w:tc>
        <w:tc>
          <w:tcPr>
            <w:tcW w:w="100" w:type="dxa"/>
            <w:vAlign w:val="bottom"/>
            <w:tcBorders>
              <w:bottom w:val="single" w:sz="8" w:color="CFF0FC"/>
            </w:tcBorders>
          </w:tcPr>
          <w:p>
            <w:pPr>
              <w:spacing w:after="0"/>
              <w:rPr>
                <w:sz w:val="19"/>
                <w:szCs w:val="19"/>
                <w:color w:val="auto"/>
              </w:rPr>
            </w:pPr>
          </w:p>
        </w:tc>
      </w:tr>
      <w:tr>
        <w:trPr>
          <w:trHeight w:val="223"/>
        </w:trPr>
        <w:tc>
          <w:tcPr>
            <w:tcW w:w="6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Shareholders' Deficit:</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7"/>
              </w:rPr>
              <w:t>Preferred stock, $0.0001 par value, 50,000 shares authorized, no shares issued and</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outstanding</w:t>
            </w:r>
          </w:p>
        </w:tc>
        <w:tc>
          <w:tcPr>
            <w:tcW w:w="260" w:type="dxa"/>
            <w:vAlign w:val="bottom"/>
            <w:shd w:val="clear" w:color="auto" w:fill="CFF0FC"/>
          </w:tcPr>
          <w:p>
            <w:pPr>
              <w:spacing w:after="0"/>
              <w:rPr>
                <w:sz w:val="20"/>
                <w:szCs w:val="20"/>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15"/>
        </w:trPr>
        <w:tc>
          <w:tcPr>
            <w:tcW w:w="6840" w:type="dxa"/>
            <w:vAlign w:val="bottom"/>
            <w:gridSpan w:val="2"/>
          </w:tcPr>
          <w:p>
            <w:pPr>
              <w:ind w:left="260"/>
              <w:spacing w:after="0"/>
              <w:rPr>
                <w:sz w:val="20"/>
                <w:szCs w:val="20"/>
                <w:color w:val="auto"/>
              </w:rPr>
            </w:pPr>
            <w:r>
              <w:rPr>
                <w:rFonts w:ascii="Arial" w:cs="Arial" w:eastAsia="Arial" w:hAnsi="Arial"/>
                <w:sz w:val="18"/>
                <w:szCs w:val="18"/>
                <w:color w:val="auto"/>
                <w:w w:val="94"/>
              </w:rPr>
              <w:t>Common stock, $0.0001 par value, 500,000 shares authorized, issued and outstanding:</w:t>
            </w: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40" w:type="dxa"/>
            <w:vAlign w:val="bottom"/>
            <w:gridSpan w:val="2"/>
          </w:tcPr>
          <w:p>
            <w:pPr>
              <w:ind w:left="260"/>
              <w:spacing w:after="0"/>
              <w:rPr>
                <w:sz w:val="20"/>
                <w:szCs w:val="20"/>
                <w:color w:val="auto"/>
              </w:rPr>
            </w:pPr>
            <w:r>
              <w:rPr>
                <w:rFonts w:ascii="Arial" w:cs="Arial" w:eastAsia="Arial" w:hAnsi="Arial"/>
                <w:sz w:val="18"/>
                <w:szCs w:val="18"/>
                <w:color w:val="auto"/>
              </w:rPr>
              <w:t>231,262 shares at December 31, 2020 and 192,142 at December 31, 2019</w:t>
            </w:r>
          </w:p>
        </w:tc>
        <w:tc>
          <w:tcPr>
            <w:tcW w:w="2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r>
      <w:tr>
        <w:trPr>
          <w:trHeight w:val="229"/>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1,209,141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951,295</w:t>
            </w:r>
          </w:p>
        </w:tc>
        <w:tc>
          <w:tcPr>
            <w:tcW w:w="100" w:type="dxa"/>
            <w:vAlign w:val="bottom"/>
            <w:shd w:val="clear" w:color="auto" w:fill="CFF0FC"/>
          </w:tcPr>
          <w:p>
            <w:pPr>
              <w:spacing w:after="0"/>
              <w:rPr>
                <w:sz w:val="19"/>
                <w:szCs w:val="19"/>
                <w:color w:val="auto"/>
              </w:rPr>
            </w:pPr>
          </w:p>
        </w:tc>
      </w:tr>
      <w:tr>
        <w:trPr>
          <w:trHeight w:val="229"/>
        </w:trPr>
        <w:tc>
          <w:tcPr>
            <w:tcW w:w="6840" w:type="dxa"/>
            <w:vAlign w:val="bottom"/>
            <w:gridSpan w:val="2"/>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260" w:type="dxa"/>
            <w:vAlign w:val="bottom"/>
          </w:tcPr>
          <w:p>
            <w:pPr>
              <w:spacing w:after="0"/>
              <w:rPr>
                <w:sz w:val="19"/>
                <w:szCs w:val="19"/>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(20,367)</w:t>
            </w:r>
          </w:p>
        </w:tc>
        <w:tc>
          <w:tcPr>
            <w:tcW w:w="260" w:type="dxa"/>
            <w:vAlign w:val="bottom"/>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(23,442)</w:t>
            </w:r>
          </w:p>
        </w:tc>
      </w:tr>
      <w:tr>
        <w:trPr>
          <w:trHeight w:val="230"/>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Distributions in excess of accumulated earnings</w:t>
            </w:r>
          </w:p>
        </w:tc>
        <w:tc>
          <w:tcPr>
            <w:tcW w:w="26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(3,330,455)</w:t>
            </w:r>
          </w:p>
        </w:tc>
        <w:tc>
          <w:tcPr>
            <w:tcW w:w="26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(2,494,740)</w:t>
            </w:r>
          </w:p>
        </w:tc>
      </w:tr>
      <w:tr>
        <w:trPr>
          <w:trHeight w:val="223"/>
        </w:trPr>
        <w:tc>
          <w:tcPr>
            <w:tcW w:w="68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Uniti shareholders' deficit</w:t>
            </w:r>
          </w:p>
        </w:tc>
        <w:tc>
          <w:tcPr>
            <w:tcW w:w="26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(2,141,658)</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(1,566,868)</w:t>
            </w:r>
          </w:p>
        </w:tc>
        <w:tc>
          <w:tcPr>
            <w:tcW w:w="100" w:type="dxa"/>
            <w:vAlign w:val="bottom"/>
            <w:tcBorders>
              <w:bottom w:val="single" w:sz="8" w:color="CFF0FC"/>
            </w:tcBorders>
          </w:tcPr>
          <w:p>
            <w:pPr>
              <w:spacing w:after="0"/>
              <w:rPr>
                <w:sz w:val="19"/>
                <w:szCs w:val="19"/>
                <w:color w:val="auto"/>
              </w:rPr>
            </w:pPr>
          </w:p>
        </w:tc>
      </w:tr>
      <w:tr>
        <w:trPr>
          <w:trHeight w:val="223"/>
        </w:trPr>
        <w:tc>
          <w:tcPr>
            <w:tcW w:w="6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Liabilities, Convertible Preferred Stock, and Shareholders' Deficit</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40,178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 of Uniti Group Inc. included in Financial Statements and Supplementary Data.</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 – Condensed Financial Information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Registrant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6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r>
      <w:tr>
        <w:trPr>
          <w:trHeight w:val="229"/>
        </w:trPr>
        <w:tc>
          <w:tcPr>
            <w:tcW w:w="5600" w:type="dxa"/>
            <w:vAlign w:val="bottom"/>
          </w:tcPr>
          <w:p>
            <w:pPr>
              <w:ind w:left="260"/>
              <w:spacing w:after="0"/>
              <w:rPr>
                <w:sz w:val="20"/>
                <w:szCs w:val="20"/>
                <w:color w:val="auto"/>
              </w:rPr>
            </w:pPr>
            <w:r>
              <w:rPr>
                <w:rFonts w:ascii="Arial" w:cs="Arial" w:eastAsia="Arial" w:hAnsi="Arial"/>
                <w:sz w:val="18"/>
                <w:szCs w:val="18"/>
                <w:color w:val="auto"/>
              </w:rPr>
              <w:t>Transaction related costs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tcPr>
          <w:p>
            <w:pPr>
              <w:spacing w:after="0"/>
              <w:rPr>
                <w:sz w:val="19"/>
                <w:szCs w:val="19"/>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(Loss) Earnings from consolidated subsidiaries</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(708,139)</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24,730</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16,209</w:t>
            </w:r>
          </w:p>
        </w:tc>
        <w:tc>
          <w:tcPr>
            <w:tcW w:w="100" w:type="dxa"/>
            <w:vAlign w:val="bottom"/>
            <w:shd w:val="clear" w:color="auto" w:fill="CFF0FC"/>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(708,282)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22,556</w:t>
            </w: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16,187</w:t>
            </w:r>
          </w:p>
        </w:tc>
        <w:tc>
          <w:tcPr>
            <w:tcW w:w="100" w:type="dxa"/>
            <w:vAlign w:val="bottom"/>
          </w:tcPr>
          <w:p>
            <w:pPr>
              <w:spacing w:after="0"/>
              <w:rPr>
                <w:sz w:val="19"/>
                <w:szCs w:val="19"/>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(1,981)</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11,974</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income attributable to shareholders</w:t>
            </w:r>
          </w:p>
        </w:tc>
        <w:tc>
          <w:tcPr>
            <w:tcW w:w="1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(706,301)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10,582</w:t>
            </w:r>
          </w:p>
        </w:tc>
        <w:tc>
          <w:tcPr>
            <w:tcW w:w="2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16,187</w:t>
            </w:r>
          </w:p>
        </w:tc>
        <w:tc>
          <w:tcPr>
            <w:tcW w:w="100" w:type="dxa"/>
            <w:vAlign w:val="bottom"/>
            <w:tcBorders>
              <w:bottom w:val="single" w:sz="8" w:color="CFF0FC"/>
            </w:tcBorders>
          </w:tcPr>
          <w:p>
            <w:pPr>
              <w:spacing w:after="0"/>
              <w:rPr>
                <w:sz w:val="19"/>
                <w:szCs w:val="19"/>
                <w:color w:val="auto"/>
              </w:rPr>
            </w:pPr>
          </w:p>
        </w:tc>
      </w:tr>
      <w:tr>
        <w:trPr>
          <w:trHeight w:val="223"/>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 income attributable to shareholders</w:t>
            </w: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(703,226)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(42,639)</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38,472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 of Uniti Group Inc. included in Financial Statements and Supplementary Data.</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 – Condensed Financial Information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Registrant (Parent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4"/>
              </w:rPr>
              <w:t>Year Ended December 31,</w:t>
            </w: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94,533</w:t>
            </w:r>
          </w:p>
        </w:tc>
        <w:tc>
          <w:tcPr>
            <w:tcW w:w="140" w:type="dxa"/>
            <w:vAlign w:val="bottom"/>
          </w:tcPr>
          <w:p>
            <w:pPr>
              <w:spacing w:after="0"/>
              <w:rPr>
                <w:sz w:val="19"/>
                <w:szCs w:val="19"/>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199,572</w:t>
            </w:r>
          </w:p>
        </w:tc>
        <w:tc>
          <w:tcPr>
            <w:tcW w:w="2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425,771</w:t>
            </w:r>
          </w:p>
        </w:tc>
        <w:tc>
          <w:tcPr>
            <w:tcW w:w="100" w:type="dxa"/>
            <w:vAlign w:val="bottom"/>
          </w:tcPr>
          <w:p>
            <w:pPr>
              <w:spacing w:after="0"/>
              <w:rPr>
                <w:sz w:val="19"/>
                <w:szCs w:val="19"/>
                <w:color w:val="auto"/>
              </w:rPr>
            </w:pPr>
          </w:p>
        </w:tc>
      </w:tr>
      <w:tr>
        <w:trPr>
          <w:trHeight w:val="223"/>
        </w:trPr>
        <w:tc>
          <w:tcPr>
            <w:tcW w:w="5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real estate, net of cash</w:t>
            </w: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2,488</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5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Settlement Common Stock issuance (Note 17)</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560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(135,676)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(138,731)</w:t>
            </w:r>
          </w:p>
        </w:tc>
        <w:tc>
          <w:tcPr>
            <w:tcW w:w="3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(426,094)</w:t>
            </w: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Notes</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83,665</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for financing costs</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(2,895)</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5600" w:type="dxa"/>
            <w:vAlign w:val="bottom"/>
          </w:tcPr>
          <w:p>
            <w:pPr>
              <w:ind w:left="260"/>
              <w:spacing w:after="0"/>
              <w:rPr>
                <w:sz w:val="20"/>
                <w:szCs w:val="20"/>
                <w:color w:val="auto"/>
              </w:rPr>
            </w:pPr>
            <w:r>
              <w:rPr>
                <w:rFonts w:ascii="Arial" w:cs="Arial" w:eastAsia="Arial" w:hAnsi="Arial"/>
                <w:sz w:val="18"/>
                <w:szCs w:val="18"/>
                <w:color w:val="auto"/>
              </w:rPr>
              <w:t>Common stock issuance, net of costs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21,641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109,441</w:t>
            </w:r>
          </w:p>
        </w:tc>
        <w:tc>
          <w:tcPr>
            <w:tcW w:w="100" w:type="dxa"/>
            <w:vAlign w:val="bottom"/>
          </w:tcPr>
          <w:p>
            <w:pPr>
              <w:spacing w:after="0"/>
              <w:rPr>
                <w:sz w:val="19"/>
                <w:szCs w:val="19"/>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share settlement</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(1,097)</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(1,834)</w:t>
            </w: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(1,604)</w:t>
            </w:r>
          </w:p>
        </w:tc>
      </w:tr>
      <w:tr>
        <w:trPr>
          <w:trHeight w:val="229"/>
        </w:trPr>
        <w:tc>
          <w:tcPr>
            <w:tcW w:w="5600" w:type="dxa"/>
            <w:vAlign w:val="bottom"/>
          </w:tcPr>
          <w:p>
            <w:pPr>
              <w:ind w:left="260"/>
              <w:spacing w:after="0"/>
              <w:rPr>
                <w:sz w:val="20"/>
                <w:szCs w:val="20"/>
                <w:color w:val="auto"/>
              </w:rPr>
            </w:pPr>
            <w:r>
              <w:rPr>
                <w:rFonts w:ascii="Arial" w:cs="Arial" w:eastAsia="Arial" w:hAnsi="Arial"/>
                <w:sz w:val="18"/>
                <w:szCs w:val="18"/>
                <w:color w:val="auto"/>
              </w:rPr>
              <w:t>Proceeds from sale of warrants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50,819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for bond hedge option</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(70,035)</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Intercompany transactions, net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(244,125)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(102,411)</w:t>
            </w:r>
          </w:p>
        </w:tc>
        <w:tc>
          <w:tcPr>
            <w:tcW w:w="3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(109,441)</w:t>
            </w: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stock purchase plan</w:t>
            </w: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(135,672)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(158,898)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(427,698)</w:t>
            </w:r>
          </w:p>
        </w:tc>
        <w:tc>
          <w:tcPr>
            <w:tcW w:w="10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(41,139)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43,162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2,188</w:t>
            </w:r>
          </w:p>
        </w:tc>
        <w:tc>
          <w:tcPr>
            <w:tcW w:w="100" w:type="dxa"/>
            <w:vAlign w:val="bottom"/>
            <w:shd w:val="clear" w:color="auto" w:fill="CFF0FC"/>
          </w:tcPr>
          <w:p>
            <w:pPr>
              <w:spacing w:after="0"/>
              <w:rPr>
                <w:sz w:val="19"/>
                <w:szCs w:val="19"/>
                <w:color w:val="auto"/>
              </w:rPr>
            </w:pPr>
          </w:p>
        </w:tc>
      </w:tr>
      <w:tr>
        <w:trPr>
          <w:trHeight w:val="263"/>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43,423</w:t>
            </w:r>
          </w:p>
        </w:tc>
        <w:tc>
          <w:tcPr>
            <w:tcW w:w="22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FF0FC"/>
            </w:tcBorders>
          </w:tcPr>
          <w:p>
            <w:pPr>
              <w:spacing w:after="0"/>
              <w:rPr>
                <w:sz w:val="22"/>
                <w:szCs w:val="22"/>
                <w:color w:val="auto"/>
              </w:rPr>
            </w:pPr>
          </w:p>
        </w:tc>
      </w:tr>
      <w:tr>
        <w:trPr>
          <w:trHeight w:val="197"/>
        </w:trPr>
        <w:tc>
          <w:tcPr>
            <w:tcW w:w="56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5600" w:type="dxa"/>
            <w:vAlign w:val="bottom"/>
          </w:tcPr>
          <w:p>
            <w:pPr>
              <w:ind w:left="260"/>
              <w:spacing w:after="0"/>
              <w:rPr>
                <w:sz w:val="20"/>
                <w:szCs w:val="20"/>
                <w:color w:val="auto"/>
              </w:rPr>
            </w:pPr>
            <w:r>
              <w:rPr>
                <w:rFonts w:ascii="Arial" w:cs="Arial" w:eastAsia="Arial" w:hAnsi="Arial"/>
                <w:sz w:val="16"/>
                <w:szCs w:val="16"/>
                <w:color w:val="auto"/>
              </w:rPr>
              <w:t>Settlement of convertible preferred stock, Series A Shares</w:t>
            </w:r>
          </w:p>
        </w:tc>
        <w:tc>
          <w:tcPr>
            <w:tcW w:w="4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87,500</w:t>
            </w:r>
          </w:p>
        </w:tc>
        <w:tc>
          <w:tcPr>
            <w:tcW w:w="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9"/>
        </w:trPr>
        <w:tc>
          <w:tcPr>
            <w:tcW w:w="5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Settlement of contingent consideration through non-cash consideration</w:t>
            </w:r>
          </w:p>
        </w:tc>
        <w:tc>
          <w:tcPr>
            <w:tcW w:w="48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11,178</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 of Uniti Group Inc. included in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Schedule I – Condensed Financial Information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The Registrant (Parent Company)</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 and Basis of Presentation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Uniti Group Inc.’s parent company financial information has been derived from its consolidated financial statements and should be read in conjunction with the consolidated financial statements and notes of Uniti and its subsidiaries included in Item 8 Financial Statements and Supplementary Data 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Subsidiary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Subsidiaries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During 2017, the parent company completed its reorganization (the “up-REIT Reorganization”) to operate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The up-REIT structure is intended to facilitate future acquisition opportunities by providing the Company with the ability to use common units of the Operating Partnership as a tax-efficient acquisition currency. As of December 31, 2020, we are the sole general partner of the Operating Partnership and own approximately 98.5% of the partnership interests in the Operating Partnership.</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Cash dividends received from subsidiaries and recorded in Cash Flow from Operating Activities in the Condensed Statement of Cash Flows were $134.7 million, $136.2 million and $426.1 million for the year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3"/>
        </w:trPr>
        <w:tc>
          <w:tcPr>
            <w:tcW w:w="3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3"/>
          </w:tcPr>
          <w:p>
            <w:pPr>
              <w:jc w:val="center"/>
              <w:ind w:left="355"/>
              <w:spacing w:after="0"/>
              <w:rPr>
                <w:sz w:val="20"/>
                <w:szCs w:val="20"/>
                <w:color w:val="auto"/>
              </w:rPr>
            </w:pPr>
            <w:r>
              <w:rPr>
                <w:rFonts w:ascii="Arial" w:cs="Arial" w:eastAsia="Arial" w:hAnsi="Arial"/>
                <w:sz w:val="18"/>
                <w:szCs w:val="18"/>
                <w:b w:val="1"/>
                <w:bCs w:val="1"/>
                <w:color w:val="auto"/>
                <w:w w:val="94"/>
              </w:rPr>
              <w:t>Uniti Group Inc.</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4580" w:type="dxa"/>
            <w:vAlign w:val="bottom"/>
            <w:gridSpan w:val="9"/>
          </w:tcPr>
          <w:p>
            <w:pPr>
              <w:jc w:val="center"/>
              <w:ind w:left="290"/>
              <w:spacing w:after="0"/>
              <w:rPr>
                <w:sz w:val="20"/>
                <w:szCs w:val="20"/>
                <w:color w:val="auto"/>
              </w:rPr>
            </w:pPr>
            <w:r>
              <w:rPr>
                <w:rFonts w:ascii="Arial" w:cs="Arial" w:eastAsia="Arial" w:hAnsi="Arial"/>
                <w:sz w:val="18"/>
                <w:szCs w:val="18"/>
                <w:b w:val="1"/>
                <w:bCs w:val="1"/>
                <w:color w:val="auto"/>
                <w:w w:val="91"/>
              </w:rPr>
              <w:t>Schedule II – Valuation and Qualifying Accounts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3"/>
          </w:tcPr>
          <w:p>
            <w:pPr>
              <w:jc w:val="center"/>
              <w:ind w:left="355"/>
              <w:spacing w:after="0"/>
              <w:rPr>
                <w:sz w:val="20"/>
                <w:szCs w:val="20"/>
                <w:color w:val="auto"/>
              </w:rPr>
            </w:pPr>
            <w:r>
              <w:rPr>
                <w:rFonts w:ascii="Arial" w:cs="Arial" w:eastAsia="Arial" w:hAnsi="Arial"/>
                <w:sz w:val="18"/>
                <w:szCs w:val="18"/>
                <w:b w:val="1"/>
                <w:bCs w:val="1"/>
                <w:color w:val="auto"/>
                <w:w w:val="89"/>
              </w:rPr>
              <w:t>(dollars in thousands)</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14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Column A</w:t>
            </w:r>
          </w:p>
        </w:tc>
        <w:tc>
          <w:tcPr>
            <w:tcW w:w="9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35"/>
              <w:spacing w:after="0"/>
              <w:rPr>
                <w:sz w:val="20"/>
                <w:szCs w:val="20"/>
                <w:color w:val="auto"/>
              </w:rPr>
            </w:pPr>
            <w:r>
              <w:rPr>
                <w:rFonts w:ascii="Arial" w:cs="Arial" w:eastAsia="Arial" w:hAnsi="Arial"/>
                <w:sz w:val="18"/>
                <w:szCs w:val="18"/>
                <w:color w:val="auto"/>
                <w:w w:val="96"/>
              </w:rPr>
              <w:t>Column B</w:t>
            </w:r>
          </w:p>
        </w:tc>
        <w:tc>
          <w:tcPr>
            <w:tcW w:w="2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8"/>
                <w:szCs w:val="18"/>
                <w:color w:val="auto"/>
              </w:rPr>
              <w:t>Column C</w:t>
            </w:r>
          </w:p>
        </w:tc>
        <w:tc>
          <w:tcPr>
            <w:tcW w:w="5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Column D</w:t>
            </w: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36"/>
              <w:spacing w:after="0"/>
              <w:rPr>
                <w:sz w:val="20"/>
                <w:szCs w:val="20"/>
                <w:color w:val="auto"/>
              </w:rPr>
            </w:pPr>
            <w:r>
              <w:rPr>
                <w:rFonts w:ascii="Arial" w:cs="Arial" w:eastAsia="Arial" w:hAnsi="Arial"/>
                <w:sz w:val="18"/>
                <w:szCs w:val="18"/>
                <w:color w:val="auto"/>
                <w:w w:val="93"/>
              </w:rPr>
              <w:t>Column 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vMerge w:val="restart"/>
          </w:tcPr>
          <w:p>
            <w:pPr>
              <w:jc w:val="center"/>
              <w:ind w:right="35"/>
              <w:spacing w:after="0"/>
              <w:rPr>
                <w:sz w:val="20"/>
                <w:szCs w:val="20"/>
                <w:color w:val="auto"/>
              </w:rPr>
            </w:pPr>
            <w:r>
              <w:rPr>
                <w:rFonts w:ascii="Arial" w:cs="Arial" w:eastAsia="Arial" w:hAnsi="Arial"/>
                <w:sz w:val="14"/>
                <w:szCs w:val="14"/>
                <w:color w:val="auto"/>
                <w:w w:val="90"/>
              </w:rPr>
              <w:t>Balance at</w:t>
            </w:r>
          </w:p>
        </w:tc>
        <w:tc>
          <w:tcPr>
            <w:tcW w:w="2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color w:val="auto"/>
              </w:rPr>
              <w:t>Additions</w:t>
            </w:r>
          </w:p>
        </w:tc>
        <w:tc>
          <w:tcPr>
            <w:tcW w:w="5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0"/>
              </w:rPr>
              <w:t>Balance at</w:t>
            </w:r>
          </w:p>
        </w:tc>
        <w:tc>
          <w:tcPr>
            <w:tcW w:w="0" w:type="dxa"/>
            <w:vAlign w:val="bottom"/>
          </w:tcPr>
          <w:p>
            <w:pPr>
              <w:spacing w:after="0"/>
              <w:rPr>
                <w:sz w:val="1"/>
                <w:szCs w:val="1"/>
                <w:color w:val="auto"/>
              </w:rPr>
            </w:pPr>
          </w:p>
        </w:tc>
      </w:tr>
      <w:tr>
        <w:trPr>
          <w:trHeight w:val="137"/>
        </w:trPr>
        <w:tc>
          <w:tcPr>
            <w:tcW w:w="3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spacing w:after="0" w:line="137" w:lineRule="exact"/>
              <w:rPr>
                <w:sz w:val="20"/>
                <w:szCs w:val="20"/>
                <w:color w:val="auto"/>
              </w:rPr>
            </w:pPr>
            <w:r>
              <w:rPr>
                <w:rFonts w:ascii="Arial" w:cs="Arial" w:eastAsia="Arial" w:hAnsi="Arial"/>
                <w:sz w:val="14"/>
                <w:szCs w:val="14"/>
                <w:color w:val="auto"/>
                <w:w w:val="94"/>
              </w:rPr>
              <w:t>Charged to Cost</w:t>
            </w:r>
          </w:p>
        </w:tc>
        <w:tc>
          <w:tcPr>
            <w:tcW w:w="260" w:type="dxa"/>
            <w:vAlign w:val="bottom"/>
          </w:tcPr>
          <w:p>
            <w:pPr>
              <w:spacing w:after="0"/>
              <w:rPr>
                <w:sz w:val="11"/>
                <w:szCs w:val="11"/>
                <w:color w:val="auto"/>
              </w:rPr>
            </w:pPr>
          </w:p>
        </w:tc>
        <w:tc>
          <w:tcPr>
            <w:tcW w:w="1040" w:type="dxa"/>
            <w:vAlign w:val="bottom"/>
            <w:gridSpan w:val="2"/>
          </w:tcPr>
          <w:p>
            <w:pPr>
              <w:jc w:val="center"/>
              <w:spacing w:after="0" w:line="137" w:lineRule="exact"/>
              <w:rPr>
                <w:sz w:val="20"/>
                <w:szCs w:val="20"/>
                <w:color w:val="auto"/>
              </w:rPr>
            </w:pPr>
            <w:r>
              <w:rPr>
                <w:rFonts w:ascii="Arial" w:cs="Arial" w:eastAsia="Arial" w:hAnsi="Arial"/>
                <w:sz w:val="14"/>
                <w:szCs w:val="14"/>
                <w:color w:val="auto"/>
                <w:w w:val="92"/>
              </w:rPr>
              <w:t>Charged to</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40" w:type="dxa"/>
            <w:vAlign w:val="bottom"/>
          </w:tcPr>
          <w:p>
            <w:pPr>
              <w:ind w:left="1700"/>
              <w:spacing w:after="0"/>
              <w:rPr>
                <w:sz w:val="20"/>
                <w:szCs w:val="20"/>
                <w:color w:val="auto"/>
              </w:rPr>
            </w:pPr>
            <w:r>
              <w:rPr>
                <w:rFonts w:ascii="Arial" w:cs="Arial" w:eastAsia="Arial" w:hAnsi="Arial"/>
                <w:sz w:val="14"/>
                <w:szCs w:val="14"/>
                <w:color w:val="auto"/>
              </w:rPr>
              <w:t>Description</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35"/>
              <w:spacing w:after="0"/>
              <w:rPr>
                <w:sz w:val="20"/>
                <w:szCs w:val="20"/>
                <w:color w:val="auto"/>
              </w:rPr>
            </w:pPr>
            <w:r>
              <w:rPr>
                <w:rFonts w:ascii="Arial" w:cs="Arial" w:eastAsia="Arial" w:hAnsi="Arial"/>
                <w:sz w:val="14"/>
                <w:szCs w:val="14"/>
                <w:color w:val="auto"/>
                <w:w w:val="94"/>
              </w:rPr>
              <w:t>Beginning of Period</w:t>
            </w:r>
          </w:p>
        </w:tc>
        <w:tc>
          <w:tcPr>
            <w:tcW w:w="260" w:type="dxa"/>
            <w:vAlign w:val="bottom"/>
          </w:tcPr>
          <w:p>
            <w:pPr>
              <w:spacing w:after="0"/>
              <w:rPr>
                <w:sz w:val="14"/>
                <w:szCs w:val="14"/>
                <w:color w:val="auto"/>
              </w:rPr>
            </w:pPr>
          </w:p>
        </w:tc>
        <w:tc>
          <w:tcPr>
            <w:tcW w:w="1060" w:type="dxa"/>
            <w:vAlign w:val="bottom"/>
            <w:gridSpan w:val="2"/>
          </w:tcPr>
          <w:p>
            <w:pPr>
              <w:jc w:val="right"/>
              <w:ind w:right="54"/>
              <w:spacing w:after="0"/>
              <w:rPr>
                <w:sz w:val="20"/>
                <w:szCs w:val="20"/>
                <w:color w:val="auto"/>
              </w:rPr>
            </w:pPr>
            <w:r>
              <w:rPr>
                <w:rFonts w:ascii="Arial" w:cs="Arial" w:eastAsia="Arial" w:hAnsi="Arial"/>
                <w:sz w:val="14"/>
                <w:szCs w:val="14"/>
                <w:color w:val="auto"/>
              </w:rPr>
              <w:t>and Expenses</w:t>
            </w:r>
          </w:p>
        </w:tc>
        <w:tc>
          <w:tcPr>
            <w:tcW w:w="26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Other Accounts</w:t>
            </w:r>
          </w:p>
        </w:tc>
        <w:tc>
          <w:tcPr>
            <w:tcW w:w="20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color w:val="auto"/>
              </w:rPr>
              <w:t>Deductions</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End of Period</w:t>
            </w:r>
          </w:p>
        </w:tc>
        <w:tc>
          <w:tcPr>
            <w:tcW w:w="0" w:type="dxa"/>
            <w:vAlign w:val="bottom"/>
          </w:tcPr>
          <w:p>
            <w:pPr>
              <w:spacing w:after="0"/>
              <w:rPr>
                <w:sz w:val="1"/>
                <w:szCs w:val="1"/>
                <w:color w:val="auto"/>
              </w:rPr>
            </w:pPr>
          </w:p>
        </w:tc>
      </w:tr>
      <w:tr>
        <w:trPr>
          <w:trHeight w:val="236"/>
        </w:trPr>
        <w:tc>
          <w:tcPr>
            <w:tcW w:w="3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94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260"/>
              <w:spacing w:after="0"/>
              <w:rPr>
                <w:sz w:val="20"/>
                <w:szCs w:val="20"/>
                <w:color w:val="auto"/>
              </w:rPr>
            </w:pPr>
            <w:r>
              <w:rPr>
                <w:rFonts w:ascii="Arial" w:cs="Arial" w:eastAsia="Arial" w:hAnsi="Arial"/>
                <w:sz w:val="18"/>
                <w:szCs w:val="18"/>
                <w:color w:val="auto"/>
              </w:rPr>
              <w:t>Year Ended December 31, 2020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2,743</w:t>
            </w:r>
          </w:p>
        </w:tc>
        <w:tc>
          <w:tcPr>
            <w:tcW w:w="88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1,783</w:t>
            </w:r>
          </w:p>
        </w:tc>
        <w:tc>
          <w:tcPr>
            <w:tcW w:w="80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472</w:t>
            </w:r>
          </w:p>
        </w:tc>
        <w:tc>
          <w:tcPr>
            <w:tcW w:w="2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(2,058)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2,940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Year Ended December 31, 2019</w:t>
            </w: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w:t>
            </w:r>
          </w:p>
        </w:tc>
        <w:tc>
          <w:tcPr>
            <w:tcW w:w="880" w:type="dxa"/>
            <w:vAlign w:val="bottom"/>
            <w:gridSpan w:val="2"/>
            <w:shd w:val="clear" w:color="auto" w:fill="CFF0FC"/>
          </w:tcPr>
          <w:p>
            <w:pPr>
              <w:jc w:val="right"/>
              <w:ind w:right="46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1,140</w:t>
            </w:r>
          </w:p>
        </w:tc>
        <w:tc>
          <w:tcPr>
            <w:tcW w:w="800" w:type="dxa"/>
            <w:vAlign w:val="bottom"/>
            <w:gridSpan w:val="2"/>
            <w:shd w:val="clear" w:color="auto" w:fill="CFF0FC"/>
          </w:tcPr>
          <w:p>
            <w:pPr>
              <w:jc w:val="right"/>
              <w:ind w:right="38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260"/>
              <w:spacing w:after="0"/>
              <w:rPr>
                <w:sz w:val="20"/>
                <w:szCs w:val="20"/>
                <w:color w:val="auto"/>
              </w:rPr>
            </w:pPr>
            <w:r>
              <w:rPr>
                <w:rFonts w:ascii="Arial" w:cs="Arial" w:eastAsia="Arial" w:hAnsi="Arial"/>
                <w:sz w:val="18"/>
                <w:szCs w:val="18"/>
                <w:color w:val="auto"/>
              </w:rPr>
              <w:t>Year Ended December 31, 2018</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1,011</w:t>
            </w:r>
          </w:p>
        </w:tc>
        <w:tc>
          <w:tcPr>
            <w:tcW w:w="88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1,333</w:t>
            </w:r>
          </w:p>
        </w:tc>
        <w:tc>
          <w:tcPr>
            <w:tcW w:w="80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2,288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0"/>
        </w:trPr>
        <w:tc>
          <w:tcPr>
            <w:tcW w:w="1580" w:type="dxa"/>
            <w:vAlign w:val="bottom"/>
            <w:gridSpan w:val="2"/>
          </w:tcPr>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20" w:type="dxa"/>
            <w:vAlign w:val="bottom"/>
            <w:gridSpan w:val="6"/>
          </w:tcPr>
          <w:p>
            <w:pPr>
              <w:jc w:val="center"/>
              <w:ind w:right="700"/>
              <w:spacing w:after="0"/>
              <w:rPr>
                <w:sz w:val="20"/>
                <w:szCs w:val="20"/>
                <w:color w:val="auto"/>
              </w:rPr>
            </w:pPr>
            <w:r>
              <w:rPr>
                <w:rFonts w:ascii="Arial" w:cs="Arial" w:eastAsia="Arial" w:hAnsi="Arial"/>
                <w:sz w:val="18"/>
                <w:szCs w:val="18"/>
                <w:b w:val="1"/>
                <w:bCs w:val="1"/>
                <w:color w:val="auto"/>
                <w:w w:val="94"/>
              </w:rPr>
              <w:t>Uniti Group Inc.</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20" w:type="dxa"/>
            <w:vAlign w:val="bottom"/>
            <w:gridSpan w:val="15"/>
          </w:tcPr>
          <w:p>
            <w:pPr>
              <w:jc w:val="center"/>
              <w:ind w:right="780"/>
              <w:spacing w:after="0"/>
              <w:rPr>
                <w:sz w:val="20"/>
                <w:szCs w:val="20"/>
                <w:color w:val="auto"/>
              </w:rPr>
            </w:pPr>
            <w:r>
              <w:rPr>
                <w:rFonts w:ascii="Arial" w:cs="Arial" w:eastAsia="Arial" w:hAnsi="Arial"/>
                <w:sz w:val="18"/>
                <w:szCs w:val="18"/>
                <w:b w:val="1"/>
                <w:bCs w:val="1"/>
                <w:color w:val="auto"/>
                <w:w w:val="90"/>
              </w:rPr>
              <w:t>Schedule III – Real Estate Investments and Accumulated Depreciation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7"/>
          </w:tcPr>
          <w:p>
            <w:pPr>
              <w:jc w:val="center"/>
              <w:ind w:left="153"/>
              <w:spacing w:after="0"/>
              <w:rPr>
                <w:sz w:val="20"/>
                <w:szCs w:val="20"/>
                <w:color w:val="auto"/>
              </w:rPr>
            </w:pPr>
            <w:r>
              <w:rPr>
                <w:rFonts w:ascii="Arial" w:cs="Arial" w:eastAsia="Arial" w:hAnsi="Arial"/>
                <w:sz w:val="18"/>
                <w:szCs w:val="18"/>
                <w:b w:val="1"/>
                <w:bCs w:val="1"/>
                <w:color w:val="auto"/>
                <w:w w:val="89"/>
              </w:rPr>
              <w:t>As of December 31, 2020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7"/>
          </w:tcPr>
          <w:p>
            <w:pPr>
              <w:jc w:val="center"/>
              <w:ind w:left="133"/>
              <w:spacing w:after="0"/>
              <w:rPr>
                <w:sz w:val="20"/>
                <w:szCs w:val="20"/>
                <w:color w:val="auto"/>
              </w:rPr>
            </w:pPr>
            <w:r>
              <w:rPr>
                <w:rFonts w:ascii="Arial" w:cs="Arial" w:eastAsia="Arial" w:hAnsi="Arial"/>
                <w:sz w:val="18"/>
                <w:szCs w:val="18"/>
                <w:b w:val="1"/>
                <w:bCs w:val="1"/>
                <w:color w:val="auto"/>
                <w:w w:val="89"/>
              </w:rPr>
              <w:t>(dollars in thousands)</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580" w:type="dxa"/>
            <w:vAlign w:val="bottom"/>
            <w:gridSpan w:val="2"/>
          </w:tcPr>
          <w:p>
            <w:pPr>
              <w:ind w:left="280"/>
              <w:spacing w:after="0"/>
              <w:rPr>
                <w:sz w:val="20"/>
                <w:szCs w:val="20"/>
                <w:color w:val="auto"/>
              </w:rPr>
            </w:pPr>
            <w:r>
              <w:rPr>
                <w:rFonts w:ascii="Arial" w:cs="Arial" w:eastAsia="Arial" w:hAnsi="Arial"/>
                <w:sz w:val="18"/>
                <w:szCs w:val="18"/>
                <w:color w:val="auto"/>
              </w:rPr>
              <w:t>Col. A</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Col. B</w:t>
            </w:r>
          </w:p>
        </w:tc>
        <w:tc>
          <w:tcPr>
            <w:tcW w:w="260" w:type="dxa"/>
            <w:vAlign w:val="bottom"/>
          </w:tcPr>
          <w:p>
            <w:pPr>
              <w:spacing w:after="0"/>
              <w:rPr>
                <w:sz w:val="24"/>
                <w:szCs w:val="2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Col. C</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95"/>
              </w:rPr>
              <w:t>Col. 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Col. E</w:t>
            </w:r>
          </w:p>
        </w:tc>
        <w:tc>
          <w:tcPr>
            <w:tcW w:w="100" w:type="dxa"/>
            <w:vAlign w:val="bottom"/>
          </w:tcPr>
          <w:p>
            <w:pPr>
              <w:spacing w:after="0"/>
              <w:rPr>
                <w:sz w:val="24"/>
                <w:szCs w:val="2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Col. F</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Col. G</w:t>
            </w:r>
          </w:p>
        </w:tc>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Col. H</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Col. I</w:t>
            </w:r>
          </w:p>
        </w:tc>
        <w:tc>
          <w:tcPr>
            <w:tcW w:w="0" w:type="dxa"/>
            <w:vAlign w:val="bottom"/>
          </w:tcPr>
          <w:p>
            <w:pPr>
              <w:spacing w:after="0"/>
              <w:rPr>
                <w:sz w:val="1"/>
                <w:szCs w:val="1"/>
                <w:color w:val="auto"/>
              </w:rPr>
            </w:pPr>
          </w:p>
        </w:tc>
      </w:tr>
      <w:tr>
        <w:trPr>
          <w:trHeight w:val="366"/>
        </w:trPr>
        <w:tc>
          <w:tcPr>
            <w:tcW w:w="10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Life on which</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1"/>
              </w:rPr>
              <w:t>Cost capitalized subsequent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6"/>
              </w:rPr>
              <w:t>Depreciation in</w:t>
            </w:r>
          </w:p>
        </w:tc>
        <w:tc>
          <w:tcPr>
            <w:tcW w:w="0" w:type="dxa"/>
            <w:vAlign w:val="bottom"/>
          </w:tcPr>
          <w:p>
            <w:pPr>
              <w:spacing w:after="0"/>
              <w:rPr>
                <w:sz w:val="1"/>
                <w:szCs w:val="1"/>
                <w:color w:val="auto"/>
              </w:rPr>
            </w:pPr>
          </w:p>
        </w:tc>
      </w:tr>
      <w:tr>
        <w:trPr>
          <w:trHeight w:val="167"/>
        </w:trPr>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6"/>
              </w:rPr>
              <w:t>to acquisition</w:t>
            </w:r>
            <w:r>
              <w:rPr>
                <w:rFonts w:ascii="Arial" w:cs="Arial" w:eastAsia="Arial" w:hAnsi="Arial"/>
                <w:sz w:val="12"/>
                <w:szCs w:val="12"/>
                <w:color w:val="auto"/>
                <w:w w:val="96"/>
              </w:rPr>
              <w:t>(1) (3)</w:t>
            </w:r>
          </w:p>
        </w:tc>
        <w:tc>
          <w:tcPr>
            <w:tcW w:w="120" w:type="dxa"/>
            <w:vAlign w:val="bottom"/>
          </w:tcPr>
          <w:p>
            <w:pPr>
              <w:spacing w:after="0"/>
              <w:rPr>
                <w:sz w:val="14"/>
                <w:szCs w:val="14"/>
                <w:color w:val="auto"/>
              </w:rPr>
            </w:pPr>
          </w:p>
        </w:tc>
        <w:tc>
          <w:tcPr>
            <w:tcW w:w="1260" w:type="dxa"/>
            <w:vAlign w:val="bottom"/>
            <w:gridSpan w:val="3"/>
            <w:vMerge w:val="restart"/>
          </w:tcPr>
          <w:p>
            <w:pPr>
              <w:jc w:val="center"/>
              <w:ind w:right="260"/>
              <w:spacing w:after="0"/>
              <w:rPr>
                <w:sz w:val="20"/>
                <w:szCs w:val="20"/>
                <w:color w:val="auto"/>
              </w:rPr>
            </w:pPr>
            <w:r>
              <w:rPr>
                <w:rFonts w:ascii="Arial" w:cs="Arial" w:eastAsia="Arial" w:hAnsi="Arial"/>
                <w:sz w:val="14"/>
                <w:szCs w:val="14"/>
                <w:color w:val="auto"/>
                <w:w w:val="93"/>
              </w:rPr>
              <w:t>Gross Amount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Latest Income</w:t>
            </w:r>
          </w:p>
        </w:tc>
        <w:tc>
          <w:tcPr>
            <w:tcW w:w="0" w:type="dxa"/>
            <w:vAlign w:val="bottom"/>
          </w:tcPr>
          <w:p>
            <w:pPr>
              <w:spacing w:after="0"/>
              <w:rPr>
                <w:sz w:val="1"/>
                <w:szCs w:val="1"/>
                <w:color w:val="auto"/>
              </w:rPr>
            </w:pPr>
          </w:p>
        </w:tc>
      </w:tr>
      <w:tr>
        <w:trPr>
          <w:trHeight w:val="123"/>
        </w:trPr>
        <w:tc>
          <w:tcPr>
            <w:tcW w:w="1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Initial cost to</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22"/>
              <w:spacing w:after="0" w:line="149" w:lineRule="exact"/>
              <w:rPr>
                <w:sz w:val="20"/>
                <w:szCs w:val="20"/>
                <w:color w:val="auto"/>
              </w:rPr>
            </w:pPr>
            <w:r>
              <w:rPr>
                <w:rFonts w:ascii="Arial" w:cs="Arial" w:eastAsia="Arial" w:hAnsi="Arial"/>
                <w:sz w:val="14"/>
                <w:szCs w:val="14"/>
                <w:color w:val="auto"/>
              </w:rPr>
              <w:t>Carry</w:t>
            </w:r>
          </w:p>
        </w:tc>
        <w:tc>
          <w:tcPr>
            <w:tcW w:w="120" w:type="dxa"/>
            <w:vAlign w:val="bottom"/>
          </w:tcPr>
          <w:p>
            <w:pPr>
              <w:spacing w:after="0"/>
              <w:rPr>
                <w:sz w:val="12"/>
                <w:szCs w:val="12"/>
                <w:color w:val="auto"/>
              </w:rPr>
            </w:pPr>
          </w:p>
        </w:tc>
        <w:tc>
          <w:tcPr>
            <w:tcW w:w="126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2"/>
              </w:rPr>
              <w:t>Carried at Close</w:t>
            </w: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3"/>
              </w:rPr>
              <w:t>Accumulated</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Date of</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Date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9"/>
              </w:rPr>
              <w:t>Statements is</w:t>
            </w:r>
          </w:p>
        </w:tc>
        <w:tc>
          <w:tcPr>
            <w:tcW w:w="0" w:type="dxa"/>
            <w:vAlign w:val="bottom"/>
          </w:tcPr>
          <w:p>
            <w:pPr>
              <w:spacing w:after="0"/>
              <w:rPr>
                <w:sz w:val="1"/>
                <w:szCs w:val="1"/>
                <w:color w:val="auto"/>
              </w:rPr>
            </w:pPr>
          </w:p>
        </w:tc>
      </w:tr>
      <w:tr>
        <w:trPr>
          <w:trHeight w:val="167"/>
        </w:trPr>
        <w:tc>
          <w:tcPr>
            <w:tcW w:w="1580" w:type="dxa"/>
            <w:vAlign w:val="bottom"/>
            <w:gridSpan w:val="2"/>
          </w:tcPr>
          <w:p>
            <w:pPr>
              <w:ind w:left="200"/>
              <w:spacing w:after="0"/>
              <w:rPr>
                <w:sz w:val="20"/>
                <w:szCs w:val="20"/>
                <w:color w:val="auto"/>
              </w:rPr>
            </w:pPr>
            <w:r>
              <w:rPr>
                <w:rFonts w:ascii="Arial" w:cs="Arial" w:eastAsia="Arial" w:hAnsi="Arial"/>
                <w:sz w:val="14"/>
                <w:szCs w:val="14"/>
                <w:color w:val="auto"/>
              </w:rPr>
              <w:t>Description</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Encumbrances</w:t>
            </w:r>
          </w:p>
        </w:tc>
        <w:tc>
          <w:tcPr>
            <w:tcW w:w="2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company</w:t>
            </w:r>
            <w:r>
              <w:rPr>
                <w:rFonts w:ascii="Arial" w:cs="Arial" w:eastAsia="Arial" w:hAnsi="Arial"/>
                <w:sz w:val="12"/>
                <w:szCs w:val="12"/>
                <w:color w:val="auto"/>
                <w:w w:val="92"/>
              </w:rPr>
              <w:t>(1)</w:t>
            </w:r>
          </w:p>
        </w:tc>
        <w:tc>
          <w:tcPr>
            <w:tcW w:w="920" w:type="dxa"/>
            <w:vAlign w:val="bottom"/>
          </w:tcPr>
          <w:p>
            <w:pPr>
              <w:jc w:val="right"/>
              <w:spacing w:after="0"/>
              <w:rPr>
                <w:sz w:val="20"/>
                <w:szCs w:val="20"/>
                <w:color w:val="auto"/>
              </w:rPr>
            </w:pPr>
            <w:r>
              <w:rPr>
                <w:rFonts w:ascii="Arial" w:cs="Arial" w:eastAsia="Arial" w:hAnsi="Arial"/>
                <w:sz w:val="14"/>
                <w:szCs w:val="14"/>
                <w:color w:val="auto"/>
                <w:w w:val="96"/>
              </w:rPr>
              <w:t>Improvements</w:t>
            </w:r>
          </w:p>
        </w:tc>
        <w:tc>
          <w:tcPr>
            <w:tcW w:w="140" w:type="dxa"/>
            <w:vAlign w:val="bottom"/>
          </w:tcPr>
          <w:p>
            <w:pPr>
              <w:spacing w:after="0"/>
              <w:rPr>
                <w:sz w:val="14"/>
                <w:szCs w:val="14"/>
                <w:color w:val="auto"/>
              </w:rPr>
            </w:pPr>
          </w:p>
        </w:tc>
        <w:tc>
          <w:tcPr>
            <w:tcW w:w="700" w:type="dxa"/>
            <w:vAlign w:val="bottom"/>
          </w:tcPr>
          <w:p>
            <w:pPr>
              <w:jc w:val="right"/>
              <w:ind w:right="122"/>
              <w:spacing w:after="0"/>
              <w:rPr>
                <w:sz w:val="20"/>
                <w:szCs w:val="20"/>
                <w:color w:val="auto"/>
              </w:rPr>
            </w:pPr>
            <w:r>
              <w:rPr>
                <w:rFonts w:ascii="Arial" w:cs="Arial" w:eastAsia="Arial" w:hAnsi="Arial"/>
                <w:sz w:val="14"/>
                <w:szCs w:val="14"/>
                <w:color w:val="auto"/>
              </w:rPr>
              <w:t>Costs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color w:val="auto"/>
                <w:w w:val="96"/>
              </w:rPr>
              <w:t>of Period</w:t>
            </w:r>
            <w:r>
              <w:rPr>
                <w:rFonts w:ascii="Arial" w:cs="Arial" w:eastAsia="Arial" w:hAnsi="Arial"/>
                <w:sz w:val="12"/>
                <w:szCs w:val="12"/>
                <w:color w:val="auto"/>
                <w:w w:val="96"/>
              </w:rPr>
              <w:t>(6)</w:t>
            </w: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color w:val="auto"/>
                <w:w w:val="96"/>
              </w:rPr>
              <w:t>Depreciation</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Construction</w:t>
            </w:r>
            <w:r>
              <w:rPr>
                <w:rFonts w:ascii="Arial" w:cs="Arial" w:eastAsia="Arial" w:hAnsi="Arial"/>
                <w:sz w:val="12"/>
                <w:szCs w:val="12"/>
                <w:color w:val="auto"/>
                <w:w w:val="94"/>
              </w:rPr>
              <w:t>(2)</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Acquired</w:t>
            </w:r>
            <w:r>
              <w:rPr>
                <w:rFonts w:ascii="Arial" w:cs="Arial" w:eastAsia="Arial" w:hAnsi="Arial"/>
                <w:sz w:val="12"/>
                <w:szCs w:val="12"/>
                <w:color w:val="auto"/>
                <w:w w:val="97"/>
              </w:rPr>
              <w:t>(2)</w:t>
            </w: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Computed</w:t>
            </w:r>
          </w:p>
        </w:tc>
        <w:tc>
          <w:tcPr>
            <w:tcW w:w="0" w:type="dxa"/>
            <w:vAlign w:val="bottom"/>
          </w:tcPr>
          <w:p>
            <w:pPr>
              <w:spacing w:after="0"/>
              <w:rPr>
                <w:sz w:val="1"/>
                <w:szCs w:val="1"/>
                <w:color w:val="auto"/>
              </w:rPr>
            </w:pPr>
          </w:p>
        </w:tc>
      </w:tr>
      <w:tr>
        <w:trPr>
          <w:trHeight w:val="223"/>
        </w:trPr>
        <w:tc>
          <w:tcPr>
            <w:tcW w:w="1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5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5"/>
        </w:trPr>
        <w:tc>
          <w:tcPr>
            <w:tcW w:w="1580" w:type="dxa"/>
            <w:vAlign w:val="bottom"/>
            <w:gridSpan w:val="2"/>
          </w:tcPr>
          <w:p>
            <w:pPr>
              <w:spacing w:after="0"/>
              <w:rPr>
                <w:sz w:val="20"/>
                <w:szCs w:val="20"/>
                <w:color w:val="auto"/>
              </w:rPr>
            </w:pPr>
            <w:r>
              <w:rPr>
                <w:rFonts w:ascii="Arial" w:cs="Arial" w:eastAsia="Arial" w:hAnsi="Arial"/>
                <w:sz w:val="18"/>
                <w:szCs w:val="18"/>
                <w:color w:val="auto"/>
              </w:rPr>
              <w:t>Building and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improvements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335,495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184,021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3 - 40 years</w:t>
            </w:r>
          </w:p>
        </w:tc>
        <w:tc>
          <w:tcPr>
            <w:tcW w:w="0" w:type="dxa"/>
            <w:vAlign w:val="bottom"/>
          </w:tcPr>
          <w:p>
            <w:pPr>
              <w:spacing w:after="0"/>
              <w:rPr>
                <w:sz w:val="1"/>
                <w:szCs w:val="1"/>
                <w:color w:val="auto"/>
              </w:rPr>
            </w:pPr>
          </w:p>
        </w:tc>
      </w:tr>
      <w:tr>
        <w:trPr>
          <w:trHeight w:val="229"/>
        </w:trPr>
        <w:tc>
          <w:tcPr>
            <w:tcW w:w="1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Poles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266,758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189,487</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 years</w:t>
            </w:r>
          </w:p>
        </w:tc>
        <w:tc>
          <w:tcPr>
            <w:tcW w:w="0" w:type="dxa"/>
            <w:vAlign w:val="bottom"/>
          </w:tcPr>
          <w:p>
            <w:pPr>
              <w:spacing w:after="0"/>
              <w:rPr>
                <w:sz w:val="1"/>
                <w:szCs w:val="1"/>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Fiber</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2,776,576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1,326,936</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 years</w:t>
            </w:r>
          </w:p>
        </w:tc>
        <w:tc>
          <w:tcPr>
            <w:tcW w:w="0" w:type="dxa"/>
            <w:vAlign w:val="bottom"/>
          </w:tcPr>
          <w:p>
            <w:pPr>
              <w:spacing w:after="0"/>
              <w:rPr>
                <w:sz w:val="1"/>
                <w:szCs w:val="1"/>
                <w:color w:val="auto"/>
              </w:rPr>
            </w:pPr>
          </w:p>
        </w:tc>
      </w:tr>
      <w:tr>
        <w:trPr>
          <w:trHeight w:val="229"/>
        </w:trPr>
        <w:tc>
          <w:tcPr>
            <w:tcW w:w="1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5 -7 years</w:t>
            </w:r>
          </w:p>
        </w:tc>
        <w:tc>
          <w:tcPr>
            <w:tcW w:w="0" w:type="dxa"/>
            <w:vAlign w:val="bottom"/>
          </w:tcPr>
          <w:p>
            <w:pPr>
              <w:spacing w:after="0"/>
              <w:rPr>
                <w:sz w:val="1"/>
                <w:szCs w:val="1"/>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Copper</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3,850,988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3,432,894</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229"/>
        </w:trPr>
        <w:tc>
          <w:tcPr>
            <w:tcW w:w="1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Conduit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89,773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65,319</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 years</w:t>
            </w:r>
          </w:p>
        </w:tc>
        <w:tc>
          <w:tcPr>
            <w:tcW w:w="0" w:type="dxa"/>
            <w:vAlign w:val="bottom"/>
          </w:tcPr>
          <w:p>
            <w:pPr>
              <w:spacing w:after="0"/>
              <w:rPr>
                <w:sz w:val="1"/>
                <w:szCs w:val="1"/>
                <w:color w:val="auto"/>
              </w:rPr>
            </w:pPr>
          </w:p>
        </w:tc>
      </w:tr>
      <w:tr>
        <w:trPr>
          <w:trHeight w:val="229"/>
        </w:trPr>
        <w:tc>
          <w:tcPr>
            <w:tcW w:w="1580" w:type="dxa"/>
            <w:vAlign w:val="bottom"/>
            <w:gridSpan w:val="2"/>
          </w:tcPr>
          <w:p>
            <w:pPr>
              <w:spacing w:after="0"/>
              <w:rPr>
                <w:sz w:val="20"/>
                <w:szCs w:val="20"/>
                <w:color w:val="auto"/>
              </w:rPr>
            </w:pPr>
            <w:r>
              <w:rPr>
                <w:rFonts w:ascii="Arial" w:cs="Arial" w:eastAsia="Arial" w:hAnsi="Arial"/>
                <w:sz w:val="18"/>
                <w:szCs w:val="18"/>
                <w:color w:val="auto"/>
              </w:rPr>
              <w:t>Towers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813</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215"/>
        </w:trPr>
        <w:tc>
          <w:tcPr>
            <w:tcW w:w="1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25,511</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2,771</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See Note 3</w:t>
            </w:r>
          </w:p>
        </w:tc>
        <w:tc>
          <w:tcPr>
            <w:tcW w:w="0" w:type="dxa"/>
            <w:vAlign w:val="bottom"/>
          </w:tcPr>
          <w:p>
            <w:pPr>
              <w:spacing w:after="0"/>
              <w:rPr>
                <w:sz w:val="1"/>
                <w:szCs w:val="1"/>
                <w:color w:val="auto"/>
              </w:rPr>
            </w:pPr>
          </w:p>
        </w:tc>
      </w:tr>
      <w:tr>
        <w:trPr>
          <w:trHeight w:val="215"/>
        </w:trPr>
        <w:tc>
          <w:tcPr>
            <w:tcW w:w="1580" w:type="dxa"/>
            <w:vAlign w:val="bottom"/>
            <w:gridSpan w:val="2"/>
          </w:tcPr>
          <w:p>
            <w:pPr>
              <w:spacing w:after="0"/>
              <w:rPr>
                <w:sz w:val="20"/>
                <w:szCs w:val="20"/>
                <w:color w:val="auto"/>
              </w:rPr>
            </w:pPr>
            <w:r>
              <w:rPr>
                <w:rFonts w:ascii="Arial" w:cs="Arial" w:eastAsia="Arial" w:hAnsi="Arial"/>
                <w:sz w:val="18"/>
                <w:szCs w:val="18"/>
                <w:color w:val="auto"/>
              </w:rPr>
              <w:t>Real property</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See Note 3</w:t>
            </w: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15 - 20 years</w:t>
            </w:r>
          </w:p>
        </w:tc>
        <w:tc>
          <w:tcPr>
            <w:tcW w:w="0" w:type="dxa"/>
            <w:vAlign w:val="bottom"/>
          </w:tcPr>
          <w:p>
            <w:pPr>
              <w:spacing w:after="0"/>
              <w:rPr>
                <w:sz w:val="1"/>
                <w:szCs w:val="1"/>
                <w:color w:val="auto"/>
              </w:rPr>
            </w:pPr>
          </w:p>
        </w:tc>
      </w:tr>
      <w:tr>
        <w:trPr>
          <w:trHeight w:val="215"/>
        </w:trPr>
        <w:tc>
          <w:tcPr>
            <w:tcW w:w="158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in progress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See Note 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20" w:hanging="208"/>
        <w:spacing w:after="0"/>
        <w:tabs>
          <w:tab w:leader="none" w:pos="220" w:val="left"/>
        </w:tabs>
        <w:numPr>
          <w:ilvl w:val="0"/>
          <w:numId w:val="39"/>
        </w:numPr>
        <w:rPr>
          <w:rFonts w:ascii="Arial" w:cs="Arial" w:eastAsia="Arial" w:hAnsi="Arial"/>
          <w:sz w:val="13"/>
          <w:szCs w:val="13"/>
          <w:color w:val="auto"/>
        </w:rPr>
      </w:pPr>
      <w:r>
        <w:rPr>
          <w:rFonts w:ascii="Arial" w:cs="Arial" w:eastAsia="Arial" w:hAnsi="Arial"/>
          <w:sz w:val="16"/>
          <w:szCs w:val="16"/>
          <w:color w:val="auto"/>
        </w:rPr>
        <w:t>Given the voluminous nature and variety of our real estate investment assets, this schedule omits columns C and D from the schedule III presentation.</w:t>
      </w:r>
    </w:p>
    <w:p>
      <w:pPr>
        <w:spacing w:after="0" w:line="46" w:lineRule="exact"/>
        <w:rPr>
          <w:rFonts w:ascii="Arial" w:cs="Arial" w:eastAsia="Arial" w:hAnsi="Arial"/>
          <w:sz w:val="13"/>
          <w:szCs w:val="13"/>
          <w:color w:val="auto"/>
        </w:rPr>
      </w:pPr>
    </w:p>
    <w:p>
      <w:pPr>
        <w:ind w:left="220" w:hanging="208"/>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7"/>
          <w:szCs w:val="17"/>
          <w:color w:val="auto"/>
        </w:rPr>
        <w:t>Because additions and improvements to our real estate investment assets are ongoing, construction and acquisition dates are not applicable.</w:t>
      </w:r>
    </w:p>
    <w:p>
      <w:pPr>
        <w:spacing w:after="0" w:line="20" w:lineRule="exact"/>
        <w:rPr>
          <w:rFonts w:ascii="Arial" w:cs="Arial" w:eastAsia="Arial" w:hAnsi="Arial"/>
          <w:sz w:val="14"/>
          <w:szCs w:val="14"/>
          <w:color w:val="auto"/>
        </w:rPr>
      </w:pPr>
    </w:p>
    <w:p>
      <w:pPr>
        <w:ind w:left="220" w:hanging="208"/>
        <w:spacing w:after="0"/>
        <w:tabs>
          <w:tab w:leader="none" w:pos="220" w:val="left"/>
        </w:tabs>
        <w:numPr>
          <w:ilvl w:val="0"/>
          <w:numId w:val="39"/>
        </w:numPr>
        <w:rPr>
          <w:rFonts w:ascii="Arial" w:cs="Arial" w:eastAsia="Arial" w:hAnsi="Arial"/>
          <w:sz w:val="15"/>
          <w:szCs w:val="15"/>
          <w:color w:val="auto"/>
        </w:rPr>
      </w:pPr>
      <w:r>
        <w:rPr>
          <w:rFonts w:ascii="Arial" w:cs="Arial" w:eastAsia="Arial" w:hAnsi="Arial"/>
          <w:sz w:val="18"/>
          <w:szCs w:val="18"/>
          <w:color w:val="auto"/>
        </w:rPr>
        <w:t>For the year ended December 31, 2020, the amount of capitalized costs related to the Distribution Systems is as follows (millions):</w:t>
      </w:r>
    </w:p>
    <w:p>
      <w:pPr>
        <w:spacing w:after="0" w:line="211"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Tenant capital improvements</w:t>
            </w:r>
            <w:r>
              <w:rPr>
                <w:rFonts w:ascii="Arial" w:cs="Arial" w:eastAsia="Arial" w:hAnsi="Arial"/>
                <w:sz w:val="15"/>
                <w:szCs w:val="15"/>
                <w:color w:val="auto"/>
              </w:rPr>
              <w:t>(4)</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102.4</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Growth capital improvements</w:t>
            </w:r>
            <w:r>
              <w:rPr>
                <w:rFonts w:ascii="Arial" w:cs="Arial" w:eastAsia="Arial" w:hAnsi="Arial"/>
                <w:sz w:val="15"/>
                <w:szCs w:val="15"/>
                <w:color w:val="auto"/>
              </w:rPr>
              <w:t>(5)</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84.7</w:t>
            </w:r>
          </w:p>
        </w:tc>
      </w:tr>
    </w:tbl>
    <w:p>
      <w:pPr>
        <w:spacing w:after="0" w:line="94" w:lineRule="exact"/>
        <w:rPr>
          <w:sz w:val="20"/>
          <w:szCs w:val="20"/>
          <w:color w:val="auto"/>
        </w:rPr>
      </w:pPr>
    </w:p>
    <w:p>
      <w:pPr>
        <w:ind w:left="240" w:right="40" w:hanging="228"/>
        <w:spacing w:after="0" w:line="263" w:lineRule="auto"/>
        <w:tabs>
          <w:tab w:leader="none" w:pos="243" w:val="left"/>
        </w:tabs>
        <w:numPr>
          <w:ilvl w:val="0"/>
          <w:numId w:val="40"/>
        </w:numPr>
        <w:rPr>
          <w:rFonts w:ascii="Arial" w:cs="Arial" w:eastAsia="Arial" w:hAnsi="Arial"/>
          <w:sz w:val="15"/>
          <w:szCs w:val="15"/>
          <w:color w:val="auto"/>
        </w:rPr>
      </w:pPr>
      <w:r>
        <w:rPr>
          <w:rFonts w:ascii="Arial" w:cs="Arial" w:eastAsia="Arial" w:hAnsi="Arial"/>
          <w:sz w:val="18"/>
          <w:szCs w:val="18"/>
          <w:color w:val="auto"/>
        </w:rPr>
        <w:t>Tenant capital improvements represent, maintenance, repair, overbuild, upgrade or replacements to the leased network, including, without limitation, the replacement of copper distribution systems with fiber distribution systems. We receive non-monetary consideration related to the TCIs as they automatically become our property, and we recognize the cost basis of TCIs that are capital in nature.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240" w:right="160" w:hanging="228"/>
        <w:spacing w:after="0" w:line="286" w:lineRule="auto"/>
        <w:tabs>
          <w:tab w:leader="none" w:pos="243" w:val="left"/>
        </w:tabs>
        <w:numPr>
          <w:ilvl w:val="0"/>
          <w:numId w:val="41"/>
        </w:numPr>
        <w:rPr>
          <w:rFonts w:ascii="Arial" w:cs="Arial" w:eastAsia="Arial" w:hAnsi="Arial"/>
          <w:sz w:val="14"/>
          <w:szCs w:val="14"/>
          <w:color w:val="auto"/>
        </w:rPr>
      </w:pPr>
      <w:r>
        <w:rPr>
          <w:rFonts w:ascii="Arial" w:cs="Arial" w:eastAsia="Arial" w:hAnsi="Arial"/>
          <w:sz w:val="17"/>
          <w:szCs w:val="17"/>
          <w:color w:val="auto"/>
        </w:rPr>
        <w:t>Pursuant to the Windstream Leases, Windstream (or any successor tenant under a Windstream Lease) has the right to cause Uniti to reimburse up to an aggregate $1.75 billion for certain growth capital improvements in long-term fiber and related assets made by Windstream (or the applicable tenant under the Windstream Lease) to certain ILEC and CLEC properties (the “Growth Capital Improvements”).</w:t>
      </w:r>
    </w:p>
    <w:p>
      <w:pPr>
        <w:spacing w:after="0" w:line="57" w:lineRule="exact"/>
        <w:rPr>
          <w:rFonts w:ascii="Arial" w:cs="Arial" w:eastAsia="Arial" w:hAnsi="Arial"/>
          <w:sz w:val="14"/>
          <w:szCs w:val="14"/>
          <w:color w:val="auto"/>
        </w:rPr>
      </w:pPr>
    </w:p>
    <w:p>
      <w:pPr>
        <w:ind w:left="240" w:hanging="228"/>
        <w:spacing w:after="0"/>
        <w:tabs>
          <w:tab w:leader="none" w:pos="240" w:val="left"/>
        </w:tabs>
        <w:numPr>
          <w:ilvl w:val="0"/>
          <w:numId w:val="41"/>
        </w:numPr>
        <w:rPr>
          <w:rFonts w:ascii="Arial" w:cs="Arial" w:eastAsia="Arial" w:hAnsi="Arial"/>
          <w:sz w:val="15"/>
          <w:szCs w:val="15"/>
          <w:color w:val="auto"/>
        </w:rPr>
      </w:pPr>
      <w:r>
        <w:rPr>
          <w:rFonts w:ascii="Arial" w:cs="Arial" w:eastAsia="Arial" w:hAnsi="Arial"/>
          <w:sz w:val="18"/>
          <w:szCs w:val="18"/>
          <w:color w:val="auto"/>
        </w:rPr>
        <w:t>Aggregate cost for Federal income tax purposes related to our real estate investment assets is $6.9 billion.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 – Real Estate Investments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Borders>
              <w:bottom w:val="single" w:sz="8" w:color="CFF0FC"/>
            </w:tcBorders>
          </w:tcPr>
          <w:p>
            <w:pPr>
              <w:spacing w:after="0"/>
              <w:rPr>
                <w:sz w:val="20"/>
                <w:szCs w:val="20"/>
                <w:color w:val="auto"/>
              </w:rPr>
            </w:pPr>
          </w:p>
        </w:tc>
        <w:tc>
          <w:tcPr>
            <w:tcW w:w="32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Gross amount at beginning</w:t>
            </w:r>
          </w:p>
        </w:tc>
        <w:tc>
          <w:tcPr>
            <w:tcW w:w="3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7,394,951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7,000,099</w:t>
            </w: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Additions during period:</w:t>
            </w:r>
          </w:p>
        </w:tc>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Tenant capital improvements</w:t>
            </w:r>
          </w:p>
        </w:tc>
        <w:tc>
          <w:tcPr>
            <w:tcW w:w="3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102,396</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164,742</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rPr>
              <w:t>Growth capital improvements</w:t>
            </w:r>
          </w:p>
        </w:tc>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84,700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w:t>
            </w:r>
          </w:p>
        </w:tc>
        <w:tc>
          <w:tcPr>
            <w:tcW w:w="3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220,674</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293,562</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3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26,736</w:t>
            </w:r>
          </w:p>
        </w:tc>
        <w:tc>
          <w:tcPr>
            <w:tcW w:w="100" w:type="dxa"/>
            <w:vAlign w:val="bottom"/>
            <w:tcBorders>
              <w:bottom w:val="single" w:sz="8" w:color="CFF0FC"/>
            </w:tcBorders>
          </w:tcPr>
          <w:p>
            <w:pPr>
              <w:spacing w:after="0"/>
              <w:rPr>
                <w:sz w:val="19"/>
                <w:szCs w:val="19"/>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Total additions</w:t>
            </w:r>
          </w:p>
        </w:tc>
        <w:tc>
          <w:tcPr>
            <w:tcW w:w="3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407,940</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485,040</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Deductions during period:</w:t>
            </w:r>
          </w:p>
        </w:tc>
        <w:tc>
          <w:tcPr>
            <w:tcW w:w="3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ind w:left="260"/>
              <w:spacing w:after="0"/>
              <w:rPr>
                <w:sz w:val="20"/>
                <w:szCs w:val="20"/>
                <w:color w:val="auto"/>
              </w:rPr>
            </w:pPr>
            <w:r>
              <w:rPr>
                <w:rFonts w:ascii="Arial" w:cs="Arial" w:eastAsia="Arial" w:hAnsi="Arial"/>
                <w:sz w:val="18"/>
                <w:szCs w:val="18"/>
                <w:color w:val="auto"/>
              </w:rPr>
              <w:t>Cost of real estate sold or disposed</w:t>
            </w:r>
          </w:p>
        </w:tc>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414,976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90,188</w:t>
            </w: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 deductions</w:t>
            </w:r>
          </w:p>
        </w:tc>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414,976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90,188</w:t>
            </w: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19"/>
                <w:szCs w:val="19"/>
                <w:color w:val="auto"/>
              </w:rPr>
            </w:pPr>
          </w:p>
        </w:tc>
        <w:tc>
          <w:tcPr>
            <w:tcW w:w="3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Balance at end</w:t>
            </w:r>
          </w:p>
        </w:tc>
        <w:tc>
          <w:tcPr>
            <w:tcW w:w="3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7,387,915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7,394,951</w:t>
            </w:r>
          </w:p>
        </w:tc>
        <w:tc>
          <w:tcPr>
            <w:tcW w:w="100" w:type="dxa"/>
            <w:vAlign w:val="bottom"/>
          </w:tcPr>
          <w:p>
            <w:pPr>
              <w:spacing w:after="0"/>
              <w:rPr>
                <w:sz w:val="20"/>
                <w:szCs w:val="20"/>
                <w:color w:val="auto"/>
              </w:rPr>
            </w:pPr>
          </w:p>
        </w:tc>
      </w:tr>
      <w:tr>
        <w:trPr>
          <w:trHeight w:val="445"/>
        </w:trPr>
        <w:tc>
          <w:tcPr>
            <w:tcW w:w="5180" w:type="dxa"/>
            <w:vAlign w:val="bottom"/>
            <w:tcBorders>
              <w:bottom w:val="single" w:sz="8" w:color="CFF0FC"/>
            </w:tcBorders>
          </w:tcPr>
          <w:p>
            <w:pPr>
              <w:spacing w:after="0"/>
              <w:rPr>
                <w:sz w:val="24"/>
                <w:szCs w:val="24"/>
                <w:color w:val="auto"/>
              </w:rPr>
            </w:pPr>
          </w:p>
        </w:tc>
        <w:tc>
          <w:tcPr>
            <w:tcW w:w="32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4"/>
                <w:szCs w:val="24"/>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Gross amount of accumulated depreciation at beginning</w:t>
            </w:r>
          </w:p>
        </w:tc>
        <w:tc>
          <w:tcPr>
            <w:tcW w:w="3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5,022,929</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4,739,126</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Additions during period:</w:t>
            </w:r>
          </w:p>
        </w:tc>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3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202,877</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291,398</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3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FF0FC"/>
            </w:tcBorders>
          </w:tcPr>
          <w:p>
            <w:pPr>
              <w:spacing w:after="0"/>
              <w:rPr>
                <w:sz w:val="19"/>
                <w:szCs w:val="19"/>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Total additions</w:t>
            </w:r>
          </w:p>
        </w:tc>
        <w:tc>
          <w:tcPr>
            <w:tcW w:w="3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202,877</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293,165</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Deductions during period:</w:t>
            </w:r>
          </w:p>
        </w:tc>
        <w:tc>
          <w:tcPr>
            <w:tcW w:w="3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ind w:left="260"/>
              <w:spacing w:after="0"/>
              <w:rPr>
                <w:sz w:val="20"/>
                <w:szCs w:val="20"/>
                <w:color w:val="auto"/>
              </w:rPr>
            </w:pPr>
            <w:r>
              <w:rPr>
                <w:rFonts w:ascii="Arial" w:cs="Arial" w:eastAsia="Arial" w:hAnsi="Arial"/>
                <w:sz w:val="18"/>
                <w:szCs w:val="18"/>
                <w:color w:val="auto"/>
                <w:w w:val="95"/>
              </w:rPr>
              <w:t>Amount of accumulated depreciation for assets sold or disposed</w:t>
            </w:r>
          </w:p>
        </w:tc>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20,411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9,362</w:t>
            </w: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 deductions</w:t>
            </w:r>
          </w:p>
        </w:tc>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20,411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9,362</w:t>
            </w: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19"/>
                <w:szCs w:val="19"/>
                <w:color w:val="auto"/>
              </w:rPr>
            </w:pPr>
          </w:p>
        </w:tc>
        <w:tc>
          <w:tcPr>
            <w:tcW w:w="3460" w:type="dxa"/>
            <w:vAlign w:val="bottom"/>
            <w:gridSpan w:val="2"/>
            <w:shd w:val="clear" w:color="auto" w:fill="CFF0FC"/>
          </w:tcPr>
          <w:p>
            <w:pPr>
              <w:spacing w:after="0"/>
              <w:rPr>
                <w:sz w:val="19"/>
                <w:szCs w:val="19"/>
                <w:color w:val="auto"/>
              </w:rPr>
            </w:pPr>
          </w:p>
        </w:tc>
        <w:tc>
          <w:tcPr>
            <w:tcW w:w="960" w:type="dxa"/>
            <w:vAlign w:val="bottom"/>
            <w:gridSpan w:val="2"/>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Balance at end</w:t>
            </w:r>
          </w:p>
        </w:tc>
        <w:tc>
          <w:tcPr>
            <w:tcW w:w="3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5,205,395</w:t>
            </w:r>
          </w:p>
        </w:tc>
        <w:tc>
          <w:tcPr>
            <w:tcW w:w="260" w:type="dxa"/>
            <w:vAlign w:val="bottom"/>
          </w:tcPr>
          <w:p>
            <w:pPr>
              <w:spacing w:after="0"/>
              <w:rPr>
                <w:sz w:val="20"/>
                <w:szCs w:val="20"/>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5,022,929</w:t>
            </w:r>
          </w:p>
        </w:tc>
        <w:tc>
          <w:tcPr>
            <w:tcW w:w="100" w:type="dxa"/>
            <w:vAlign w:val="bottom"/>
          </w:tcPr>
          <w:p>
            <w:pPr>
              <w:spacing w:after="0"/>
              <w:rPr>
                <w:sz w:val="20"/>
                <w:szCs w:val="20"/>
                <w:color w:val="auto"/>
              </w:rPr>
            </w:pPr>
          </w:p>
        </w:tc>
      </w:tr>
      <w:tr>
        <w:trPr>
          <w:trHeight w:val="863"/>
        </w:trPr>
        <w:tc>
          <w:tcPr>
            <w:tcW w:w="5180" w:type="dxa"/>
            <w:vAlign w:val="bottom"/>
          </w:tcPr>
          <w:p>
            <w:pPr>
              <w:spacing w:after="0"/>
              <w:rPr>
                <w:sz w:val="24"/>
                <w:szCs w:val="24"/>
                <w:color w:val="auto"/>
              </w:rPr>
            </w:pPr>
          </w:p>
        </w:tc>
        <w:tc>
          <w:tcPr>
            <w:tcW w:w="3460" w:type="dxa"/>
            <w:vAlign w:val="bottom"/>
            <w:gridSpan w:val="2"/>
          </w:tcPr>
          <w:p>
            <w:pPr>
              <w:jc w:val="right"/>
              <w:ind w:right="2827"/>
              <w:spacing w:after="0"/>
              <w:rPr>
                <w:sz w:val="20"/>
                <w:szCs w:val="20"/>
                <w:color w:val="auto"/>
              </w:rPr>
            </w:pPr>
            <w:r>
              <w:rPr>
                <w:rFonts w:ascii="Arial" w:cs="Arial" w:eastAsia="Arial" w:hAnsi="Arial"/>
                <w:sz w:val="18"/>
                <w:szCs w:val="18"/>
                <w:color w:val="auto"/>
              </w:rPr>
              <w:t>S-7</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0" w:type="dxa"/>
            <w:vAlign w:val="bottom"/>
            <w:gridSpan w:val="2"/>
          </w:tcPr>
          <w:p>
            <w:pPr>
              <w:ind w:left="266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7660" w:type="dxa"/>
            <w:vAlign w:val="bottom"/>
            <w:gridSpan w:val="4"/>
          </w:tcPr>
          <w:p>
            <w:pPr>
              <w:ind w:left="860"/>
              <w:spacing w:after="0"/>
              <w:rPr>
                <w:sz w:val="20"/>
                <w:szCs w:val="20"/>
                <w:color w:val="auto"/>
              </w:rPr>
            </w:pPr>
            <w:r>
              <w:rPr>
                <w:rFonts w:ascii="Arial" w:cs="Arial" w:eastAsia="Arial" w:hAnsi="Arial"/>
                <w:sz w:val="18"/>
                <w:szCs w:val="18"/>
                <w:b w:val="1"/>
                <w:bCs w:val="1"/>
                <w:color w:val="auto"/>
              </w:rPr>
              <w:t>Subsidiaries of the Registrants</w:t>
            </w:r>
          </w:p>
        </w:tc>
        <w:tc>
          <w:tcPr>
            <w:tcW w:w="0" w:type="dxa"/>
            <w:vAlign w:val="bottom"/>
          </w:tcPr>
          <w:p>
            <w:pPr>
              <w:spacing w:after="0"/>
              <w:rPr>
                <w:sz w:val="1"/>
                <w:szCs w:val="1"/>
                <w:color w:val="auto"/>
              </w:rPr>
            </w:pPr>
          </w:p>
        </w:tc>
      </w:tr>
      <w:tr>
        <w:trPr>
          <w:trHeight w:val="355"/>
        </w:trPr>
        <w:tc>
          <w:tcPr>
            <w:tcW w:w="3600" w:type="dxa"/>
            <w:vAlign w:val="bottom"/>
            <w:vMerge w:val="restart"/>
          </w:tcPr>
          <w:p>
            <w:pPr>
              <w:spacing w:after="0"/>
              <w:rPr>
                <w:sz w:val="20"/>
                <w:szCs w:val="20"/>
                <w:color w:val="auto"/>
              </w:rPr>
            </w:pPr>
            <w:r>
              <w:rPr>
                <w:rFonts w:ascii="Arial" w:cs="Arial" w:eastAsia="Arial" w:hAnsi="Arial"/>
                <w:sz w:val="14"/>
                <w:szCs w:val="14"/>
                <w:b w:val="1"/>
                <w:bCs w:val="1"/>
                <w:color w:val="auto"/>
              </w:rPr>
              <w:t>Subsidiary</w:t>
            </w:r>
          </w:p>
        </w:tc>
        <w:tc>
          <w:tcPr>
            <w:tcW w:w="3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State or other jurisdiction of</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incorporation or organization</w:t>
            </w:r>
          </w:p>
        </w:tc>
        <w:tc>
          <w:tcPr>
            <w:tcW w:w="0" w:type="dxa"/>
            <w:vAlign w:val="bottom"/>
          </w:tcPr>
          <w:p>
            <w:pPr>
              <w:spacing w:after="0"/>
              <w:rPr>
                <w:sz w:val="1"/>
                <w:szCs w:val="1"/>
                <w:color w:val="auto"/>
              </w:rPr>
            </w:pPr>
          </w:p>
        </w:tc>
      </w:tr>
      <w:tr>
        <w:trPr>
          <w:trHeight w:val="223"/>
        </w:trPr>
        <w:tc>
          <w:tcPr>
            <w:tcW w:w="3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ANS Connect LLC</w:t>
            </w:r>
          </w:p>
        </w:tc>
        <w:tc>
          <w:tcPr>
            <w:tcW w:w="37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3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Georgia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CSL Capital,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Contact Network, LLC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Alabama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CSL Alabama System,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CSL Arkansas System, LLC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CSL Florida System,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CSL Georgia Realty, LLC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CSL Georgia System,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CSL Iowa System, LLC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CSL Kentucky System,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CSL Mississippi System, LLC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CSL Missouri System,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CSL National, LP</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CSL National GP,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CSL New Mexico System, LLC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CSL North Carolina Realty, LP</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CSL North Carolina Realty GP, LLC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CSL North Carolina System, LP</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CSL Ohio System, LLC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CSL Oklahoma System,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CSL Realty, LLC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CSL Tennessee Realty,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CSL Tennessee Realty Partner, LLC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CSL Texas System,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Hunt Brothers of Louisiana, L.L.C.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Louisiana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Hunt Telecommunications,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3"/>
              </w:rPr>
              <w:t>Louisiana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Information Transport Solutions, Inc.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Alabama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InLine Services,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Integrated Data Systems, L.L.C.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Louisiana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Nexus Systems,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3"/>
              </w:rPr>
              <w:t>Louisiana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Nexus Wireless, L.L.C.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Louisiana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PEG Bandwidth DC,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PEG Bandwidth DE, LLC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PEG Bandwidth LA,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PEG Bandwidth MA, LLC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PEG Bandwidth MD,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PEG Bandwidth MS, LLC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PEG Bandwidth NJ,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PEG Bandwidth NY Telephone Corp.</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New York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PEG Bandwidth PA,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PEG Bandwidth Services, LLC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PEG Bandwidth TX,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PEG Bandwidth VA, LLC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Southern Light,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Alabama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Talk America Services, LLC*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Uniti Dark Fiber LLC</w:t>
            </w:r>
          </w:p>
        </w:tc>
        <w:tc>
          <w:tcPr>
            <w:tcW w:w="3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Uniti Fiber Holdings Inc.</w:t>
            </w:r>
          </w:p>
        </w:tc>
        <w:tc>
          <w:tcPr>
            <w:tcW w:w="3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Uniti Fiber LLC</w:t>
            </w:r>
          </w:p>
        </w:tc>
        <w:tc>
          <w:tcPr>
            <w:tcW w:w="3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36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Uniti Fiber 2020 LLC</w:t>
            </w:r>
          </w:p>
        </w:tc>
        <w:tc>
          <w:tcPr>
            <w:tcW w:w="5420" w:type="dxa"/>
            <w:vAlign w:val="bottom"/>
            <w:shd w:val="clear" w:color="auto" w:fill="CFF0FC"/>
          </w:tcPr>
          <w:p>
            <w:pPr>
              <w:ind w:left="3280"/>
              <w:spacing w:after="0"/>
              <w:rPr>
                <w:sz w:val="20"/>
                <w:szCs w:val="20"/>
                <w:color w:val="auto"/>
              </w:rPr>
            </w:pPr>
            <w:r>
              <w:rPr>
                <w:rFonts w:ascii="Arial" w:cs="Arial" w:eastAsia="Arial" w:hAnsi="Arial"/>
                <w:sz w:val="18"/>
                <w:szCs w:val="18"/>
                <w:color w:val="auto"/>
              </w:rPr>
              <w:t>Delaware</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Uniti Group Finance Inc.</w:t>
            </w:r>
          </w:p>
        </w:tc>
        <w:tc>
          <w:tcPr>
            <w:tcW w:w="5420" w:type="dxa"/>
            <w:vAlign w:val="bottom"/>
          </w:tcPr>
          <w:p>
            <w:pPr>
              <w:ind w:left="3280"/>
              <w:spacing w:after="0"/>
              <w:rPr>
                <w:sz w:val="20"/>
                <w:szCs w:val="20"/>
                <w:color w:val="auto"/>
              </w:rPr>
            </w:pPr>
            <w:r>
              <w:rPr>
                <w:rFonts w:ascii="Arial" w:cs="Arial" w:eastAsia="Arial" w:hAnsi="Arial"/>
                <w:sz w:val="18"/>
                <w:szCs w:val="18"/>
                <w:color w:val="auto"/>
              </w:rPr>
              <w:t>Delaware</w:t>
            </w: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Uniti Group Finance 2019 Inc.</w:t>
            </w:r>
          </w:p>
        </w:tc>
        <w:tc>
          <w:tcPr>
            <w:tcW w:w="5420" w:type="dxa"/>
            <w:vAlign w:val="bottom"/>
            <w:shd w:val="clear" w:color="auto" w:fill="CFF0FC"/>
          </w:tcPr>
          <w:p>
            <w:pPr>
              <w:ind w:left="3280"/>
              <w:spacing w:after="0"/>
              <w:rPr>
                <w:sz w:val="20"/>
                <w:szCs w:val="20"/>
                <w:color w:val="auto"/>
              </w:rPr>
            </w:pPr>
            <w:r>
              <w:rPr>
                <w:rFonts w:ascii="Arial" w:cs="Arial" w:eastAsia="Arial" w:hAnsi="Arial"/>
                <w:sz w:val="18"/>
                <w:szCs w:val="18"/>
                <w:color w:val="auto"/>
              </w:rPr>
              <w:t>Delaware</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Uniti Group Holdco LLC</w:t>
            </w:r>
          </w:p>
        </w:tc>
        <w:tc>
          <w:tcPr>
            <w:tcW w:w="5420" w:type="dxa"/>
            <w:vAlign w:val="bottom"/>
          </w:tcPr>
          <w:p>
            <w:pPr>
              <w:ind w:left="3280"/>
              <w:spacing w:after="0"/>
              <w:rPr>
                <w:sz w:val="20"/>
                <w:szCs w:val="20"/>
                <w:color w:val="auto"/>
              </w:rPr>
            </w:pPr>
            <w:r>
              <w:rPr>
                <w:rFonts w:ascii="Arial" w:cs="Arial" w:eastAsia="Arial" w:hAnsi="Arial"/>
                <w:sz w:val="18"/>
                <w:szCs w:val="18"/>
                <w:color w:val="auto"/>
              </w:rPr>
              <w:t>Delaware</w:t>
            </w: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Uniti Group LP*</w:t>
            </w:r>
          </w:p>
        </w:tc>
        <w:tc>
          <w:tcPr>
            <w:tcW w:w="5420" w:type="dxa"/>
            <w:vAlign w:val="bottom"/>
            <w:shd w:val="clear" w:color="auto" w:fill="CFF0FC"/>
          </w:tcPr>
          <w:p>
            <w:pPr>
              <w:ind w:left="3280"/>
              <w:spacing w:after="0"/>
              <w:rPr>
                <w:sz w:val="20"/>
                <w:szCs w:val="20"/>
                <w:color w:val="auto"/>
              </w:rPr>
            </w:pPr>
            <w:r>
              <w:rPr>
                <w:rFonts w:ascii="Arial" w:cs="Arial" w:eastAsia="Arial" w:hAnsi="Arial"/>
                <w:sz w:val="18"/>
                <w:szCs w:val="18"/>
                <w:color w:val="auto"/>
              </w:rPr>
              <w:t>Delaware</w:t>
            </w: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Uniti Group LP LLC*</w:t>
            </w:r>
          </w:p>
        </w:tc>
        <w:tc>
          <w:tcPr>
            <w:tcW w:w="5420" w:type="dxa"/>
            <w:vAlign w:val="bottom"/>
          </w:tcPr>
          <w:p>
            <w:pPr>
              <w:ind w:left="3280"/>
              <w:spacing w:after="0"/>
              <w:rPr>
                <w:sz w:val="20"/>
                <w:szCs w:val="20"/>
                <w:color w:val="auto"/>
              </w:rPr>
            </w:pPr>
            <w:r>
              <w:rPr>
                <w:rFonts w:ascii="Arial" w:cs="Arial" w:eastAsia="Arial" w:hAnsi="Arial"/>
                <w:sz w:val="18"/>
                <w:szCs w:val="18"/>
                <w:color w:val="auto"/>
              </w:rPr>
              <w:t>Delaware</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Uniti Holdings GP LLC</w:t>
            </w:r>
          </w:p>
        </w:tc>
        <w:tc>
          <w:tcPr>
            <w:tcW w:w="5420" w:type="dxa"/>
            <w:vAlign w:val="bottom"/>
            <w:shd w:val="clear" w:color="auto" w:fill="CFF0FC"/>
          </w:tcPr>
          <w:p>
            <w:pPr>
              <w:ind w:left="3280"/>
              <w:spacing w:after="0"/>
              <w:rPr>
                <w:sz w:val="20"/>
                <w:szCs w:val="20"/>
                <w:color w:val="auto"/>
              </w:rPr>
            </w:pPr>
            <w:r>
              <w:rPr>
                <w:rFonts w:ascii="Arial" w:cs="Arial" w:eastAsia="Arial" w:hAnsi="Arial"/>
                <w:sz w:val="18"/>
                <w:szCs w:val="18"/>
                <w:color w:val="auto"/>
              </w:rPr>
              <w:t>Delaware</w:t>
            </w: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Uniti Holdings LP</w:t>
            </w:r>
          </w:p>
        </w:tc>
        <w:tc>
          <w:tcPr>
            <w:tcW w:w="5420" w:type="dxa"/>
            <w:vAlign w:val="bottom"/>
          </w:tcPr>
          <w:p>
            <w:pPr>
              <w:ind w:left="3280"/>
              <w:spacing w:after="0"/>
              <w:rPr>
                <w:sz w:val="20"/>
                <w:szCs w:val="20"/>
                <w:color w:val="auto"/>
              </w:rPr>
            </w:pPr>
            <w:r>
              <w:rPr>
                <w:rFonts w:ascii="Arial" w:cs="Arial" w:eastAsia="Arial" w:hAnsi="Arial"/>
                <w:sz w:val="18"/>
                <w:szCs w:val="18"/>
                <w:color w:val="auto"/>
              </w:rPr>
              <w:t>Delaware</w:t>
            </w: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Uniti LATAM GP LLC</w:t>
            </w:r>
          </w:p>
        </w:tc>
        <w:tc>
          <w:tcPr>
            <w:tcW w:w="5420" w:type="dxa"/>
            <w:vAlign w:val="bottom"/>
            <w:shd w:val="clear" w:color="auto" w:fill="CFF0FC"/>
          </w:tcPr>
          <w:p>
            <w:pPr>
              <w:ind w:left="3280"/>
              <w:spacing w:after="0"/>
              <w:rPr>
                <w:sz w:val="20"/>
                <w:szCs w:val="20"/>
                <w:color w:val="auto"/>
              </w:rPr>
            </w:pPr>
            <w:r>
              <w:rPr>
                <w:rFonts w:ascii="Arial" w:cs="Arial" w:eastAsia="Arial" w:hAnsi="Arial"/>
                <w:sz w:val="18"/>
                <w:szCs w:val="18"/>
                <w:color w:val="auto"/>
              </w:rPr>
              <w:t>Delaware</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Uniti LATAM LP</w:t>
            </w:r>
          </w:p>
        </w:tc>
        <w:tc>
          <w:tcPr>
            <w:tcW w:w="5420" w:type="dxa"/>
            <w:vAlign w:val="bottom"/>
          </w:tcPr>
          <w:p>
            <w:pPr>
              <w:ind w:left="3280"/>
              <w:spacing w:after="0"/>
              <w:rPr>
                <w:sz w:val="20"/>
                <w:szCs w:val="20"/>
                <w:color w:val="auto"/>
              </w:rPr>
            </w:pPr>
            <w:r>
              <w:rPr>
                <w:rFonts w:ascii="Arial" w:cs="Arial" w:eastAsia="Arial" w:hAnsi="Arial"/>
                <w:sz w:val="18"/>
                <w:szCs w:val="18"/>
                <w:color w:val="auto"/>
              </w:rPr>
              <w:t>Delaware</w:t>
            </w: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Uniti Leasing LLC</w:t>
            </w:r>
          </w:p>
        </w:tc>
        <w:tc>
          <w:tcPr>
            <w:tcW w:w="5420" w:type="dxa"/>
            <w:vAlign w:val="bottom"/>
            <w:shd w:val="clear" w:color="auto" w:fill="CFF0FC"/>
          </w:tcPr>
          <w:p>
            <w:pPr>
              <w:ind w:left="3280"/>
              <w:spacing w:after="0"/>
              <w:rPr>
                <w:sz w:val="20"/>
                <w:szCs w:val="20"/>
                <w:color w:val="auto"/>
              </w:rPr>
            </w:pPr>
            <w:r>
              <w:rPr>
                <w:rFonts w:ascii="Arial" w:cs="Arial" w:eastAsia="Arial" w:hAnsi="Arial"/>
                <w:sz w:val="18"/>
                <w:szCs w:val="18"/>
                <w:color w:val="auto"/>
              </w:rPr>
              <w:t>Delaware</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Uniti Leasing X LLC</w:t>
            </w:r>
          </w:p>
        </w:tc>
        <w:tc>
          <w:tcPr>
            <w:tcW w:w="5420" w:type="dxa"/>
            <w:vAlign w:val="bottom"/>
          </w:tcPr>
          <w:p>
            <w:pPr>
              <w:ind w:left="3280"/>
              <w:spacing w:after="0"/>
              <w:rPr>
                <w:sz w:val="20"/>
                <w:szCs w:val="20"/>
                <w:color w:val="auto"/>
              </w:rPr>
            </w:pPr>
            <w:r>
              <w:rPr>
                <w:rFonts w:ascii="Arial" w:cs="Arial" w:eastAsia="Arial" w:hAnsi="Arial"/>
                <w:sz w:val="18"/>
                <w:szCs w:val="18"/>
                <w:color w:val="auto"/>
              </w:rPr>
              <w:t>Delaware</w:t>
            </w: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Uniti Leasing XI LLC</w:t>
            </w:r>
          </w:p>
        </w:tc>
        <w:tc>
          <w:tcPr>
            <w:tcW w:w="5420" w:type="dxa"/>
            <w:vAlign w:val="bottom"/>
            <w:shd w:val="clear" w:color="auto" w:fill="CFF0FC"/>
          </w:tcPr>
          <w:p>
            <w:pPr>
              <w:ind w:left="3280"/>
              <w:spacing w:after="0"/>
              <w:rPr>
                <w:sz w:val="20"/>
                <w:szCs w:val="20"/>
                <w:color w:val="auto"/>
              </w:rPr>
            </w:pPr>
            <w:r>
              <w:rPr>
                <w:rFonts w:ascii="Arial" w:cs="Arial" w:eastAsia="Arial" w:hAnsi="Arial"/>
                <w:sz w:val="18"/>
                <w:szCs w:val="18"/>
                <w:color w:val="auto"/>
              </w:rPr>
              <w:t>Delaware</w:t>
            </w: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Uniti Leasing XII LLC</w:t>
            </w:r>
          </w:p>
        </w:tc>
        <w:tc>
          <w:tcPr>
            <w:tcW w:w="5420" w:type="dxa"/>
            <w:vAlign w:val="bottom"/>
          </w:tcPr>
          <w:p>
            <w:pPr>
              <w:ind w:left="3280"/>
              <w:spacing w:after="0"/>
              <w:rPr>
                <w:sz w:val="20"/>
                <w:szCs w:val="20"/>
                <w:color w:val="auto"/>
              </w:rPr>
            </w:pPr>
            <w:r>
              <w:rPr>
                <w:rFonts w:ascii="Arial" w:cs="Arial" w:eastAsia="Arial" w:hAnsi="Arial"/>
                <w:sz w:val="18"/>
                <w:szCs w:val="18"/>
                <w:color w:val="auto"/>
              </w:rPr>
              <w:t>Delaware</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Uniti National LLC</w:t>
            </w:r>
          </w:p>
        </w:tc>
        <w:tc>
          <w:tcPr>
            <w:tcW w:w="5420" w:type="dxa"/>
            <w:vAlign w:val="bottom"/>
            <w:shd w:val="clear" w:color="auto" w:fill="CFF0FC"/>
          </w:tcPr>
          <w:p>
            <w:pPr>
              <w:ind w:left="3280"/>
              <w:spacing w:after="0"/>
              <w:rPr>
                <w:sz w:val="20"/>
                <w:szCs w:val="20"/>
                <w:color w:val="auto"/>
              </w:rPr>
            </w:pPr>
            <w:r>
              <w:rPr>
                <w:rFonts w:ascii="Arial" w:cs="Arial" w:eastAsia="Arial" w:hAnsi="Arial"/>
                <w:sz w:val="18"/>
                <w:szCs w:val="18"/>
                <w:color w:val="auto"/>
              </w:rPr>
              <w:t>Delaware</w:t>
            </w: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Uniti QRS Holdings GP LLC</w:t>
            </w:r>
          </w:p>
        </w:tc>
        <w:tc>
          <w:tcPr>
            <w:tcW w:w="5420" w:type="dxa"/>
            <w:vAlign w:val="bottom"/>
          </w:tcPr>
          <w:p>
            <w:pPr>
              <w:ind w:left="3280"/>
              <w:spacing w:after="0"/>
              <w:rPr>
                <w:sz w:val="20"/>
                <w:szCs w:val="20"/>
                <w:color w:val="auto"/>
              </w:rPr>
            </w:pPr>
            <w:r>
              <w:rPr>
                <w:rFonts w:ascii="Arial" w:cs="Arial" w:eastAsia="Arial" w:hAnsi="Arial"/>
                <w:sz w:val="18"/>
                <w:szCs w:val="18"/>
                <w:color w:val="auto"/>
              </w:rPr>
              <w:t>Delaware</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Uniti QRS Holdings LP</w:t>
            </w:r>
          </w:p>
        </w:tc>
        <w:tc>
          <w:tcPr>
            <w:tcW w:w="5420" w:type="dxa"/>
            <w:vAlign w:val="bottom"/>
            <w:shd w:val="clear" w:color="auto" w:fill="CFF0FC"/>
          </w:tcPr>
          <w:p>
            <w:pPr>
              <w:ind w:left="3280"/>
              <w:spacing w:after="0"/>
              <w:rPr>
                <w:sz w:val="20"/>
                <w:szCs w:val="20"/>
                <w:color w:val="auto"/>
              </w:rPr>
            </w:pPr>
            <w:r>
              <w:rPr>
                <w:rFonts w:ascii="Arial" w:cs="Arial" w:eastAsia="Arial" w:hAnsi="Arial"/>
                <w:sz w:val="18"/>
                <w:szCs w:val="18"/>
                <w:color w:val="auto"/>
              </w:rPr>
              <w:t>Delaware</w:t>
            </w: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Uniti Towers NMS Holdings LLC</w:t>
            </w:r>
          </w:p>
        </w:tc>
        <w:tc>
          <w:tcPr>
            <w:tcW w:w="5420" w:type="dxa"/>
            <w:vAlign w:val="bottom"/>
          </w:tcPr>
          <w:p>
            <w:pPr>
              <w:ind w:left="3280"/>
              <w:spacing w:after="0"/>
              <w:rPr>
                <w:sz w:val="20"/>
                <w:szCs w:val="20"/>
                <w:color w:val="auto"/>
              </w:rPr>
            </w:pPr>
            <w:r>
              <w:rPr>
                <w:rFonts w:ascii="Arial" w:cs="Arial" w:eastAsia="Arial" w:hAnsi="Arial"/>
                <w:sz w:val="18"/>
                <w:szCs w:val="18"/>
                <w:color w:val="auto"/>
              </w:rPr>
              <w:t>Delaware</w:t>
            </w: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Uniti Wireless Holdings LLC</w:t>
            </w:r>
          </w:p>
        </w:tc>
        <w:tc>
          <w:tcPr>
            <w:tcW w:w="5420" w:type="dxa"/>
            <w:vAlign w:val="bottom"/>
            <w:shd w:val="clear" w:color="auto" w:fill="CFF0FC"/>
          </w:tcPr>
          <w:p>
            <w:pPr>
              <w:ind w:left="3280"/>
              <w:spacing w:after="0"/>
              <w:rPr>
                <w:sz w:val="20"/>
                <w:szCs w:val="20"/>
                <w:color w:val="auto"/>
              </w:rPr>
            </w:pPr>
            <w:r>
              <w:rPr>
                <w:rFonts w:ascii="Arial" w:cs="Arial" w:eastAsia="Arial" w:hAnsi="Arial"/>
                <w:sz w:val="18"/>
                <w:szCs w:val="18"/>
                <w:color w:val="auto"/>
              </w:rPr>
              <w:t>Delaware</w:t>
            </w:r>
          </w:p>
        </w:tc>
      </w:tr>
      <w:tr>
        <w:trPr>
          <w:trHeight w:val="234"/>
        </w:trPr>
        <w:tc>
          <w:tcPr>
            <w:tcW w:w="5820" w:type="dxa"/>
            <w:vAlign w:val="bottom"/>
          </w:tcPr>
          <w:p>
            <w:pPr>
              <w:spacing w:after="0"/>
              <w:rPr>
                <w:sz w:val="20"/>
                <w:szCs w:val="20"/>
                <w:color w:val="auto"/>
              </w:rPr>
            </w:pPr>
            <w:r>
              <w:rPr>
                <w:rFonts w:ascii="Arial" w:cs="Arial" w:eastAsia="Arial" w:hAnsi="Arial"/>
                <w:sz w:val="18"/>
                <w:szCs w:val="18"/>
                <w:b w:val="1"/>
                <w:bCs w:val="1"/>
                <w:color w:val="auto"/>
              </w:rPr>
              <w:t>____________________________</w:t>
            </w:r>
          </w:p>
        </w:tc>
        <w:tc>
          <w:tcPr>
            <w:tcW w:w="5420" w:type="dxa"/>
            <w:vAlign w:val="bottom"/>
          </w:tcPr>
          <w:p>
            <w:pPr>
              <w:spacing w:after="0"/>
              <w:rPr>
                <w:sz w:val="20"/>
                <w:szCs w:val="20"/>
                <w:color w:val="auto"/>
              </w:rPr>
            </w:pPr>
          </w:p>
        </w:tc>
      </w:tr>
    </w:tbl>
    <w:p>
      <w:pPr>
        <w:spacing w:after="0" w:line="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*Uniti Group LP LLC and Talk America Services, LLC are direct, wholly-owned subsidiaries of Uniti Group Inc. Uniti Group LP is a direct, majority-owned subsidiary of Uniti Group Inc. The remaining subsidiaries are direct or indirect, wholly-owned subsidiaries of Uniti Group LP.</w:t>
      </w:r>
    </w:p>
    <w:p>
      <w:pPr>
        <w:sectPr>
          <w:pgSz w:w="11900" w:h="16838" w:orient="portrait"/>
          <w:cols w:equalWidth="0" w:num="1">
            <w:col w:w="11240"/>
          </w:cols>
          <w:pgMar w:left="320" w:top="369"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Uniti Group Inc.:</w:t>
      </w:r>
    </w:p>
    <w:p>
      <w:pPr>
        <w:spacing w:after="0" w:line="170" w:lineRule="exact"/>
        <w:rPr>
          <w:sz w:val="20"/>
          <w:szCs w:val="20"/>
          <w:color w:val="auto"/>
        </w:rPr>
      </w:pPr>
    </w:p>
    <w:p>
      <w:pPr>
        <w:ind w:right="180"/>
        <w:spacing w:after="0" w:line="219" w:lineRule="exact"/>
        <w:rPr>
          <w:sz w:val="20"/>
          <w:szCs w:val="20"/>
          <w:color w:val="auto"/>
        </w:rPr>
      </w:pPr>
      <w:r>
        <w:rPr>
          <w:rFonts w:ascii="Arial" w:cs="Arial" w:eastAsia="Arial" w:hAnsi="Arial"/>
          <w:sz w:val="17"/>
          <w:szCs w:val="17"/>
          <w:color w:val="auto"/>
        </w:rPr>
        <w:t>We consent to the incorporation by reference in the registration statements (No. 333</w:t>
      </w:r>
      <w:r>
        <w:rPr>
          <w:rFonts w:ascii="MS PGothic" w:cs="MS PGothic" w:eastAsia="MS PGothic" w:hAnsi="MS PGothic"/>
          <w:sz w:val="17"/>
          <w:szCs w:val="17"/>
          <w:color w:val="auto"/>
        </w:rPr>
        <w:t>‑</w:t>
      </w:r>
      <w:r>
        <w:rPr>
          <w:rFonts w:ascii="Arial" w:cs="Arial" w:eastAsia="Arial" w:hAnsi="Arial"/>
          <w:sz w:val="17"/>
          <w:szCs w:val="17"/>
          <w:color w:val="auto"/>
        </w:rPr>
        <w:t>203591 and No. 333-225501) on Form S-8 and (No. 333-237139) on Form S-3 of Uniti Group Inc. of our reports dated March 5, 2021, with respect to the consolidated balance sheet of Uniti Group Inc. as of December 31, 2020, the related consolidated statements of income, comprehensive income (loss), shareholders’ deficit, and cash flows for the year ended December 31, 2020 and the related notes and financial statement schedules I to III, and the effectiveness of internal control over financial reporting as of December 31, 2020, which reports appear in the December 31, 2020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Uniti Group Inc..</w:t>
      </w:r>
    </w:p>
    <w:p>
      <w:pPr>
        <w:spacing w:after="0" w:line="17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Our report dated March 5, 2021 on the effectiveness of internal control over financial reporting as of December 31, 2020, expresses our opinion that Uniti Group Inc. did not maintain effective internal control over financial reporting as of December 31, 2020 because of the effect of a material weakness on the achievement of the objectives of the control criteria and contains an explanatory paragraph that states that the Company had ineffective controls over the annual goodwill impairment assessment, specifically, the control activities over the calculation of the carrying value to be used in the assessment of goodwill impairment did not operate effectively due to an insufficient complement of qualified personnel.</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ectPr>
          <w:pgSz w:w="11900" w:h="16838" w:orient="portrait"/>
          <w:cols w:equalWidth="0" w:num="1">
            <w:col w:w="11240"/>
          </w:cols>
          <w:pgMar w:left="320" w:top="35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20" w:lineRule="exact"/>
        <w:rPr>
          <w:sz w:val="20"/>
          <w:szCs w:val="20"/>
          <w:color w:val="auto"/>
        </w:rPr>
      </w:pPr>
      <w:r>
        <w:rPr>
          <w:rFonts w:ascii="Arial" w:cs="Arial" w:eastAsia="Arial" w:hAnsi="Arial"/>
          <w:sz w:val="18"/>
          <w:szCs w:val="18"/>
          <w:color w:val="auto"/>
        </w:rPr>
        <w:t>We hereby consent to the incorporation by reference in the Registration Statements on Form S-3 (No. 333-237139) and S</w:t>
      </w:r>
      <w:r>
        <w:rPr>
          <w:rFonts w:ascii="MS PGothic" w:cs="MS PGothic" w:eastAsia="MS PGothic" w:hAnsi="MS PGothic"/>
          <w:sz w:val="18"/>
          <w:szCs w:val="18"/>
          <w:color w:val="auto"/>
        </w:rPr>
        <w:t>‑</w:t>
      </w:r>
      <w:r>
        <w:rPr>
          <w:rFonts w:ascii="Arial" w:cs="Arial" w:eastAsia="Arial" w:hAnsi="Arial"/>
          <w:sz w:val="18"/>
          <w:szCs w:val="18"/>
          <w:color w:val="auto"/>
        </w:rPr>
        <w:t>8 (No. 333-203591 and No. 333-225501) of Uniti Group Inc. of our report dated March 12, 2020 relating to the financial statements and financial statement schedules,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Little Rock, Arkansas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ectPr>
          <w:pgSz w:w="11900" w:h="16838" w:orient="portrait"/>
          <w:cols w:equalWidth="0" w:num="1">
            <w:col w:w="11240"/>
          </w:cols>
          <w:pgMar w:left="320" w:top="12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Gunderman, certify that:</w:t>
      </w:r>
    </w:p>
    <w:p>
      <w:pPr>
        <w:spacing w:after="0" w:line="117"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Uniti Group Inc.;</w:t>
      </w:r>
    </w:p>
    <w:p>
      <w:pPr>
        <w:spacing w:after="0" w:line="346"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7" w:lineRule="exact"/>
        <w:rPr>
          <w:rFonts w:ascii="Arial" w:cs="Arial" w:eastAsia="Arial" w:hAnsi="Arial"/>
          <w:sz w:val="17"/>
          <w:szCs w:val="17"/>
          <w:color w:val="auto"/>
        </w:rPr>
      </w:pPr>
    </w:p>
    <w:p>
      <w:pPr>
        <w:jc w:val="both"/>
        <w:ind w:left="520" w:right="240" w:hanging="512"/>
        <w:spacing w:after="0" w:line="263"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05" w:lineRule="exact"/>
        <w:rPr>
          <w:rFonts w:ascii="Arial" w:cs="Arial" w:eastAsia="Arial" w:hAnsi="Arial"/>
          <w:sz w:val="18"/>
          <w:szCs w:val="18"/>
          <w:color w:val="auto"/>
        </w:rPr>
      </w:pPr>
    </w:p>
    <w:p>
      <w:pPr>
        <w:ind w:left="1020" w:right="20" w:hanging="499"/>
        <w:spacing w:after="0" w:line="263"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5" w:lineRule="exact"/>
        <w:rPr>
          <w:rFonts w:ascii="Arial" w:cs="Arial" w:eastAsia="Arial" w:hAnsi="Arial"/>
          <w:sz w:val="18"/>
          <w:szCs w:val="18"/>
          <w:color w:val="auto"/>
        </w:rPr>
      </w:pPr>
    </w:p>
    <w:p>
      <w:pPr>
        <w:ind w:left="1020" w:right="320" w:hanging="499"/>
        <w:spacing w:after="0" w:line="263"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500" w:hanging="499"/>
        <w:spacing w:after="0" w:line="342" w:lineRule="auto"/>
        <w:tabs>
          <w:tab w:leader="none" w:pos="10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5" w:lineRule="exact"/>
        <w:rPr>
          <w:rFonts w:ascii="Arial" w:cs="Arial" w:eastAsia="Arial" w:hAnsi="Arial"/>
          <w:sz w:val="16"/>
          <w:szCs w:val="16"/>
          <w:color w:val="auto"/>
        </w:rPr>
      </w:pPr>
    </w:p>
    <w:p>
      <w:pPr>
        <w:ind w:left="1020" w:hanging="499"/>
        <w:spacing w:after="0" w:line="263"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020" w:right="740" w:hanging="499"/>
        <w:spacing w:after="0" w:line="342" w:lineRule="auto"/>
        <w:tabs>
          <w:tab w:leader="none" w:pos="10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020" w:right="420" w:hanging="499"/>
        <w:spacing w:after="0" w:line="277" w:lineRule="auto"/>
        <w:tabs>
          <w:tab w:leader="none" w:pos="1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800" w:val="left"/>
          <w:tab w:leader="none" w:pos="7180" w:val="left"/>
        </w:tabs>
        <w:rPr>
          <w:sz w:val="20"/>
          <w:szCs w:val="20"/>
          <w:color w:val="auto"/>
        </w:rPr>
      </w:pPr>
      <w:r>
        <w:rPr>
          <w:rFonts w:ascii="Arial" w:cs="Arial" w:eastAsia="Arial" w:hAnsi="Arial"/>
          <w:sz w:val="18"/>
          <w:szCs w:val="18"/>
          <w:color w:val="auto"/>
        </w:rPr>
        <w:t>Date: March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7">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Kenneth A. Gunderman</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A. Wallace, certify that:</w:t>
      </w:r>
    </w:p>
    <w:p>
      <w:pPr>
        <w:spacing w:after="0" w:line="144"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Uniti Group Inc.;</w:t>
      </w:r>
    </w:p>
    <w:p>
      <w:pPr>
        <w:spacing w:after="0" w:line="346"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7" w:lineRule="exact"/>
        <w:rPr>
          <w:rFonts w:ascii="Arial" w:cs="Arial" w:eastAsia="Arial" w:hAnsi="Arial"/>
          <w:sz w:val="17"/>
          <w:szCs w:val="17"/>
          <w:color w:val="auto"/>
        </w:rPr>
      </w:pPr>
    </w:p>
    <w:p>
      <w:pPr>
        <w:jc w:val="both"/>
        <w:ind w:left="520" w:right="240" w:hanging="512"/>
        <w:spacing w:after="0" w:line="263"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05" w:lineRule="exact"/>
        <w:rPr>
          <w:rFonts w:ascii="Arial" w:cs="Arial" w:eastAsia="Arial" w:hAnsi="Arial"/>
          <w:sz w:val="18"/>
          <w:szCs w:val="18"/>
          <w:color w:val="auto"/>
        </w:rPr>
      </w:pPr>
    </w:p>
    <w:p>
      <w:pPr>
        <w:ind w:left="1020" w:right="20" w:hanging="499"/>
        <w:spacing w:after="0" w:line="263" w:lineRule="auto"/>
        <w:tabs>
          <w:tab w:leader="none" w:pos="10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5" w:lineRule="exact"/>
        <w:rPr>
          <w:rFonts w:ascii="Arial" w:cs="Arial" w:eastAsia="Arial" w:hAnsi="Arial"/>
          <w:sz w:val="18"/>
          <w:szCs w:val="18"/>
          <w:color w:val="auto"/>
        </w:rPr>
      </w:pPr>
    </w:p>
    <w:p>
      <w:pPr>
        <w:ind w:left="1020" w:right="320" w:hanging="499"/>
        <w:spacing w:after="0" w:line="263" w:lineRule="auto"/>
        <w:tabs>
          <w:tab w:leader="none" w:pos="10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500" w:hanging="499"/>
        <w:spacing w:after="0" w:line="342" w:lineRule="auto"/>
        <w:tabs>
          <w:tab w:leader="none" w:pos="10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5" w:lineRule="exact"/>
        <w:rPr>
          <w:rFonts w:ascii="Arial" w:cs="Arial" w:eastAsia="Arial" w:hAnsi="Arial"/>
          <w:sz w:val="16"/>
          <w:szCs w:val="16"/>
          <w:color w:val="auto"/>
        </w:rPr>
      </w:pPr>
    </w:p>
    <w:p>
      <w:pPr>
        <w:ind w:left="1020" w:hanging="499"/>
        <w:spacing w:after="0" w:line="263" w:lineRule="auto"/>
        <w:tabs>
          <w:tab w:leader="none" w:pos="10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499"/>
        <w:spacing w:after="0" w:line="342" w:lineRule="auto"/>
        <w:tabs>
          <w:tab w:leader="none" w:pos="10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499"/>
        <w:spacing w:after="0" w:line="277" w:lineRule="auto"/>
        <w:tabs>
          <w:tab w:leader="none" w:pos="10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spacing w:after="0"/>
        <w:tabs>
          <w:tab w:leader="none" w:pos="4800" w:val="left"/>
          <w:tab w:leader="none" w:pos="7420" w:val="left"/>
        </w:tabs>
        <w:rPr>
          <w:sz w:val="20"/>
          <w:szCs w:val="20"/>
          <w:color w:val="auto"/>
        </w:rPr>
      </w:pPr>
      <w:r>
        <w:rPr>
          <w:rFonts w:ascii="Arial" w:cs="Arial" w:eastAsia="Arial" w:hAnsi="Arial"/>
          <w:sz w:val="18"/>
          <w:szCs w:val="18"/>
          <w:color w:val="auto"/>
        </w:rPr>
        <w:t>Date: March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8">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Mark A. Wallace</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9"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240"/>
          </w:cols>
          <w:pgMar w:left="320" w:top="35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In connection with the Annual Report on Form 10-K of Uniti Group Inc. (the “Company”) for the period ending December 31, 2020 as filed with the Securities and Exchange Commission on the date hereof (the “Report”), I certify, pursuant to 18 U.S.C. § 1350, as adopted pursuant to § 906 of the Sarbanes-Oxley Act of 2002, to my knowledge, that:</w:t>
      </w:r>
    </w:p>
    <w:p>
      <w:pPr>
        <w:spacing w:after="0" w:line="76" w:lineRule="exact"/>
        <w:rPr>
          <w:sz w:val="20"/>
          <w:szCs w:val="20"/>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00" w:val="left"/>
          <w:tab w:leader="none" w:pos="7180" w:val="left"/>
        </w:tabs>
        <w:rPr>
          <w:sz w:val="20"/>
          <w:szCs w:val="20"/>
          <w:color w:val="auto"/>
        </w:rPr>
      </w:pPr>
      <w:r>
        <w:rPr>
          <w:rFonts w:ascii="Arial" w:cs="Arial" w:eastAsia="Arial" w:hAnsi="Arial"/>
          <w:sz w:val="18"/>
          <w:szCs w:val="18"/>
          <w:color w:val="auto"/>
        </w:rPr>
        <w:t>Date: March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9">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Kenneth A. Gunderman</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In connection with the Annual Report on Form 10-K of Uniti Group Inc. (the “Company”) for the period ending December 31, 2020 as filed with the Securities and Exchange Commission on the date hereof (the “Report”), I certify, pursuant to 18 U.S.C. § 1350, as adopted pursuant to § 906 of the Sarbanes-Oxley Act of 2002, to my knowledge, that:</w:t>
      </w:r>
    </w:p>
    <w:p>
      <w:pPr>
        <w:spacing w:after="0" w:line="76" w:lineRule="exact"/>
        <w:rPr>
          <w:sz w:val="20"/>
          <w:szCs w:val="20"/>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00" w:val="left"/>
          <w:tab w:leader="none" w:pos="7420" w:val="left"/>
        </w:tabs>
        <w:rPr>
          <w:sz w:val="20"/>
          <w:szCs w:val="20"/>
          <w:color w:val="auto"/>
        </w:rPr>
      </w:pPr>
      <w:r>
        <w:rPr>
          <w:rFonts w:ascii="Arial" w:cs="Arial" w:eastAsia="Arial" w:hAnsi="Arial"/>
          <w:sz w:val="18"/>
          <w:szCs w:val="18"/>
          <w:color w:val="auto"/>
        </w:rPr>
        <w:t>Date: March 5, 2021</w:t>
      </w:r>
      <w:r>
        <w:rPr>
          <w:sz w:val="20"/>
          <w:szCs w:val="20"/>
          <w:color w:val="auto"/>
        </w:rPr>
        <w:tab/>
      </w:r>
      <w:r>
        <w:rPr>
          <w:rFonts w:ascii="Arial" w:cs="Arial" w:eastAsia="Arial" w:hAnsi="Arial"/>
          <w:sz w:val="18"/>
          <w:szCs w:val="18"/>
          <w:color w:val="auto"/>
        </w:rPr>
        <w:t>By</w:t>
      </w: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auto"/>
        </w:rPr>
        <w:t>/s/ Mark A. Wallace</w:t>
      </w:r>
    </w:p>
    <w:p>
      <w:pPr>
        <w:spacing w:after="0" w:line="32"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39090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0">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and Treasurer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lowerLetter"/>
      <w:start w:val="1"/>
    </w:lvl>
    <w:lvl w:ilvl="1">
      <w:lvlJc w:val="left"/>
      <w:lvlText w:val="(%2)"/>
      <w:numFmt w:val="lowerLetter"/>
      <w:start w:val="2"/>
    </w:lvl>
  </w:abstractNum>
  <w:abstractNum w:abstractNumId="12">
    <w:nsid w:val="2901D82"/>
    <w:multiLevelType w:val="hybridMultilevel"/>
    <w:lvl w:ilvl="0">
      <w:lvlJc w:val="left"/>
      <w:lvlText w:val="(%1)"/>
      <w:numFmt w:val="lowerRoman"/>
      <w:start w:val="3"/>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upperLetter"/>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decimal"/>
      <w:start w:val="842"/>
    </w:lvl>
  </w:abstractNum>
  <w:abstractNum w:abstractNumId="21">
    <w:nsid w:val="3006C83E"/>
    <w:multiLevelType w:val="hybridMultilevel"/>
    <w:lvl w:ilvl="0">
      <w:lvlJc w:val="left"/>
      <w:lvlText w:val="%1."/>
      <w:numFmt w:val="lowerRoman"/>
      <w:start w:val="1"/>
    </w:lvl>
  </w:abstractNum>
  <w:abstractNum w:abstractNumId="22">
    <w:nsid w:val="614FD4A1"/>
    <w:multiLevelType w:val="hybridMultilevel"/>
    <w:lvl w:ilvl="0">
      <w:lvlJc w:val="left"/>
      <w:lvlText w:val="%1."/>
      <w:numFmt w:val="lowerRoman"/>
      <w:start w:val="1"/>
    </w:lvl>
  </w:abstractNum>
  <w:abstractNum w:abstractNumId="23">
    <w:nsid w:val="419AC241"/>
    <w:multiLevelType w:val="hybridMultilevel"/>
    <w:lvl w:ilvl="0">
      <w:lvlJc w:val="left"/>
      <w:lvlText w:val="%1."/>
      <w:numFmt w:val="lowerRoman"/>
      <w:start w:val="5"/>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upperLetter"/>
      <w:start w:val="2"/>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
    </w:lvl>
    <w:lvl w:ilvl="1">
      <w:lvlJc w:val="left"/>
      <w:lvlText w:val="(%2)"/>
      <w:numFmt w:val="decimal"/>
      <w:start w:val="1"/>
    </w:lvl>
  </w:abstractNum>
  <w:abstractNum w:abstractNumId="33">
    <w:nsid w:val="51EAD36B"/>
    <w:multiLevelType w:val="hybridMultilevel"/>
    <w:lvl w:ilvl="0">
      <w:lvlJc w:val="left"/>
      <w:lvlText w:val="(%1)"/>
      <w:numFmt w:val="decimal"/>
      <w:start w:val="2"/>
    </w:lvl>
    <w:lvl w:ilvl="1">
      <w:lvlJc w:val="left"/>
      <w:lvlText w:val="%2"/>
      <w:numFmt w:val="decimal"/>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4"/>
    </w:lvl>
  </w:abstractNum>
  <w:abstractNum w:abstractNumId="40">
    <w:nsid w:val="2A487CB0"/>
    <w:multiLevelType w:val="hybridMultilevel"/>
    <w:lvl w:ilvl="0">
      <w:lvlJc w:val="left"/>
      <w:lvlText w:val="(%1)"/>
      <w:numFmt w:val="decimal"/>
      <w:start w:val="5"/>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98" Type="http://schemas.openxmlformats.org/officeDocument/2006/relationships/image" Target="media/image162.png"/><Relationship Id="rId207" Type="http://schemas.openxmlformats.org/officeDocument/2006/relationships/image" Target="media/image163.png"/><Relationship Id="rId217" Type="http://schemas.openxmlformats.org/officeDocument/2006/relationships/image" Target="media/image164.png"/><Relationship Id="rId232" Type="http://schemas.openxmlformats.org/officeDocument/2006/relationships/image" Target="media/image165.png"/><Relationship Id="rId233" Type="http://schemas.openxmlformats.org/officeDocument/2006/relationships/image" Target="media/image166.png"/><Relationship Id="rId235" Type="http://schemas.openxmlformats.org/officeDocument/2006/relationships/image" Target="media/image167.png"/><Relationship Id="rId236" Type="http://schemas.openxmlformats.org/officeDocument/2006/relationships/image" Target="media/image168.png"/><Relationship Id="rId237" Type="http://schemas.openxmlformats.org/officeDocument/2006/relationships/image" Target="media/image169.png"/><Relationship Id="rId238" Type="http://schemas.openxmlformats.org/officeDocument/2006/relationships/image" Target="media/image170.png"/><Relationship Id="rId239" Type="http://schemas.openxmlformats.org/officeDocument/2006/relationships/image" Target="media/image171.png"/><Relationship Id="rId240" Type="http://schemas.openxmlformats.org/officeDocument/2006/relationships/image" Target="media/image172.png"/><Relationship Id="rId241" Type="http://schemas.openxmlformats.org/officeDocument/2006/relationships/image" Target="media/image173.png"/><Relationship Id="rId242" Type="http://schemas.openxmlformats.org/officeDocument/2006/relationships/image" Target="media/image174.png"/><Relationship Id="rId243" Type="http://schemas.openxmlformats.org/officeDocument/2006/relationships/image" Target="media/image175.png"/><Relationship Id="rId244" Type="http://schemas.openxmlformats.org/officeDocument/2006/relationships/image" Target="media/image176.png"/><Relationship Id="rId245" Type="http://schemas.openxmlformats.org/officeDocument/2006/relationships/image" Target="media/image177.png"/><Relationship Id="rId246" Type="http://schemas.openxmlformats.org/officeDocument/2006/relationships/image" Target="media/image178.png"/><Relationship Id="rId247" Type="http://schemas.openxmlformats.org/officeDocument/2006/relationships/image" Target="media/image179.png"/><Relationship Id="rId248" Type="http://schemas.openxmlformats.org/officeDocument/2006/relationships/image" Target="media/image180.png"/><Relationship Id="rId249" Type="http://schemas.openxmlformats.org/officeDocument/2006/relationships/image" Target="media/image181.png"/><Relationship Id="rId250" Type="http://schemas.openxmlformats.org/officeDocument/2006/relationships/image" Target="media/image182.png"/><Relationship Id="rId99" Type="http://schemas.openxmlformats.org/officeDocument/2006/relationships/hyperlink" Target="http://www.sec.gov/Archives/edgar/data/1620280/000156459019041870/unit-10q_20190930.htm#FN_10_NotesandOtherDebt" TargetMode="External"/><Relationship Id="rId118" Type="http://schemas.openxmlformats.org/officeDocument/2006/relationships/hyperlink" Target="http://www.sec.gov/Archives/edgar/data/1620280/000156459020052508/unit-10q_20200930.htm#FN_Commitment_Contingencies" TargetMode="External"/><Relationship Id="rId121" Type="http://schemas.openxmlformats.org/officeDocument/2006/relationships/hyperlink" Target="http://www.sec.gov/Archives/edgar/data/1620280/000156459019041870/unit-10q_20190930.htm#FN_Segments" TargetMode="External"/><Relationship Id="rId154" Type="http://schemas.openxmlformats.org/officeDocument/2006/relationships/hyperlink" Target="http://www.sec.gov/Archives/edgar/data/1620280/000156459020052508/unit-10q_20200930.htm#FN_Asset_Dispositions" TargetMode="External"/><Relationship Id="rId169" Type="http://schemas.openxmlformats.org/officeDocument/2006/relationships/hyperlink" Target="http://www.sec.gov/Archives/edgar/data/0001620280/000119312515106562/d895819dex21.htm" TargetMode="External"/><Relationship Id="rId170" Type="http://schemas.openxmlformats.org/officeDocument/2006/relationships/hyperlink" Target="http://www.sec.gov/Archives/edgar/data/0001620280/000095010316010194/dp62520_ex0201.htm" TargetMode="External"/><Relationship Id="rId171" Type="http://schemas.openxmlformats.org/officeDocument/2006/relationships/hyperlink" Target="http://www.sec.gov/Archives/edgar/data/0001620280/000156459016024084/csal-ex21_814.htm" TargetMode="External"/><Relationship Id="rId172" Type="http://schemas.openxmlformats.org/officeDocument/2006/relationships/hyperlink" Target="http://www.sec.gov/Archives/edgar/data/0001620280/000156459016024084/csal-ex22_879.htm" TargetMode="External"/><Relationship Id="rId173" Type="http://schemas.openxmlformats.org/officeDocument/2006/relationships/hyperlink" Target="http://www.sec.gov/Archives/edgar/data/0001620280/000095010317003463/dp75010_ex0201.htm" TargetMode="External"/><Relationship Id="rId174" Type="http://schemas.openxmlformats.org/officeDocument/2006/relationships/hyperlink" Target="http://www.sec.gov/Archives/edgar/data/0001620280/000110465917043238/a17-15991_1ex2d1.htm" TargetMode="External"/><Relationship Id="rId177" Type="http://schemas.openxmlformats.org/officeDocument/2006/relationships/hyperlink" Target="http://www.sec.gov/Archives/edgar/data/0001620280/000119312515125997/d906732dex31.htm" TargetMode="External"/><Relationship Id="rId178" Type="http://schemas.openxmlformats.org/officeDocument/2006/relationships/hyperlink" Target="http://www.sec.gov/Archives/edgar/data/0001620280/000156459017002778/csal-ex31_7.htm" TargetMode="External"/><Relationship Id="rId179" Type="http://schemas.openxmlformats.org/officeDocument/2006/relationships/hyperlink" Target="http://www.sec.gov/Archives/edgar/data/1620280/000156459018013946/unit-ex31_80.htm" TargetMode="External"/><Relationship Id="rId180" Type="http://schemas.openxmlformats.org/officeDocument/2006/relationships/hyperlink" Target="http://www.sec.gov/Archives/edgar/data/0001620280/000110465917028526/a17-12174_1ex3d1.htm" TargetMode="External"/><Relationship Id="rId181" Type="http://schemas.openxmlformats.org/officeDocument/2006/relationships/hyperlink" Target="http://www.sec.gov/Archives/edgar/data/0001620280/000119312515147341/d910956dex42.htm" TargetMode="External"/><Relationship Id="rId182" Type="http://schemas.openxmlformats.org/officeDocument/2006/relationships/hyperlink" Target="http://www.sec.gov/Archives/edgar/data/0001620280/000156459017002252/csal-ex43_1051.htm" TargetMode="External"/><Relationship Id="rId183" Type="http://schemas.openxmlformats.org/officeDocument/2006/relationships/hyperlink" Target="http://www.sec.gov/Archives/edgar/data/0001620280/000110465917031184/a17-12744_1ex4d1.htm" TargetMode="External"/><Relationship Id="rId184" Type="http://schemas.openxmlformats.org/officeDocument/2006/relationships/hyperlink" Target="http://www.sec.gov/Archives/edgar/data/0001620280/000110465917031184/a17-12744_1ex4d2.htm" TargetMode="External"/><Relationship Id="rId185" Type="http://schemas.openxmlformats.org/officeDocument/2006/relationships/hyperlink" Target="http://www.sec.gov/Archives/edgar/data/0001620280/000095010321001633/dp145509_ex0403.htm" TargetMode="External"/><Relationship Id="rId186" Type="http://schemas.openxmlformats.org/officeDocument/2006/relationships/hyperlink" Target="http://www.sec.gov/Archives/edgar/data/0001620280/000119312515147341/d910956dex41.htm" TargetMode="External"/><Relationship Id="rId189" Type="http://schemas.openxmlformats.org/officeDocument/2006/relationships/hyperlink" Target="http://www.sec.gov/Archives/edgar/data/0001620280/000156459017002252/csal-ex46_1053.htm" TargetMode="External"/><Relationship Id="rId190" Type="http://schemas.openxmlformats.org/officeDocument/2006/relationships/hyperlink" Target="http://www.sec.gov/Archives/edgar/data/0001620280/000156459017002252/csal-ex47_1052.htm" TargetMode="External"/><Relationship Id="rId191" Type="http://schemas.openxmlformats.org/officeDocument/2006/relationships/hyperlink" Target="http://www.sec.gov/Archives/edgar/data/0001620280/000110465917031184/a17-12744_1ex4d3.htm" TargetMode="External"/><Relationship Id="rId192" Type="http://schemas.openxmlformats.org/officeDocument/2006/relationships/hyperlink" Target="http://www.sec.gov/Archives/edgar/data/0001620280/000110465917031184/a17-12744_1ex4d4.htm" TargetMode="External"/><Relationship Id="rId193" Type="http://schemas.openxmlformats.org/officeDocument/2006/relationships/hyperlink" Target="http://www.sec.gov/Archives/edgar/data/0001620280/000110465916162314/a16-20068_3ex4d1.htm" TargetMode="External"/><Relationship Id="rId194" Type="http://schemas.openxmlformats.org/officeDocument/2006/relationships/hyperlink" Target="http://www.sec.gov/Archives/edgar/data/0001620280/000156459017002252/csal-ex411_1436.htm" TargetMode="External"/><Relationship Id="rId195" Type="http://schemas.openxmlformats.org/officeDocument/2006/relationships/hyperlink" Target="http://www.sec.gov/Archives/edgar/data/0001620280/000110465917031184/a17-12744_1ex4d5.htm" TargetMode="External"/><Relationship Id="rId196" Type="http://schemas.openxmlformats.org/officeDocument/2006/relationships/hyperlink" Target="http://www.sec.gov/Archives/edgar/data/0001620280/000110465917031184/a17-12744_1ex4d6.htm" TargetMode="External"/><Relationship Id="rId197" Type="http://schemas.openxmlformats.org/officeDocument/2006/relationships/hyperlink" Target="http://www.sec.gov/Archives/edgar/data/0001620280/000156459017021297/unit-ex41_429.htm" TargetMode="External"/><Relationship Id="rId199" Type="http://schemas.openxmlformats.org/officeDocument/2006/relationships/hyperlink" Target="http://www.sec.gov/Archives/edgar/data/1620280/000095010319008752/dp109169_ex0401.htm" TargetMode="External"/><Relationship Id="rId200" Type="http://schemas.openxmlformats.org/officeDocument/2006/relationships/hyperlink" Target="http://www.sec.gov/Archives/edgar/data/0001620280/000156459020010520/unit-ex422_176.htm" TargetMode="External"/><Relationship Id="rId201" Type="http://schemas.openxmlformats.org/officeDocument/2006/relationships/hyperlink" Target="http://www.sec.gov/Archives/edgar/data/1620280/000095010320002586/dp121198_ex0401.htm" TargetMode="External"/><Relationship Id="rId202" Type="http://schemas.openxmlformats.org/officeDocument/2006/relationships/hyperlink" Target="http://www.sec.gov/Archives/edgar/data/0001620280/000095010321001633/dp145509_ex0401.htm" TargetMode="External"/><Relationship Id="rId203" Type="http://schemas.openxmlformats.org/officeDocument/2006/relationships/hyperlink" Target="http://www.sec.gov/Archives/edgar/data/0001620280/000156459020025840/unit-ex101_6.htm" TargetMode="External"/><Relationship Id="rId204" Type="http://schemas.openxmlformats.org/officeDocument/2006/relationships/hyperlink" Target="http://www.sec.gov/Archives/edgar/data/0001620280/000156459020052508/unit-ex101_509.htm" TargetMode="External"/><Relationship Id="rId205" Type="http://schemas.openxmlformats.org/officeDocument/2006/relationships/hyperlink" Target="http://www.sec.gov/Archives/edgar/data/0001620280/000119312515147341/d910956dex102.htm" TargetMode="External"/><Relationship Id="rId206" Type="http://schemas.openxmlformats.org/officeDocument/2006/relationships/hyperlink" Target="http://www.sec.gov/Archives/edgar/data/0001620280/000119312515147341/d910956dex1010.htm" TargetMode="External"/><Relationship Id="rId208" Type="http://schemas.openxmlformats.org/officeDocument/2006/relationships/hyperlink" Target="http://www.sec.gov/Archives/edgar/data/0001620280/000110465916151374/a16-20228_1ex10d1.htm" TargetMode="External"/><Relationship Id="rId209" Type="http://schemas.openxmlformats.org/officeDocument/2006/relationships/hyperlink" Target="http://www.sec.gov/Archives/edgar/data/0001620280/000110465917007816/a17-3824_1ex10d1.htm" TargetMode="External"/><Relationship Id="rId210" Type="http://schemas.openxmlformats.org/officeDocument/2006/relationships/hyperlink" Target="http://www.sec.gov/Archives/edgar/data/1620280/000110465917028526/a17-12174_1ex10d1.htm" TargetMode="External"/><Relationship Id="rId211" Type="http://schemas.openxmlformats.org/officeDocument/2006/relationships/hyperlink" Target="http://www.sec.gov/Archives/edgar/data/1620280/000156459019008290/unit-ex1011_1391.htm" TargetMode="External"/><Relationship Id="rId212" Type="http://schemas.openxmlformats.org/officeDocument/2006/relationships/hyperlink" Target="http://www.sec.gov/Archives/edgar/data/1620280/000095010319008295/dp108693_ex1001.htm" TargetMode="External"/><Relationship Id="rId213" Type="http://schemas.openxmlformats.org/officeDocument/2006/relationships/hyperlink" Target="http://www.sec.gov/Archives/edgar/data/1620280/000095010320002586/dp121198_ex1001.htm" TargetMode="External"/><Relationship Id="rId214" Type="http://schemas.openxmlformats.org/officeDocument/2006/relationships/hyperlink" Target="http://www.sec.gov/Archives/edgar/data/0001620280/000095010320024079/dp142761_ex1001.htm" TargetMode="External"/><Relationship Id="rId215" Type="http://schemas.openxmlformats.org/officeDocument/2006/relationships/hyperlink" Target="http://www.sec.gov/Archives/edgar/data/1620280/000156459019030905/unit-ex104_242.htm" TargetMode="External"/><Relationship Id="rId216" Type="http://schemas.openxmlformats.org/officeDocument/2006/relationships/hyperlink" Target="http://www.sec.gov/Archives/edgar/data/0001620280/000110465917031184/a17-12744_1ex10d1.htm" TargetMode="External"/><Relationship Id="rId218" Type="http://schemas.openxmlformats.org/officeDocument/2006/relationships/hyperlink" Target="http://www.sec.gov/Archives/edgar/data/0001620280/000119312515147341/d910956dex1011.htm" TargetMode="External"/><Relationship Id="rId219" Type="http://schemas.openxmlformats.org/officeDocument/2006/relationships/hyperlink" Target="http://www.sec.gov/Archives/edgar/data/1620280/000110465918073139/a18-41685_1ex10d1.htm" TargetMode="External"/><Relationship Id="rId220" Type="http://schemas.openxmlformats.org/officeDocument/2006/relationships/hyperlink" Target="http://www.sec.gov/Archives/edgar/data/1620280/000156459018023137/unit-ex101_7.htm" TargetMode="External"/><Relationship Id="rId221" Type="http://schemas.openxmlformats.org/officeDocument/2006/relationships/hyperlink" Target="http://www.sec.gov/Archives/edgar/data/1620280/000156459018023137/unit-ex102_6.htm" TargetMode="External"/><Relationship Id="rId222" Type="http://schemas.openxmlformats.org/officeDocument/2006/relationships/hyperlink" Target="http://www.sec.gov/Archives/edgar/data/1620280/000156459018007159/unit-ex101_6.htm" TargetMode="External"/><Relationship Id="rId223" Type="http://schemas.openxmlformats.org/officeDocument/2006/relationships/hyperlink" Target="http://www.sec.gov/Archives/edgar/data/1620280/000119312515211690/d935720dex103.htm" TargetMode="External"/><Relationship Id="rId224" Type="http://schemas.openxmlformats.org/officeDocument/2006/relationships/hyperlink" Target="http://www.sec.gov/Archives/edgar/data/1620280/000156459019008290/unit-ex1019_1245.htm" TargetMode="External"/><Relationship Id="rId225" Type="http://schemas.openxmlformats.org/officeDocument/2006/relationships/hyperlink" Target="http://www.sec.gov/Archives/edgar/data/0001620280/000119312515211690/d935720dex104.htm" TargetMode="External"/><Relationship Id="rId226" Type="http://schemas.openxmlformats.org/officeDocument/2006/relationships/hyperlink" Target="http://www.sec.gov/Archives/edgar/data/1620280/000156459019008290/unit-ex1021_1244.htm" TargetMode="External"/><Relationship Id="rId227" Type="http://schemas.openxmlformats.org/officeDocument/2006/relationships/hyperlink" Target="http://www.sec.gov/Archives/edgar/data/0001620280/000119312515211690/d935720dex105.htm" TargetMode="External"/><Relationship Id="rId228" Type="http://schemas.openxmlformats.org/officeDocument/2006/relationships/hyperlink" Target="http://www.sec.gov/Archives/edgar/data/1620280/000104746915005944/a2225264zex-10_20.htm" TargetMode="External"/><Relationship Id="rId229" Type="http://schemas.openxmlformats.org/officeDocument/2006/relationships/hyperlink" Target="http://www.sec.gov/Archives/edgar/data/1620280/000156459015007263/csal-ex1020_690.htm" TargetMode="External"/><Relationship Id="rId230" Type="http://schemas.openxmlformats.org/officeDocument/2006/relationships/hyperlink" Target="http://www.sec.gov/Archives/edgar/data/0001620280/000110465918038926/a18-14910_1ex99d1.htm" TargetMode="External"/><Relationship Id="rId231" Type="http://schemas.openxmlformats.org/officeDocument/2006/relationships/hyperlink" Target="http://www.sec.gov/Archives/edgar/data/1620280/000156459019018123/unit-ex102_198.htm" TargetMode="External"/><Relationship Id="rId234" Type="http://schemas.openxmlformats.org/officeDocument/2006/relationships/hyperlink" Target="http://www.sec.gov/Archives/edgar/data/1620280/000095010320003921/dp122645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2021-03-05T16:12:46Z</dcterms:created>
  <dcterms:modified xsi:type="dcterms:W3CDTF">2021-03-05T16:12:46Z</dcterms:modified>
</cp:coreProperties>
</file>