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2143_8k.htm"/>
      <w:bookmarkStart w:id="1" w:name="ksdp252143_8k"/>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82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Date of Report (Date of earliest event reported): August 21, 2026 (</w:t>
      </w:r>
      <w:bookmarkStart w:id="3" w:name="xdx_904_edei--DocumentPeriodEndDate_c202"/>
      <w:bookmarkEnd w:id="3"/>
      <w:r>
        <w:rPr>
          <w:rFonts w:ascii="Times New Roman;Times;Serif" w:hAnsi="Times New Roman;Times;Serif"/>
          <w:b/>
          <w:i w:val="false"/>
          <w:caps w:val="false"/>
          <w:smallCaps w:val="false"/>
          <w:sz w:val="24"/>
        </w:rPr>
        <w:t>August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bookmarkStart w:id="4" w:name="xdx_907_edei--EntityRegistrantName_c2026"/>
      <w:bookmarkEnd w:id="4"/>
      <w:r>
        <w:rPr>
          <w:rFonts w:ascii="Times New Roman;Times;Serif" w:hAnsi="Times New Roman;Times;Serif"/>
          <w:b/>
          <w:i w:val="false"/>
          <w:caps w:val="false"/>
          <w:smallCaps w:val="false"/>
          <w:sz w:val="40"/>
        </w:rPr>
        <w:t>Uniti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2270"/>
        <w:gridCol w:w="1280"/>
        <w:gridCol w:w="1655"/>
      </w:tblGrid>
      <w:tr>
        <w:trPr/>
        <w:tc>
          <w:tcPr>
            <w:tcW w:w="2270" w:type="dxa"/>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1280" w:type="dxa"/>
            <w:tcBorders/>
            <w:vAlign w:val="center"/>
          </w:tcPr>
          <w:p>
            <w:pPr>
              <w:pStyle w:val="TableContents"/>
              <w:bidi w:val="0"/>
              <w:spacing w:before="0" w:after="283"/>
              <w:jc w:val="center"/>
              <w:rPr>
                <w:b/>
                <w:sz w:val="20"/>
              </w:rPr>
            </w:pPr>
            <w:bookmarkStart w:id="6" w:name="xdx_90E_edei--EntityFileNumber_c20260820"/>
            <w:bookmarkEnd w:id="6"/>
            <w:r>
              <w:rPr>
                <w:b/>
                <w:sz w:val="20"/>
              </w:rPr>
              <w:t>001-42779</w:t>
            </w:r>
          </w:p>
        </w:tc>
        <w:tc>
          <w:tcPr>
            <w:tcW w:w="1655" w:type="dxa"/>
            <w:tcBorders/>
            <w:vAlign w:val="center"/>
          </w:tcPr>
          <w:p>
            <w:pPr>
              <w:pStyle w:val="TableContents"/>
              <w:bidi w:val="0"/>
              <w:spacing w:before="0" w:after="283"/>
              <w:jc w:val="center"/>
              <w:rPr>
                <w:b/>
                <w:sz w:val="20"/>
              </w:rPr>
            </w:pPr>
            <w:bookmarkStart w:id="7" w:name="xdx_901_edei--EntityTaxIdentificationNum"/>
            <w:bookmarkEnd w:id="7"/>
            <w:r>
              <w:rPr>
                <w:b/>
                <w:sz w:val="20"/>
              </w:rPr>
              <w:t>85-2262564</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 incorporation)</w:t>
            </w:r>
            <w:r>
              <w:rPr>
                <w:rFonts w:ascii="Times New Roman;Times;Serif" w:hAnsi="Times New Roman;Times;Serif"/>
                <w:b w:val="false"/>
                <w:i w:val="false"/>
                <w:caps w:val="false"/>
                <w:smallCaps w:val="false"/>
                <w:sz w:val="20"/>
              </w:rPr>
              <w:t> </w:t>
            </w:r>
          </w:p>
        </w:tc>
        <w:tc>
          <w:tcPr>
            <w:tcW w:w="12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 Number)  </w:t>
            </w:r>
            <w:r>
              <w:rPr>
                <w:rFonts w:ascii="Times New Roman;Times;Serif" w:hAnsi="Times New Roman;Times;Serif"/>
                <w:b w:val="false"/>
                <w:i w:val="false"/>
                <w:caps w:val="false"/>
                <w:smallCaps w:val="false"/>
                <w:sz w:val="20"/>
              </w:rPr>
              <w:t> </w:t>
            </w:r>
          </w:p>
        </w:tc>
        <w:tc>
          <w:tcPr>
            <w:tcW w:w="165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(IRS Employer</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center"/>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3935"/>
        <w:gridCol w:w="1145"/>
      </w:tblGrid>
      <w:tr>
        <w:trPr/>
        <w:tc>
          <w:tcPr>
            <w:tcW w:w="39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2101 Riverfront Drive, </w:t>
            </w:r>
            <w:bookmarkStart w:id="9" w:name="xdx_90E_edei--EntityAddressAddressLine2_"/>
            <w:bookmarkEnd w:id="9"/>
            <w:r>
              <w:rPr>
                <w:rFonts w:ascii="Times New Roman;Times;Serif" w:hAnsi="Times New Roman;Times;Serif"/>
                <w:b/>
                <w:i w:val="false"/>
                <w:caps w:val="false"/>
                <w:smallCaps w:val="false"/>
                <w:sz w:val="20"/>
              </w:rPr>
              <w:t>Suite A</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Little Rock, </w:t>
            </w:r>
            <w:bookmarkStart w:id="11" w:name="xdx_90C_edei--EntityAddressStateOrProvin"/>
            <w:bookmarkEnd w:id="11"/>
            <w:r>
              <w:rPr>
                <w:rFonts w:ascii="Times New Roman;Times;Serif" w:hAnsi="Times New Roman;Times;Serif"/>
                <w:b/>
                <w:i w:val="false"/>
                <w:caps w:val="false"/>
                <w:smallCaps w:val="false"/>
                <w:sz w:val="20"/>
              </w:rPr>
              <w:t>Arkansas</w:t>
            </w:r>
          </w:p>
        </w:tc>
        <w:tc>
          <w:tcPr>
            <w:tcW w:w="1145" w:type="dxa"/>
            <w:tcBorders/>
            <w:vAlign w:val="center"/>
          </w:tcPr>
          <w:p>
            <w:pPr>
              <w:pStyle w:val="TableContents"/>
              <w:bidi w:val="0"/>
              <w:spacing w:before="0" w:after="283"/>
              <w:jc w:val="center"/>
              <w:rPr>
                <w:b/>
              </w:rPr>
            </w:pPr>
            <w:bookmarkStart w:id="12" w:name="xdx_902_edei--EntityAddressPostalZipCode"/>
            <w:bookmarkEnd w:id="12"/>
            <w:r>
              <w:rPr>
                <w:b/>
              </w:rPr>
              <w:t>72202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1_edei--CityAreaCode_c20260820__20"/>
      <w:bookmarkEnd w:id="13"/>
      <w:r>
        <w:rPr>
          <w:rFonts w:ascii="Times New Roman;Times;Serif" w:hAnsi="Times New Roman;Times;Serif"/>
          <w:b/>
          <w:i w:val="false"/>
          <w:caps w:val="false"/>
          <w:smallCaps w:val="false"/>
          <w:sz w:val="20"/>
        </w:rPr>
        <w:t xml:space="preserve">501) </w:t>
      </w:r>
      <w:bookmarkStart w:id="14" w:name="xdx_903_edei--LocalPhoneNumber_c20260820"/>
      <w:bookmarkEnd w:id="14"/>
      <w:r>
        <w:rPr>
          <w:rFonts w:ascii="Times New Roman;Times;Serif" w:hAnsi="Times New Roman;Times;Serif"/>
          <w:b/>
          <w:i w:val="false"/>
          <w:caps w:val="false"/>
          <w:smallCaps w:val="false"/>
          <w:sz w:val="20"/>
        </w:rPr>
        <w:t>850-0820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B_edei--SolicitingMaterial_c202608"/>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0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10" w:type="dxa"/>
        <w:tblLayout w:type="fixed"/>
        <w:tblCellMar>
          <w:top w:w="28" w:type="dxa"/>
          <w:left w:w="28" w:type="dxa"/>
          <w:bottom w:w="28" w:type="dxa"/>
          <w:right w:w="28" w:type="dxa"/>
        </w:tblCellMar>
      </w:tblPr>
      <w:tblGrid>
        <w:gridCol w:w="1730"/>
        <w:gridCol w:w="1805"/>
        <w:gridCol w:w="4235"/>
      </w:tblGrid>
      <w:tr>
        <w:trPr/>
        <w:tc>
          <w:tcPr>
            <w:tcW w:w="17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Trading Symbol(s)</w:t>
            </w:r>
          </w:p>
        </w:tc>
        <w:tc>
          <w:tcPr>
            <w:tcW w:w="4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Name of each exchange on which registered</w:t>
            </w:r>
          </w:p>
        </w:tc>
      </w:tr>
      <w:tr>
        <w:trPr/>
        <w:tc>
          <w:tcPr>
            <w:tcW w:w="1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bookmarkStart w:id="19" w:name="xdx_90B_edei--Security12bTitle_c20260820"/>
            <w:bookmarkEnd w:id="19"/>
            <w:r>
              <w:rPr/>
              <w:t>Common Stock</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0" w:name="xdx_900_edei--TradingSymbol_c20260820__2"/>
            <w:bookmarkEnd w:id="20"/>
            <w:r>
              <w:rPr/>
              <w:t>UNIT</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3_edei--SecurityExchangeName_c2026"/>
            <w:bookmarkEnd w:id="21"/>
            <w:r>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5"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previously announced asset sale offers (the “Asset Sale Offers”) by Uniti Services LLC (“Uniti Services”), Uniti Group Finance 2019 Inc. (“UGF”) and CSL Capital, LLC (“CSL Capital,” and together with Uniti Services and UGF, the “Issuers”), each a wholly owned subsidiary of Uniti Group Inc. (the “Company,” “we,” “us,” or “our”), relating to the 4.750% Senior Secured Notes due 2028 issued by Uniti Services, UGF and CSL Capital (the “2028 Notes”) and the 7.500% Senior Secured Notes due 2033 issued by Uniti Services (the “2033 Notes,” and together with the 2028 Notes, the “Notes”), $554,108,000 aggregate principal amount of the 2028 Notes and $1,368,000 aggregate principal amount of the 2033 Notes were validly tendered and not validly withdrawn prior to the expiration date of the Asset Sale Offers, which was 5:00 p.m., New York City time, on 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Notes validly tendered and not validly withdrawn exceeded the maximum offer amount of $480,236,000, and the tendered Notes were subject to proration. On August 21, 2026, the Issuers accepted for purchase $479,054,000 aggregate principal amount of the 2028 Notes and $1,182,000 aggregate principal amount of the 2033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settle the Asset Sale Offers on Monday,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425"/>
        <w:gridCol w:w="5705"/>
      </w:tblGrid>
      <w:tr>
        <w:trPr/>
        <w:tc>
          <w:tcPr>
            <w:tcW w:w="75"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left"/>
              <w:rPr>
                <w:b/>
              </w:rPr>
            </w:pPr>
            <w:r>
              <w:rPr>
                <w:b/>
              </w:rPr>
              <w:t xml:space="preserve">UNITI GROUP INC. </w:t>
            </w:r>
          </w:p>
        </w:tc>
      </w:tr>
      <w:tr>
        <w:trPr/>
        <w:tc>
          <w:tcPr>
            <w:tcW w:w="75"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570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L. Heard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Name: Daniel L. Heard</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Title: Senior Executive 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578</Words>
  <Characters>3118</Characters>
  <CharactersWithSpaces>3700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