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-207645</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78740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2017</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80" w:lineRule="exact"/>
        <w:rPr>
          <w:sz w:val="24"/>
          <w:szCs w:val="24"/>
          <w:color w:val="auto"/>
        </w:rPr>
      </w:pPr>
    </w:p>
    <w:p>
      <w:pPr>
        <w:ind w:left="520" w:hanging="517"/>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For the transition period from _______ to _______</w:t>
            </w:r>
          </w:p>
        </w:tc>
        <w:tc>
          <w:tcPr>
            <w:tcW w:w="1240" w:type="dxa"/>
            <w:vAlign w:val="bottom"/>
          </w:tcPr>
          <w:p>
            <w:pPr>
              <w:spacing w:after="0"/>
              <w:rPr>
                <w:sz w:val="19"/>
                <w:szCs w:val="19"/>
                <w:color w:val="auto"/>
              </w:rPr>
            </w:pPr>
          </w:p>
        </w:tc>
      </w:tr>
      <w:tr>
        <w:trPr>
          <w:trHeight w:val="271"/>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Commission File Number: 001-36708</w:t>
            </w:r>
          </w:p>
        </w:tc>
        <w:tc>
          <w:tcPr>
            <w:tcW w:w="1240" w:type="dxa"/>
            <w:vAlign w:val="bottom"/>
          </w:tcPr>
          <w:p>
            <w:pPr>
              <w:spacing w:after="0"/>
              <w:rPr>
                <w:sz w:val="23"/>
                <w:szCs w:val="23"/>
                <w:color w:val="auto"/>
              </w:rPr>
            </w:pPr>
          </w:p>
        </w:tc>
      </w:tr>
      <w:tr>
        <w:trPr>
          <w:trHeight w:val="90"/>
        </w:trPr>
        <w:tc>
          <w:tcPr>
            <w:tcW w:w="286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737"/>
        </w:trPr>
        <w:tc>
          <w:tcPr>
            <w:tcW w:w="6140" w:type="dxa"/>
            <w:vAlign w:val="bottom"/>
            <w:gridSpan w:val="3"/>
          </w:tcPr>
          <w:p>
            <w:pPr>
              <w:jc w:val="center"/>
              <w:ind w:left="1750"/>
              <w:spacing w:after="0"/>
              <w:rPr>
                <w:sz w:val="20"/>
                <w:szCs w:val="20"/>
                <w:color w:val="auto"/>
              </w:rPr>
            </w:pPr>
            <w:r>
              <w:rPr>
                <w:rFonts w:ascii="Arial" w:cs="Arial" w:eastAsia="Arial" w:hAnsi="Arial"/>
                <w:sz w:val="41"/>
                <w:szCs w:val="41"/>
                <w:b w:val="1"/>
                <w:bCs w:val="1"/>
                <w:color w:val="auto"/>
                <w:w w:val="95"/>
              </w:rPr>
              <w:t>Uniti Group Inc.</w:t>
            </w:r>
          </w:p>
        </w:tc>
        <w:tc>
          <w:tcPr>
            <w:tcW w:w="1240" w:type="dxa"/>
            <w:vAlign w:val="bottom"/>
          </w:tcPr>
          <w:p>
            <w:pPr>
              <w:spacing w:after="0"/>
              <w:rPr>
                <w:sz w:val="24"/>
                <w:szCs w:val="24"/>
                <w:color w:val="auto"/>
              </w:rPr>
            </w:pPr>
          </w:p>
        </w:tc>
      </w:tr>
      <w:tr>
        <w:trPr>
          <w:trHeight w:val="225"/>
        </w:trPr>
        <w:tc>
          <w:tcPr>
            <w:tcW w:w="6140" w:type="dxa"/>
            <w:vAlign w:val="bottom"/>
            <w:gridSpan w:val="3"/>
          </w:tcPr>
          <w:p>
            <w:pPr>
              <w:jc w:val="center"/>
              <w:ind w:left="1770"/>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1240" w:type="dxa"/>
            <w:vAlign w:val="bottom"/>
          </w:tcPr>
          <w:p>
            <w:pPr>
              <w:spacing w:after="0"/>
              <w:rPr>
                <w:sz w:val="19"/>
                <w:szCs w:val="19"/>
                <w:color w:val="auto"/>
              </w:rPr>
            </w:pPr>
          </w:p>
        </w:tc>
      </w:tr>
      <w:tr>
        <w:trPr>
          <w:trHeight w:val="90"/>
        </w:trPr>
        <w:tc>
          <w:tcPr>
            <w:tcW w:w="286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55"/>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6"/>
              </w:rPr>
              <w:t>Maryland</w:t>
            </w:r>
          </w:p>
        </w:tc>
        <w:tc>
          <w:tcPr>
            <w:tcW w:w="1240" w:type="dxa"/>
            <w:vAlign w:val="bottom"/>
          </w:tcPr>
          <w:p>
            <w:pPr>
              <w:jc w:val="right"/>
              <w:ind w:right="44"/>
              <w:spacing w:after="0"/>
              <w:rPr>
                <w:sz w:val="20"/>
                <w:szCs w:val="20"/>
                <w:color w:val="auto"/>
              </w:rPr>
            </w:pPr>
            <w:r>
              <w:rPr>
                <w:rFonts w:ascii="Arial" w:cs="Arial" w:eastAsia="Arial" w:hAnsi="Arial"/>
                <w:sz w:val="17"/>
                <w:szCs w:val="17"/>
                <w:b w:val="1"/>
                <w:bCs w:val="1"/>
                <w:color w:val="auto"/>
              </w:rPr>
              <w:t>46-5230630</w:t>
            </w:r>
          </w:p>
        </w:tc>
      </w:tr>
      <w:tr>
        <w:trPr>
          <w:trHeight w:val="142"/>
        </w:trPr>
        <w:tc>
          <w:tcPr>
            <w:tcW w:w="6140" w:type="dxa"/>
            <w:vAlign w:val="bottom"/>
            <w:gridSpan w:val="3"/>
          </w:tcPr>
          <w:p>
            <w:pPr>
              <w:jc w:val="center"/>
              <w:ind w:right="3860"/>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1240" w:type="dxa"/>
            <w:vAlign w:val="bottom"/>
          </w:tcPr>
          <w:p>
            <w:pPr>
              <w:jc w:val="center"/>
              <w:ind w:left="104"/>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90"/>
              </w:rPr>
              <w:t>incorporation or organization)</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252"/>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10802 Executive Center Drive</w:t>
            </w:r>
          </w:p>
        </w:tc>
        <w:tc>
          <w:tcPr>
            <w:tcW w:w="1240" w:type="dxa"/>
            <w:vAlign w:val="bottom"/>
          </w:tcPr>
          <w:p>
            <w:pPr>
              <w:spacing w:after="0"/>
              <w:rPr>
                <w:sz w:val="21"/>
                <w:szCs w:val="21"/>
                <w:color w:val="auto"/>
              </w:rPr>
            </w:pPr>
          </w:p>
        </w:tc>
      </w:tr>
      <w:tr>
        <w:trPr>
          <w:trHeight w:val="207"/>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1"/>
              </w:rPr>
              <w:t>Benton Building Suite 300</w:t>
            </w:r>
          </w:p>
        </w:tc>
        <w:tc>
          <w:tcPr>
            <w:tcW w:w="1240" w:type="dxa"/>
            <w:vAlign w:val="bottom"/>
          </w:tcPr>
          <w:p>
            <w:pPr>
              <w:spacing w:after="0"/>
              <w:rPr>
                <w:sz w:val="17"/>
                <w:szCs w:val="17"/>
                <w:color w:val="auto"/>
              </w:rPr>
            </w:pPr>
          </w:p>
        </w:tc>
      </w:tr>
      <w:tr>
        <w:trPr>
          <w:trHeight w:val="203"/>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Little Rock, Arkansas</w:t>
            </w:r>
          </w:p>
        </w:tc>
        <w:tc>
          <w:tcPr>
            <w:tcW w:w="1240" w:type="dxa"/>
            <w:vAlign w:val="bottom"/>
          </w:tcPr>
          <w:p>
            <w:pPr>
              <w:jc w:val="right"/>
              <w:ind w:right="244"/>
              <w:spacing w:after="0"/>
              <w:rPr>
                <w:sz w:val="20"/>
                <w:szCs w:val="20"/>
                <w:color w:val="auto"/>
              </w:rPr>
            </w:pPr>
            <w:r>
              <w:rPr>
                <w:rFonts w:ascii="Arial" w:cs="Arial" w:eastAsia="Arial" w:hAnsi="Arial"/>
                <w:sz w:val="17"/>
                <w:szCs w:val="17"/>
                <w:b w:val="1"/>
                <w:bCs w:val="1"/>
                <w:color w:val="auto"/>
              </w:rPr>
              <w:t>72211</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(Zip Code)</w:t>
            </w:r>
          </w:p>
        </w:tc>
      </w:tr>
      <w:tr>
        <w:trPr>
          <w:trHeight w:val="207"/>
        </w:trPr>
        <w:tc>
          <w:tcPr>
            <w:tcW w:w="6140" w:type="dxa"/>
            <w:vAlign w:val="bottom"/>
            <w:gridSpan w:val="3"/>
          </w:tcPr>
          <w:p>
            <w:pPr>
              <w:jc w:val="center"/>
              <w:ind w:left="1770"/>
              <w:spacing w:after="0"/>
              <w:rPr>
                <w:sz w:val="20"/>
                <w:szCs w:val="20"/>
                <w:color w:val="auto"/>
              </w:rPr>
            </w:pPr>
            <w:r>
              <w:rPr>
                <w:rFonts w:ascii="Arial" w:cs="Arial" w:eastAsia="Arial" w:hAnsi="Arial"/>
                <w:sz w:val="14"/>
                <w:szCs w:val="14"/>
                <w:b w:val="1"/>
                <w:bCs w:val="1"/>
                <w:color w:val="auto"/>
                <w:w w:val="88"/>
              </w:rPr>
              <w:t>Registrant’s telephone number, including area code: (501) 850-0820</w:t>
            </w:r>
          </w:p>
        </w:tc>
        <w:tc>
          <w:tcPr>
            <w:tcW w:w="12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56515</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4" w:lineRule="exact"/>
        <w:rPr>
          <w:sz w:val="24"/>
          <w:szCs w:val="24"/>
          <w:color w:val="auto"/>
        </w:rPr>
      </w:pPr>
    </w:p>
    <w:p>
      <w:pPr>
        <w:ind w:right="160" w:firstLine="518"/>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ind w:right="40" w:firstLine="518"/>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firstLine="518"/>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3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ind w:left="138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6"/>
        </w:trPr>
        <w:tc>
          <w:tcPr>
            <w:tcW w:w="2080" w:type="dxa"/>
            <w:vAlign w:val="bottom"/>
          </w:tcPr>
          <w:p>
            <w:pPr>
              <w:spacing w:after="0"/>
              <w:rPr>
                <w:sz w:val="20"/>
                <w:szCs w:val="20"/>
                <w:color w:val="auto"/>
              </w:rPr>
            </w:pPr>
            <w:r>
              <w:rPr>
                <w:rFonts w:ascii="Arial" w:cs="Arial" w:eastAsia="Arial" w:hAnsi="Arial"/>
                <w:sz w:val="17"/>
                <w:szCs w:val="17"/>
                <w:color w:val="auto"/>
              </w:rPr>
              <w:t>Non-accelerated filer</w:t>
            </w:r>
          </w:p>
        </w:tc>
        <w:tc>
          <w:tcPr>
            <w:tcW w:w="5340" w:type="dxa"/>
            <w:vAlign w:val="bottom"/>
          </w:tcPr>
          <w:p>
            <w:pPr>
              <w:ind w:left="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520" w:type="dxa"/>
            <w:vAlign w:val="bottom"/>
          </w:tcPr>
          <w:p>
            <w:pPr>
              <w:ind w:left="138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1"/>
        </w:trPr>
        <w:tc>
          <w:tcPr>
            <w:tcW w:w="20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520" w:type="dxa"/>
            <w:vAlign w:val="bottom"/>
          </w:tcPr>
          <w:p>
            <w:pPr>
              <w:ind w:left="138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60" w:lineRule="exact"/>
        <w:rPr>
          <w:sz w:val="24"/>
          <w:szCs w:val="24"/>
          <w:color w:val="auto"/>
        </w:rPr>
      </w:pPr>
    </w:p>
    <w:p>
      <w:pPr>
        <w:ind w:right="120" w:firstLine="518"/>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right="1760" w:firstLine="518"/>
        <w:spacing w:after="0" w:line="26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2017, the registrant had 175,448,233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5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175895</wp:posOffset>
            </wp:positionV>
            <wp:extent cx="729424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3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timing of the pending the acquisitions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amortization of intangible assets; and expectations regarding the payment of dividends.</w:t>
      </w:r>
    </w:p>
    <w:p>
      <w:pPr>
        <w:spacing w:after="0" w:line="5" w:lineRule="exact"/>
        <w:rPr>
          <w:sz w:val="20"/>
          <w:szCs w:val="20"/>
          <w:color w:val="auto"/>
        </w:rPr>
      </w:pPr>
    </w:p>
    <w:p>
      <w:pPr>
        <w:ind w:right="80" w:firstLine="341"/>
        <w:spacing w:after="0" w:line="256"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0" w:lineRule="exact"/>
        <w:rPr>
          <w:sz w:val="20"/>
          <w:szCs w:val="20"/>
          <w:color w:val="auto"/>
        </w:rPr>
      </w:pPr>
    </w:p>
    <w:p>
      <w:pPr>
        <w:ind w:left="1040" w:right="60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meet and/or perform their obligations under any contractual arrangements entered into with us, including master lease arrangements;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customers to comply with laws, rules and regulations in the operation of the assets we lease to them;</w:t>
      </w:r>
    </w:p>
    <w:p>
      <w:pPr>
        <w:spacing w:after="0" w:line="114" w:lineRule="exact"/>
        <w:rPr>
          <w:rFonts w:ascii="Arial" w:cs="Arial" w:eastAsia="Arial" w:hAnsi="Arial"/>
          <w:sz w:val="17"/>
          <w:szCs w:val="17"/>
          <w:color w:val="auto"/>
        </w:rPr>
      </w:pPr>
    </w:p>
    <w:p>
      <w:pPr>
        <w:ind w:left="1040" w:right="2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renew, extend or obtain our contracts with significant customers (including customers of the businesses that we acquire);</w:t>
      </w:r>
    </w:p>
    <w:p>
      <w:pPr>
        <w:spacing w:after="0" w:line="114" w:lineRule="exact"/>
        <w:rPr>
          <w:rFonts w:ascii="Arial" w:cs="Arial" w:eastAsia="Arial" w:hAnsi="Arial"/>
          <w:sz w:val="17"/>
          <w:szCs w:val="17"/>
          <w:color w:val="auto"/>
        </w:rPr>
      </w:pPr>
    </w:p>
    <w:p>
      <w:pPr>
        <w:ind w:left="1040" w:right="62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and our ability to identify suitable acquisition opportunities and our ability to acquire and lease the respective properties on favorable terms or operate and integrate the acquired businesses;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generate sufficient cash flows to service our outstanding indebtedness;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access debt and equity capital markets;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our key management personnel;</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real estate investment trust (“REIT”);</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covenants in our debt agreements that may limit our operational flexibility;</w:t>
      </w:r>
    </w:p>
    <w:p>
      <w:pPr>
        <w:spacing w:after="0" w:line="114" w:lineRule="exact"/>
        <w:rPr>
          <w:rFonts w:ascii="Arial" w:cs="Arial" w:eastAsia="Arial" w:hAnsi="Arial"/>
          <w:sz w:val="17"/>
          <w:szCs w:val="17"/>
          <w:color w:val="auto"/>
        </w:rPr>
      </w:pPr>
    </w:p>
    <w:p>
      <w:pPr>
        <w:ind w:left="1040" w:right="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experience equipment failures, natural disasters, cyber attacks or terrorist attacks for which our insurance may not provide adequate coverage;</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we fail to fully realize the potential benefits of or have difficulty in integrating the companies we acquire;</w:t>
      </w:r>
    </w:p>
    <w:p>
      <w:pPr>
        <w:spacing w:after="0" w:line="114" w:lineRule="exact"/>
        <w:rPr>
          <w:rFonts w:ascii="Arial" w:cs="Arial" w:eastAsia="Arial" w:hAnsi="Arial"/>
          <w:sz w:val="17"/>
          <w:szCs w:val="17"/>
          <w:color w:val="auto"/>
        </w:rPr>
      </w:pPr>
    </w:p>
    <w:p>
      <w:pPr>
        <w:ind w:left="10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complete our pending acquisitions; and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ind w:left="1040" w:hanging="520"/>
        <w:spacing w:after="0" w:line="29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2016, as well as those described from time to time in our future reports filed with the U.S. Securities and Exchange Commission (“the SEC”).</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gridSpan w:val="4"/>
          </w:tcPr>
          <w:p>
            <w:pPr>
              <w:jc w:val="center"/>
              <w:ind w:right="4540"/>
              <w:spacing w:after="0"/>
              <w:rPr>
                <w:sz w:val="20"/>
                <w:szCs w:val="20"/>
                <w:color w:val="auto"/>
              </w:rPr>
            </w:pPr>
            <w:r>
              <w:rPr>
                <w:rFonts w:ascii="Arial" w:cs="Arial" w:eastAsia="Arial" w:hAnsi="Arial"/>
                <w:sz w:val="17"/>
                <w:szCs w:val="17"/>
                <w:b w:val="1"/>
                <w:bCs w:val="1"/>
                <w:color w:val="auto"/>
                <w:w w:val="95"/>
              </w:rPr>
              <w:t>Uniti Group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20" w:type="dxa"/>
            <w:vAlign w:val="bottom"/>
            <w:gridSpan w:val="6"/>
          </w:tcPr>
          <w:p>
            <w:pPr>
              <w:jc w:val="center"/>
              <w:ind w:right="4180"/>
              <w:spacing w:after="0"/>
              <w:rPr>
                <w:sz w:val="20"/>
                <w:szCs w:val="20"/>
                <w:color w:val="auto"/>
              </w:rPr>
            </w:pPr>
            <w:r>
              <w:rPr>
                <w:rFonts w:ascii="Arial" w:cs="Arial" w:eastAsia="Arial" w:hAnsi="Arial"/>
                <w:sz w:val="17"/>
                <w:szCs w:val="17"/>
                <w:b w:val="1"/>
                <w:bCs w:val="1"/>
                <w:color w:val="auto"/>
                <w:w w:val="90"/>
              </w:rPr>
              <w:t>Table of Contents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9920" w:type="dxa"/>
            <w:vAlign w:val="bottom"/>
            <w:gridSpan w:val="18"/>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FINANCIAL INFORMATION</w:t>
              </w:r>
            </w:hyperlink>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940" w:type="dxa"/>
            <w:vAlign w:val="bottom"/>
            <w:gridSpan w:val="2"/>
            <w:vMerge w:val="continue"/>
          </w:tcPr>
          <w:p>
            <w:pPr>
              <w:spacing w:after="0"/>
              <w:rPr>
                <w:sz w:val="15"/>
                <w:szCs w:val="15"/>
                <w:color w:val="auto"/>
              </w:rPr>
            </w:pPr>
          </w:p>
        </w:tc>
        <w:tc>
          <w:tcPr>
            <w:tcW w:w="9920" w:type="dxa"/>
            <w:vAlign w:val="bottom"/>
            <w:gridSpan w:val="18"/>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3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Financial Statements (Unaudited)</w:t>
              </w:r>
            </w:hyperlink>
          </w:p>
        </w:tc>
        <w:tc>
          <w:tcPr>
            <w:tcW w:w="762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18"/>
          </w:tcPr>
          <w:p>
            <w:pPr>
              <w:spacing w:after="0"/>
              <w:rPr>
                <w:sz w:val="20"/>
                <w:szCs w:val="20"/>
                <w:color w:val="auto"/>
              </w:rPr>
            </w:pPr>
            <w:r>
              <w:rPr>
                <w:rFonts w:ascii="Arial" w:cs="Arial" w:eastAsia="Arial" w:hAnsi="Arial"/>
                <w:sz w:val="17"/>
                <w:szCs w:val="17"/>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20" w:type="dxa"/>
            <w:vAlign w:val="bottom"/>
            <w:gridSpan w:val="18"/>
          </w:tcPr>
          <w:p>
            <w:pPr>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Balance Sheets</w:t>
              </w:r>
            </w:hyperlink>
          </w:p>
        </w:tc>
        <w:tc>
          <w:tcPr>
            <w:tcW w:w="560" w:type="dxa"/>
            <w:vAlign w:val="bottom"/>
          </w:tcPr>
          <w:p>
            <w:pPr>
              <w:jc w:val="right"/>
              <w:spacing w:after="0" w:line="180"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gridSpan w:val="1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gridSpan w:val="1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Comprehensive Income (Loss)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40" w:type="dxa"/>
            <w:vAlign w:val="bottom"/>
            <w:tcBorders>
              <w:top w:val="single" w:sz="8" w:color="0000EE"/>
            </w:tcBorders>
            <w:gridSpan w:val="16"/>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Shareholders’ Deficit</w:t>
              </w:r>
            </w:hyperlink>
          </w:p>
        </w:tc>
        <w:tc>
          <w:tcPr>
            <w:tcW w:w="5080" w:type="dxa"/>
            <w:vAlign w:val="bottom"/>
            <w:gridSpan w:val="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89"/>
              </w:rPr>
            </w:pPr>
            <w:hyperlink w:anchor="page9">
              <w:r>
                <w:rPr>
                  <w:rFonts w:ascii="Arial" w:cs="Arial" w:eastAsia="Arial" w:hAnsi="Arial"/>
                  <w:sz w:val="17"/>
                  <w:szCs w:val="17"/>
                  <w:color w:val="0000EE"/>
                  <w:w w:val="89"/>
                </w:rPr>
                <w:t>Condensed Consolidated Statements of Cash Flows</w:t>
              </w:r>
            </w:hyperlink>
          </w:p>
        </w:tc>
        <w:tc>
          <w:tcPr>
            <w:tcW w:w="660" w:type="dxa"/>
            <w:vAlign w:val="bottom"/>
            <w:tcBorders>
              <w:top w:val="single" w:sz="8" w:color="0000EE"/>
            </w:tcBorders>
            <w:gridSpan w:val="4"/>
          </w:tcPr>
          <w:p>
            <w:pPr>
              <w:spacing w:after="0"/>
              <w:rPr>
                <w:sz w:val="17"/>
                <w:szCs w:val="17"/>
                <w:color w:val="auto"/>
              </w:rPr>
            </w:pPr>
          </w:p>
        </w:tc>
        <w:tc>
          <w:tcPr>
            <w:tcW w:w="572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gridSpan w:val="18"/>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60" w:type="dxa"/>
            <w:vAlign w:val="bottom"/>
            <w:tcBorders>
              <w:bottom w:val="single" w:sz="8" w:color="0000EE"/>
            </w:tcBorders>
            <w:gridSpan w:val="17"/>
          </w:tcPr>
          <w:p>
            <w:pPr>
              <w:spacing w:after="0"/>
              <w:rPr>
                <w:rFonts w:ascii="Arial" w:cs="Arial" w:eastAsia="Arial" w:hAnsi="Arial"/>
                <w:sz w:val="17"/>
                <w:szCs w:val="17"/>
                <w:color w:val="0000EE"/>
                <w:w w:val="91"/>
              </w:rPr>
            </w:pPr>
            <w:hyperlink w:anchor="page31">
              <w:r>
                <w:rPr>
                  <w:rFonts w:ascii="Arial" w:cs="Arial" w:eastAsia="Arial" w:hAnsi="Arial"/>
                  <w:sz w:val="17"/>
                  <w:szCs w:val="17"/>
                  <w:color w:val="0000EE"/>
                  <w:w w:val="91"/>
                </w:rPr>
                <w:t>Management’s Discussion and Analysis of Financial Condition and Results of Operations</w:t>
              </w:r>
            </w:hyperlink>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bottom w:val="single" w:sz="8" w:color="0000EE"/>
            </w:tcBorders>
            <w:gridSpan w:val="14"/>
          </w:tcPr>
          <w:p>
            <w:pPr>
              <w:spacing w:after="0"/>
              <w:rPr>
                <w:rFonts w:ascii="Arial" w:cs="Arial" w:eastAsia="Arial" w:hAnsi="Arial"/>
                <w:sz w:val="17"/>
                <w:szCs w:val="17"/>
                <w:color w:val="0000EE"/>
                <w:w w:val="93"/>
              </w:rPr>
            </w:pPr>
            <w:hyperlink w:anchor="page40">
              <w:r>
                <w:rPr>
                  <w:rFonts w:ascii="Arial" w:cs="Arial" w:eastAsia="Arial" w:hAnsi="Arial"/>
                  <w:sz w:val="17"/>
                  <w:szCs w:val="17"/>
                  <w:color w:val="0000EE"/>
                  <w:w w:val="93"/>
                </w:rPr>
                <w:t>Quantitative and Qualitative Disclosures About Market Risk</w:t>
              </w:r>
            </w:hyperlink>
          </w:p>
        </w:tc>
        <w:tc>
          <w:tcPr>
            <w:tcW w:w="5760" w:type="dxa"/>
            <w:vAlign w:val="bottom"/>
            <w:gridSpan w:val="4"/>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tcBorders>
              <w:bottom w:val="single" w:sz="8" w:color="0000EE"/>
            </w:tcBorders>
            <w:gridSpan w:val="5"/>
          </w:tcPr>
          <w:p>
            <w:pPr>
              <w:spacing w:after="0"/>
              <w:rPr>
                <w:rFonts w:ascii="Arial" w:cs="Arial" w:eastAsia="Arial" w:hAnsi="Arial"/>
                <w:sz w:val="17"/>
                <w:szCs w:val="17"/>
                <w:color w:val="0000EE"/>
                <w:w w:val="88"/>
              </w:rPr>
            </w:pPr>
            <w:hyperlink w:anchor="page40">
              <w:r>
                <w:rPr>
                  <w:rFonts w:ascii="Arial" w:cs="Arial" w:eastAsia="Arial" w:hAnsi="Arial"/>
                  <w:sz w:val="17"/>
                  <w:szCs w:val="17"/>
                  <w:color w:val="0000EE"/>
                  <w:w w:val="88"/>
                </w:rPr>
                <w:t>Controls and Procedures</w:t>
              </w:r>
            </w:hyperlink>
          </w:p>
        </w:tc>
        <w:tc>
          <w:tcPr>
            <w:tcW w:w="8240" w:type="dxa"/>
            <w:vAlign w:val="bottom"/>
            <w:gridSpan w:val="1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20" w:type="dxa"/>
            <w:vAlign w:val="bottom"/>
            <w:tcBorders>
              <w:bottom w:val="single" w:sz="8" w:color="0000EE"/>
            </w:tcBorders>
            <w:gridSpan w:val="6"/>
          </w:tcPr>
          <w:p>
            <w:pPr>
              <w:spacing w:after="0"/>
              <w:rPr>
                <w:rFonts w:ascii="Arial" w:cs="Arial" w:eastAsia="Arial" w:hAnsi="Arial"/>
                <w:sz w:val="17"/>
                <w:szCs w:val="17"/>
                <w:b w:val="1"/>
                <w:bCs w:val="1"/>
                <w:color w:val="0000EE"/>
              </w:rPr>
            </w:pPr>
            <w:hyperlink w:anchor="page42">
              <w:r>
                <w:rPr>
                  <w:rFonts w:ascii="Arial" w:cs="Arial" w:eastAsia="Arial" w:hAnsi="Arial"/>
                  <w:sz w:val="17"/>
                  <w:szCs w:val="17"/>
                  <w:b w:val="1"/>
                  <w:bCs w:val="1"/>
                  <w:color w:val="0000EE"/>
                </w:rPr>
                <w:t>OTHER INFORMATION</w:t>
              </w:r>
            </w:hyperlink>
          </w:p>
        </w:tc>
        <w:tc>
          <w:tcPr>
            <w:tcW w:w="80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6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42">
              <w:r>
                <w:rPr>
                  <w:rFonts w:ascii="Arial" w:cs="Arial" w:eastAsia="Arial" w:hAnsi="Arial"/>
                  <w:sz w:val="17"/>
                  <w:szCs w:val="17"/>
                  <w:color w:val="0000EE"/>
                  <w:w w:val="88"/>
                </w:rPr>
                <w:t>Legal Proceedings</w:t>
              </w:r>
            </w:hyperlink>
          </w:p>
        </w:tc>
        <w:tc>
          <w:tcPr>
            <w:tcW w:w="866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920" w:type="dxa"/>
            <w:vAlign w:val="bottom"/>
            <w:gridSpan w:val="18"/>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920" w:type="dxa"/>
            <w:vAlign w:val="bottom"/>
            <w:gridSpan w:val="18"/>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40" w:type="dxa"/>
            <w:vAlign w:val="bottom"/>
            <w:tcBorders>
              <w:top w:val="single" w:sz="8" w:color="0000EE"/>
            </w:tcBorders>
            <w:gridSpan w:val="13"/>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Defaults Upon Senior Securities</w:t>
              </w:r>
            </w:hyperlink>
          </w:p>
        </w:tc>
        <w:tc>
          <w:tcPr>
            <w:tcW w:w="5780" w:type="dxa"/>
            <w:vAlign w:val="bottom"/>
            <w:gridSpan w:val="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1"/>
              </w:rPr>
            </w:pPr>
            <w:hyperlink w:anchor="page42">
              <w:r>
                <w:rPr>
                  <w:rFonts w:ascii="Arial" w:cs="Arial" w:eastAsia="Arial" w:hAnsi="Arial"/>
                  <w:sz w:val="17"/>
                  <w:szCs w:val="17"/>
                  <w:color w:val="0000EE"/>
                  <w:w w:val="91"/>
                </w:rPr>
                <w:t>Mine Safety Disclosures</w:t>
              </w:r>
            </w:hyperlink>
          </w:p>
        </w:tc>
        <w:tc>
          <w:tcPr>
            <w:tcW w:w="580" w:type="dxa"/>
            <w:vAlign w:val="bottom"/>
            <w:tcBorders>
              <w:top w:val="single" w:sz="8" w:color="0000EE"/>
            </w:tcBorders>
            <w:gridSpan w:val="2"/>
          </w:tcPr>
          <w:p>
            <w:pPr>
              <w:spacing w:after="0"/>
              <w:rPr>
                <w:sz w:val="17"/>
                <w:szCs w:val="17"/>
                <w:color w:val="auto"/>
              </w:rPr>
            </w:pPr>
          </w:p>
        </w:tc>
        <w:tc>
          <w:tcPr>
            <w:tcW w:w="7660" w:type="dxa"/>
            <w:vAlign w:val="bottom"/>
            <w:gridSpan w:val="11"/>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4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42">
              <w:r>
                <w:rPr>
                  <w:rFonts w:ascii="Arial" w:cs="Arial" w:eastAsia="Arial" w:hAnsi="Arial"/>
                  <w:sz w:val="17"/>
                  <w:szCs w:val="17"/>
                  <w:color w:val="0000EE"/>
                  <w:w w:val="92"/>
                </w:rPr>
                <w:t>Other Information</w:t>
              </w:r>
            </w:hyperlink>
          </w:p>
        </w:tc>
        <w:tc>
          <w:tcPr>
            <w:tcW w:w="8680" w:type="dxa"/>
            <w:vAlign w:val="bottom"/>
            <w:gridSpan w:val="1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0"/>
        </w:trPr>
        <w:tc>
          <w:tcPr>
            <w:tcW w:w="940" w:type="dxa"/>
            <w:vAlign w:val="bottom"/>
            <w:gridSpan w:val="2"/>
          </w:tcPr>
          <w:p>
            <w:pPr>
              <w:spacing w:after="0"/>
              <w:rPr>
                <w:sz w:val="20"/>
                <w:szCs w:val="20"/>
                <w:color w:val="auto"/>
              </w:rPr>
            </w:pPr>
            <w:r>
              <w:rPr>
                <w:rFonts w:ascii="Arial" w:cs="Arial" w:eastAsia="Arial" w:hAnsi="Arial"/>
                <w:sz w:val="17"/>
                <w:szCs w:val="17"/>
                <w:color w:val="auto"/>
              </w:rPr>
              <w:t>Item 6.</w:t>
            </w:r>
          </w:p>
        </w:tc>
        <w:tc>
          <w:tcPr>
            <w:tcW w:w="9920" w:type="dxa"/>
            <w:vAlign w:val="bottom"/>
            <w:gridSpan w:val="18"/>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419"/>
        </w:trPr>
        <w:tc>
          <w:tcPr>
            <w:tcW w:w="740" w:type="dxa"/>
            <w:vAlign w:val="bottom"/>
            <w:tcBorders>
              <w:bottom w:val="single" w:sz="8" w:color="0000EE"/>
            </w:tcBorders>
          </w:tcPr>
          <w:p>
            <w:pPr>
              <w:spacing w:after="0"/>
              <w:rPr>
                <w:rFonts w:ascii="Arial" w:cs="Arial" w:eastAsia="Arial" w:hAnsi="Arial"/>
                <w:sz w:val="17"/>
                <w:szCs w:val="17"/>
                <w:color w:val="0000EE"/>
                <w:w w:val="88"/>
              </w:rPr>
            </w:pPr>
            <w:hyperlink w:anchor="page45">
              <w:r>
                <w:rPr>
                  <w:rFonts w:ascii="Arial" w:cs="Arial" w:eastAsia="Arial" w:hAnsi="Arial"/>
                  <w:sz w:val="17"/>
                  <w:szCs w:val="17"/>
                  <w:color w:val="0000EE"/>
                  <w:w w:val="88"/>
                </w:rPr>
                <w:t>Signatures</w:t>
              </w:r>
            </w:hyperlink>
          </w:p>
        </w:tc>
        <w:tc>
          <w:tcPr>
            <w:tcW w:w="2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419"/>
        </w:trPr>
        <w:tc>
          <w:tcPr>
            <w:tcW w:w="10860" w:type="dxa"/>
            <w:vAlign w:val="bottom"/>
            <w:gridSpan w:val="20"/>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Exhibit Index</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2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18"/>
        </w:trPr>
        <w:tc>
          <w:tcPr>
            <w:tcW w:w="77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2,672,349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2,670,037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68,726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17,236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262,086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214,061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160,584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Straight-line revenue receivable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33,406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12,813</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3,280,677</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3,318,752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Shareholders' Deficit:</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Accounts payable, accrued expenses and other liabilities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56,023</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40,977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Accrued interest payable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293,879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261,404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Derivative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Dividends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94,810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94,607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47,048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Capital lease obligations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54,068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54,535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Contingent consideration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90,719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Notes and other debt,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4,003,792</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4,028,214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4,707,590</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4,640,645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Commitments and contingencies (Note 12)</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w w:val="98"/>
              </w:rPr>
              <w:t>Convertible preferred stock</w:t>
            </w:r>
            <w:r>
              <w:rPr>
                <w:rFonts w:ascii="Arial" w:cs="Arial" w:eastAsia="Arial" w:hAnsi="Arial"/>
                <w:sz w:val="17"/>
                <w:szCs w:val="17"/>
                <w:color w:val="auto"/>
                <w:w w:val="98"/>
              </w:rPr>
              <w:t>, Series A, $0.0001 par value, 88 shares authorized, issued and outstanding,</w:t>
            </w:r>
          </w:p>
        </w:tc>
        <w:tc>
          <w:tcPr>
            <w:tcW w:w="2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81,296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80,552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78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$87,500 liquidation value</w:t>
            </w:r>
          </w:p>
        </w:tc>
        <w:tc>
          <w:tcPr>
            <w:tcW w:w="2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788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Shareholders' Deficit: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Preferred stock, $0.0001 par value, 50,000 shares authorized, no shares issued and outstanding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w w:val="95"/>
              </w:rPr>
              <w:t>Common stock, $0.0001 par value, 500,000 shares authorized, issued and outstanding: 155,276 shares at</w:t>
            </w:r>
          </w:p>
        </w:tc>
        <w:tc>
          <w:tcPr>
            <w:tcW w:w="2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7880" w:type="dxa"/>
            <w:vAlign w:val="bottom"/>
            <w:gridSpan w:val="2"/>
            <w:vMerge w:val="restart"/>
            <w:shd w:val="clear" w:color="auto" w:fill="CFF0FC"/>
          </w:tcPr>
          <w:p>
            <w:pPr>
              <w:ind w:left="240"/>
              <w:spacing w:after="0"/>
              <w:rPr>
                <w:sz w:val="20"/>
                <w:szCs w:val="20"/>
                <w:color w:val="auto"/>
              </w:rPr>
            </w:pPr>
            <w:r>
              <w:rPr>
                <w:rFonts w:ascii="Arial" w:cs="Arial" w:eastAsia="Arial" w:hAnsi="Arial"/>
                <w:sz w:val="17"/>
                <w:szCs w:val="17"/>
                <w:color w:val="auto"/>
              </w:rPr>
              <w:t>March 31, 2017 and 155,139 at December 31, 2016</w:t>
            </w:r>
          </w:p>
        </w:tc>
        <w:tc>
          <w:tcPr>
            <w:tcW w:w="2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788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141,503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141,092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 (loss)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(6,369)</w:t>
            </w:r>
          </w:p>
        </w:tc>
        <w:tc>
          <w:tcPr>
            <w:tcW w:w="0" w:type="dxa"/>
            <w:vAlign w:val="bottom"/>
          </w:tcPr>
          <w:p>
            <w:pPr>
              <w:spacing w:after="0"/>
              <w:rPr>
                <w:sz w:val="1"/>
                <w:szCs w:val="1"/>
                <w:color w:val="auto"/>
              </w:rPr>
            </w:pPr>
          </w:p>
        </w:tc>
      </w:tr>
      <w:tr>
        <w:trPr>
          <w:trHeight w:val="220"/>
        </w:trPr>
        <w:tc>
          <w:tcPr>
            <w:tcW w:w="7880" w:type="dxa"/>
            <w:vAlign w:val="bottom"/>
            <w:gridSpan w:val="2"/>
          </w:tcPr>
          <w:p>
            <w:pPr>
              <w:ind w:left="240"/>
              <w:spacing w:after="0"/>
              <w:rPr>
                <w:sz w:val="20"/>
                <w:szCs w:val="20"/>
                <w:color w:val="auto"/>
              </w:rPr>
            </w:pPr>
            <w:r>
              <w:rPr>
                <w:rFonts w:ascii="Arial" w:cs="Arial" w:eastAsia="Arial" w:hAnsi="Arial"/>
                <w:sz w:val="17"/>
                <w:szCs w:val="17"/>
                <w:color w:val="auto"/>
              </w:rPr>
              <w:t>Distributions in excess of accumulated earnings</w:t>
            </w:r>
          </w:p>
        </w:tc>
        <w:tc>
          <w:tcPr>
            <w:tcW w:w="20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7"/>
                <w:szCs w:val="17"/>
                <w:color w:val="auto"/>
              </w:rPr>
              <w:t>(1,652,800)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(1,537,183)</w:t>
            </w:r>
          </w:p>
        </w:tc>
        <w:tc>
          <w:tcPr>
            <w:tcW w:w="0" w:type="dxa"/>
            <w:vAlign w:val="bottom"/>
          </w:tcPr>
          <w:p>
            <w:pPr>
              <w:spacing w:after="0"/>
              <w:rPr>
                <w:sz w:val="1"/>
                <w:szCs w:val="1"/>
                <w:color w:val="auto"/>
              </w:rPr>
            </w:pPr>
          </w:p>
        </w:tc>
      </w:tr>
      <w:tr>
        <w:trPr>
          <w:trHeight w:val="20"/>
        </w:trPr>
        <w:tc>
          <w:tcPr>
            <w:tcW w:w="7880" w:type="dxa"/>
            <w:vAlign w:val="bottom"/>
            <w:gridSpan w:val="2"/>
            <w:vMerge w:val="restart"/>
            <w:shd w:val="clear" w:color="auto" w:fill="CFF0FC"/>
          </w:tcPr>
          <w:p>
            <w:pPr>
              <w:ind w:left="500"/>
              <w:spacing w:after="0"/>
              <w:rPr>
                <w:sz w:val="20"/>
                <w:szCs w:val="20"/>
                <w:color w:val="auto"/>
              </w:rPr>
            </w:pPr>
            <w:r>
              <w:rPr>
                <w:rFonts w:ascii="Arial" w:cs="Arial" w:eastAsia="Arial" w:hAnsi="Arial"/>
                <w:sz w:val="17"/>
                <w:szCs w:val="17"/>
                <w:color w:val="auto"/>
              </w:rPr>
              <w:t>Total shareholders' deficit</w:t>
            </w: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(1,508,209)</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(1,402,445)</w:t>
            </w:r>
          </w:p>
        </w:tc>
        <w:tc>
          <w:tcPr>
            <w:tcW w:w="0" w:type="dxa"/>
            <w:vAlign w:val="bottom"/>
          </w:tcPr>
          <w:p>
            <w:pPr>
              <w:spacing w:after="0"/>
              <w:rPr>
                <w:sz w:val="1"/>
                <w:szCs w:val="1"/>
                <w:color w:val="auto"/>
              </w:rPr>
            </w:pPr>
          </w:p>
        </w:tc>
      </w:tr>
      <w:tr>
        <w:trPr>
          <w:trHeight w:val="213"/>
        </w:trPr>
        <w:tc>
          <w:tcPr>
            <w:tcW w:w="78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Convertible Preferred Stock, and Shareholders' Deficit</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3,280,677</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3,318,752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2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480" w:type="dxa"/>
            <w:vAlign w:val="bottom"/>
          </w:tcPr>
          <w:p>
            <w:pPr>
              <w:spacing w:after="0"/>
              <w:rPr>
                <w:sz w:val="19"/>
                <w:szCs w:val="19"/>
                <w:color w:val="auto"/>
              </w:rPr>
            </w:pPr>
          </w:p>
        </w:tc>
        <w:tc>
          <w:tcPr>
            <w:tcW w:w="1520" w:type="dxa"/>
            <w:vAlign w:val="bottom"/>
          </w:tcPr>
          <w:p>
            <w:pPr>
              <w:jc w:val="right"/>
              <w:ind w:right="775"/>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77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Leasing</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170,306</w:t>
            </w:r>
          </w:p>
        </w:tc>
        <w:tc>
          <w:tcPr>
            <w:tcW w:w="300" w:type="dxa"/>
            <w:vAlign w:val="bottom"/>
          </w:tcPr>
          <w:p>
            <w:pPr>
              <w:spacing w:after="0"/>
              <w:rPr>
                <w:sz w:val="19"/>
                <w:szCs w:val="19"/>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168,613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Tower</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1,428</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480"/>
              <w:spacing w:after="0"/>
              <w:rPr>
                <w:sz w:val="20"/>
                <w:szCs w:val="20"/>
                <w:color w:val="auto"/>
              </w:rPr>
            </w:pPr>
            <w:r>
              <w:rPr>
                <w:rFonts w:ascii="Arial" w:cs="Arial" w:eastAsia="Arial" w:hAnsi="Arial"/>
                <w:sz w:val="17"/>
                <w:szCs w:val="17"/>
                <w:color w:val="auto"/>
              </w:rPr>
              <w:t>Total revenues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211,473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4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73,365</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101,361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General and administrative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13,978</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Operating expense (exclusive of depreciation, accretion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Transaction related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9,684</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expenses</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Total costs and expenses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231,852</w:t>
            </w: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(Loss) income before income taxes</w:t>
            </w:r>
          </w:p>
        </w:tc>
        <w:tc>
          <w:tcPr>
            <w:tcW w:w="48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(20,379)</w:t>
            </w: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Income (benefit) tax expense</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(379)</w:t>
            </w: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income</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(20,000)</w:t>
            </w: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(387)</w:t>
            </w: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480" w:type="dxa"/>
            <w:vAlign w:val="bottom"/>
          </w:tcPr>
          <w:p>
            <w:pPr>
              <w:spacing w:after="0"/>
              <w:rPr>
                <w:sz w:val="19"/>
                <w:szCs w:val="19"/>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(656)</w:t>
            </w: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(745)</w:t>
            </w: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income applicable to common shareholders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020" w:type="dxa"/>
            <w:vAlign w:val="bottom"/>
            <w:gridSpan w:val="2"/>
            <w:vMerge w:val="continue"/>
          </w:tcPr>
          <w:p>
            <w:pPr>
              <w:spacing w:after="0"/>
              <w:rPr>
                <w:sz w:val="21"/>
                <w:szCs w:val="21"/>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(21,788)</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7,681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(Loss) earnings per common share:</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(0.14)</w:t>
            </w: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20" w:type="dxa"/>
            <w:vAlign w:val="bottom"/>
            <w:gridSpan w:val="2"/>
            <w:vMerge w:val="continue"/>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(0.14)</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Weighted-average number of common shares outstanding</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149,918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20" w:type="dxa"/>
            <w:vAlign w:val="bottom"/>
            <w:tcBorders>
              <w:bottom w:val="single" w:sz="8" w:color="CFF0FC"/>
            </w:tcBorders>
            <w:gridSpan w:val="2"/>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155,184</w:t>
            </w:r>
          </w:p>
        </w:tc>
        <w:tc>
          <w:tcPr>
            <w:tcW w:w="3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149,984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Dividends declared per common share</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8"/>
                <w:szCs w:val="18"/>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(loss) income</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(20,000)</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20" w:type="dxa"/>
            <w:vAlign w:val="bottom"/>
            <w:shd w:val="clear" w:color="auto" w:fill="CFF0FC"/>
          </w:tcPr>
          <w:p>
            <w:pPr>
              <w:spacing w:after="0"/>
              <w:rPr>
                <w:sz w:val="18"/>
                <w:szCs w:val="18"/>
                <w:color w:val="auto"/>
              </w:rPr>
            </w:pPr>
          </w:p>
        </w:tc>
      </w:tr>
      <w:tr>
        <w:trPr>
          <w:trHeight w:val="220"/>
        </w:trPr>
        <w:tc>
          <w:tcPr>
            <w:tcW w:w="6920" w:type="dxa"/>
            <w:vAlign w:val="bottom"/>
            <w:gridSpan w:val="2"/>
          </w:tcPr>
          <w:p>
            <w:pPr>
              <w:spacing w:after="0"/>
              <w:rPr>
                <w:sz w:val="20"/>
                <w:szCs w:val="20"/>
                <w:color w:val="auto"/>
              </w:rPr>
            </w:pPr>
            <w:r>
              <w:rPr>
                <w:rFonts w:ascii="Arial" w:cs="Arial" w:eastAsia="Arial" w:hAnsi="Arial"/>
                <w:sz w:val="17"/>
                <w:szCs w:val="17"/>
                <w:color w:val="auto"/>
              </w:rPr>
              <w:t>Other comprehensive (loss) income:</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69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Unrealized (loss) gain on derivative contracts</w:t>
            </w: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(40,442)</w:t>
            </w:r>
          </w:p>
        </w:tc>
      </w:tr>
      <w:tr>
        <w:trPr>
          <w:trHeight w:val="220"/>
        </w:trPr>
        <w:tc>
          <w:tcPr>
            <w:tcW w:w="6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Changes in foreign currency translation</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4,875</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FF0FC"/>
            </w:tcBorders>
          </w:tcPr>
          <w:p>
            <w:pPr>
              <w:spacing w:after="0"/>
              <w:rPr>
                <w:sz w:val="19"/>
                <w:szCs w:val="19"/>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9,441</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(40,362)</w:t>
            </w:r>
          </w:p>
        </w:tc>
      </w:tr>
      <w:tr>
        <w:trPr>
          <w:trHeight w:val="220"/>
        </w:trPr>
        <w:tc>
          <w:tcPr>
            <w:tcW w:w="67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Comprehensive loss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(10,559)</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(32,326)</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9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122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7"/>
                <w:szCs w:val="17"/>
                <w:b w:val="1"/>
                <w:bCs w:val="1"/>
                <w:color w:val="auto"/>
                <w:w w:val="95"/>
              </w:rPr>
              <w:t>Uniti Group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60" w:type="dxa"/>
            <w:vAlign w:val="bottom"/>
            <w:gridSpan w:val="19"/>
          </w:tcPr>
          <w:p>
            <w:pPr>
              <w:jc w:val="center"/>
              <w:ind w:right="74"/>
              <w:spacing w:after="0"/>
              <w:rPr>
                <w:sz w:val="20"/>
                <w:szCs w:val="20"/>
                <w:color w:val="auto"/>
              </w:rPr>
            </w:pPr>
            <w:r>
              <w:rPr>
                <w:rFonts w:ascii="Arial" w:cs="Arial" w:eastAsia="Arial" w:hAnsi="Arial"/>
                <w:sz w:val="17"/>
                <w:szCs w:val="17"/>
                <w:b w:val="1"/>
                <w:bCs w:val="1"/>
                <w:color w:val="auto"/>
                <w:w w:val="89"/>
              </w:rPr>
              <w:t>Condensed Consolidated Statements of Shareholders’ Deficit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5"/>
          </w:tcPr>
          <w:p>
            <w:pPr>
              <w:jc w:val="center"/>
              <w:spacing w:after="0"/>
              <w:rPr>
                <w:sz w:val="20"/>
                <w:szCs w:val="20"/>
                <w:color w:val="auto"/>
              </w:rPr>
            </w:pPr>
            <w:r>
              <w:rPr>
                <w:rFonts w:ascii="Arial" w:cs="Arial" w:eastAsia="Arial" w:hAnsi="Arial"/>
                <w:sz w:val="17"/>
                <w:szCs w:val="17"/>
                <w:b w:val="1"/>
                <w:bCs w:val="1"/>
                <w:color w:val="auto"/>
                <w:w w:val="92"/>
              </w:rPr>
              <w:t>(unaudited)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Accumulated</w:t>
            </w:r>
          </w:p>
        </w:tc>
        <w:tc>
          <w:tcPr>
            <w:tcW w:w="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color w:val="auto"/>
              </w:rPr>
              <w:t>Distributions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ind w:left="220"/>
              <w:spacing w:after="0"/>
              <w:rPr>
                <w:sz w:val="20"/>
                <w:szCs w:val="20"/>
                <w:color w:val="auto"/>
              </w:rPr>
            </w:pPr>
            <w:r>
              <w:rPr>
                <w:rFonts w:ascii="Arial" w:cs="Arial" w:eastAsia="Arial" w:hAnsi="Arial"/>
                <w:sz w:val="17"/>
                <w:szCs w:val="17"/>
                <w:color w:val="auto"/>
              </w:rPr>
              <w:t>Additional</w:t>
            </w:r>
          </w:p>
        </w:tc>
        <w:tc>
          <w:tcPr>
            <w:tcW w:w="2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Other</w:t>
            </w:r>
          </w:p>
        </w:tc>
        <w:tc>
          <w:tcPr>
            <w:tcW w:w="8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w w:val="93"/>
              </w:rPr>
              <w:t>in Excess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w w:val="90"/>
              </w:rPr>
              <w:t>Paid-in</w:t>
            </w:r>
          </w:p>
        </w:tc>
        <w:tc>
          <w:tcPr>
            <w:tcW w:w="1220" w:type="dxa"/>
            <w:vAlign w:val="bottom"/>
            <w:gridSpan w:val="3"/>
          </w:tcPr>
          <w:p>
            <w:pPr>
              <w:spacing w:after="0"/>
              <w:rPr>
                <w:sz w:val="20"/>
                <w:szCs w:val="20"/>
                <w:color w:val="auto"/>
              </w:rPr>
            </w:pPr>
            <w:r>
              <w:rPr>
                <w:rFonts w:ascii="Arial" w:cs="Arial" w:eastAsia="Arial" w:hAnsi="Arial"/>
                <w:sz w:val="17"/>
                <w:szCs w:val="17"/>
                <w:color w:val="auto"/>
              </w:rPr>
              <w:t>Comprehensive</w:t>
            </w:r>
          </w:p>
        </w:tc>
        <w:tc>
          <w:tcPr>
            <w:tcW w:w="1160" w:type="dxa"/>
            <w:vAlign w:val="bottom"/>
            <w:gridSpan w:val="4"/>
          </w:tcPr>
          <w:p>
            <w:pPr>
              <w:ind w:left="80"/>
              <w:spacing w:after="0"/>
              <w:rPr>
                <w:sz w:val="20"/>
                <w:szCs w:val="20"/>
                <w:color w:val="auto"/>
              </w:rPr>
            </w:pPr>
            <w:r>
              <w:rPr>
                <w:rFonts w:ascii="Arial" w:cs="Arial" w:eastAsia="Arial" w:hAnsi="Arial"/>
                <w:sz w:val="17"/>
                <w:szCs w:val="17"/>
                <w:color w:val="auto"/>
              </w:rPr>
              <w:t>Accumulated</w:t>
            </w:r>
          </w:p>
        </w:tc>
        <w:tc>
          <w:tcPr>
            <w:tcW w:w="1120" w:type="dxa"/>
            <w:vAlign w:val="bottom"/>
            <w:gridSpan w:val="4"/>
          </w:tcPr>
          <w:p>
            <w:pPr>
              <w:ind w:left="100"/>
              <w:spacing w:after="0"/>
              <w:rPr>
                <w:sz w:val="20"/>
                <w:szCs w:val="20"/>
                <w:color w:val="auto"/>
              </w:rPr>
            </w:pPr>
            <w:r>
              <w:rPr>
                <w:rFonts w:ascii="Arial" w:cs="Arial" w:eastAsia="Arial" w:hAnsi="Arial"/>
                <w:sz w:val="17"/>
                <w:szCs w:val="17"/>
                <w:color w:val="auto"/>
                <w:w w:val="95"/>
              </w:rPr>
              <w:t>Shareholders'</w:t>
            </w:r>
          </w:p>
        </w:tc>
        <w:tc>
          <w:tcPr>
            <w:tcW w:w="0" w:type="dxa"/>
            <w:vAlign w:val="bottom"/>
          </w:tcPr>
          <w:p>
            <w:pPr>
              <w:spacing w:after="0"/>
              <w:rPr>
                <w:sz w:val="1"/>
                <w:szCs w:val="1"/>
                <w:color w:val="auto"/>
              </w:rPr>
            </w:pPr>
          </w:p>
        </w:tc>
      </w:tr>
      <w:tr>
        <w:trPr>
          <w:trHeight w:val="219"/>
        </w:trPr>
        <w:tc>
          <w:tcPr>
            <w:tcW w:w="2900" w:type="dxa"/>
            <w:vAlign w:val="bottom"/>
            <w:gridSpan w:val="3"/>
          </w:tcPr>
          <w:p>
            <w:pPr>
              <w:spacing w:after="0"/>
              <w:rPr>
                <w:sz w:val="20"/>
                <w:szCs w:val="20"/>
                <w:color w:val="auto"/>
              </w:rPr>
            </w:pPr>
            <w:r>
              <w:rPr>
                <w:rFonts w:ascii="Arial" w:cs="Arial" w:eastAsia="Arial" w:hAnsi="Arial"/>
                <w:sz w:val="14"/>
                <w:szCs w:val="14"/>
                <w:color w:val="auto"/>
              </w:rPr>
              <w:t>(Thousands, except share data)</w:t>
            </w:r>
          </w:p>
        </w:tc>
        <w:tc>
          <w:tcPr>
            <w:tcW w:w="120" w:type="dxa"/>
            <w:vAlign w:val="bottom"/>
          </w:tcPr>
          <w:p>
            <w:pPr>
              <w:spacing w:after="0"/>
              <w:rPr>
                <w:sz w:val="19"/>
                <w:szCs w:val="19"/>
                <w:color w:val="auto"/>
              </w:rPr>
            </w:pPr>
          </w:p>
        </w:tc>
        <w:tc>
          <w:tcPr>
            <w:tcW w:w="1440" w:type="dxa"/>
            <w:vAlign w:val="bottom"/>
            <w:gridSpan w:val="5"/>
          </w:tcPr>
          <w:p>
            <w:pPr>
              <w:jc w:val="right"/>
              <w:ind w:right="220"/>
              <w:spacing w:after="0"/>
              <w:rPr>
                <w:sz w:val="20"/>
                <w:szCs w:val="20"/>
                <w:color w:val="auto"/>
              </w:rPr>
            </w:pPr>
            <w:r>
              <w:rPr>
                <w:rFonts w:ascii="Arial" w:cs="Arial" w:eastAsia="Arial" w:hAnsi="Arial"/>
                <w:sz w:val="17"/>
                <w:szCs w:val="17"/>
                <w:color w:val="auto"/>
              </w:rPr>
              <w:t>Preferred Stock</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5"/>
          </w:tcPr>
          <w:p>
            <w:pPr>
              <w:jc w:val="center"/>
              <w:spacing w:after="0"/>
              <w:rPr>
                <w:sz w:val="20"/>
                <w:szCs w:val="20"/>
                <w:color w:val="auto"/>
              </w:rPr>
            </w:pPr>
            <w:r>
              <w:rPr>
                <w:rFonts w:ascii="Arial" w:cs="Arial" w:eastAsia="Arial" w:hAnsi="Arial"/>
                <w:sz w:val="17"/>
                <w:szCs w:val="17"/>
                <w:color w:val="auto"/>
                <w:w w:val="92"/>
              </w:rPr>
              <w:t>Common Stock</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w w:val="90"/>
              </w:rPr>
              <w:t>Capital</w:t>
            </w:r>
          </w:p>
        </w:tc>
        <w:tc>
          <w:tcPr>
            <w:tcW w:w="200" w:type="dxa"/>
            <w:vAlign w:val="bottom"/>
          </w:tcPr>
          <w:p>
            <w:pPr>
              <w:spacing w:after="0"/>
              <w:rPr>
                <w:sz w:val="19"/>
                <w:szCs w:val="19"/>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7"/>
                <w:szCs w:val="17"/>
                <w:color w:val="auto"/>
                <w:w w:val="88"/>
              </w:rPr>
              <w:t>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w w:val="95"/>
              </w:rPr>
              <w:t>Earnings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Deficit</w:t>
            </w:r>
          </w:p>
        </w:tc>
        <w:tc>
          <w:tcPr>
            <w:tcW w:w="0" w:type="dxa"/>
            <w:vAlign w:val="bottom"/>
          </w:tcPr>
          <w:p>
            <w:pPr>
              <w:spacing w:after="0"/>
              <w:rPr>
                <w:sz w:val="1"/>
                <w:szCs w:val="1"/>
                <w:color w:val="auto"/>
              </w:rPr>
            </w:pPr>
          </w:p>
        </w:tc>
      </w:tr>
      <w:tr>
        <w:trPr>
          <w:trHeight w:val="174"/>
        </w:trPr>
        <w:tc>
          <w:tcPr>
            <w:tcW w:w="1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gridSpan w:val="3"/>
          </w:tcPr>
          <w:p>
            <w:pPr>
              <w:jc w:val="right"/>
              <w:ind w:right="54"/>
              <w:spacing w:after="0" w:line="174" w:lineRule="exact"/>
              <w:rPr>
                <w:sz w:val="20"/>
                <w:szCs w:val="20"/>
                <w:color w:val="auto"/>
              </w:rPr>
            </w:pPr>
            <w:r>
              <w:rPr>
                <w:rFonts w:ascii="Arial" w:cs="Arial" w:eastAsia="Arial" w:hAnsi="Arial"/>
                <w:sz w:val="17"/>
                <w:szCs w:val="17"/>
                <w:color w:val="auto"/>
              </w:rPr>
              <w:t>Shares</w:t>
            </w: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line="174" w:lineRule="exact"/>
              <w:rPr>
                <w:sz w:val="20"/>
                <w:szCs w:val="20"/>
                <w:color w:val="auto"/>
              </w:rPr>
            </w:pPr>
            <w:r>
              <w:rPr>
                <w:rFonts w:ascii="Arial" w:cs="Arial" w:eastAsia="Arial" w:hAnsi="Arial"/>
                <w:sz w:val="17"/>
                <w:szCs w:val="17"/>
                <w:color w:val="auto"/>
              </w:rPr>
              <w:t>Amount</w:t>
            </w: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auto"/>
            </w:tcBorders>
            <w:gridSpan w:val="4"/>
          </w:tcPr>
          <w:p>
            <w:pPr>
              <w:ind w:left="240"/>
              <w:spacing w:after="0" w:line="174" w:lineRule="exact"/>
              <w:rPr>
                <w:sz w:val="20"/>
                <w:szCs w:val="20"/>
                <w:color w:val="auto"/>
              </w:rPr>
            </w:pPr>
            <w:r>
              <w:rPr>
                <w:rFonts w:ascii="Arial" w:cs="Arial" w:eastAsia="Arial" w:hAnsi="Arial"/>
                <w:sz w:val="17"/>
                <w:szCs w:val="17"/>
                <w:color w:val="auto"/>
              </w:rPr>
              <w:t>Shares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right"/>
              <w:ind w:right="80"/>
              <w:spacing w:after="0" w:line="174" w:lineRule="exact"/>
              <w:rPr>
                <w:sz w:val="20"/>
                <w:szCs w:val="20"/>
                <w:color w:val="auto"/>
              </w:rPr>
            </w:pPr>
            <w:r>
              <w:rPr>
                <w:rFonts w:ascii="Arial" w:cs="Arial" w:eastAsia="Arial" w:hAnsi="Arial"/>
                <w:sz w:val="17"/>
                <w:szCs w:val="17"/>
                <w:color w:val="auto"/>
                <w:w w:val="92"/>
              </w:rPr>
              <w:t>Amount</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December 31, 2015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9"/>
              </w:rPr>
              <w:t>149,862,459</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(5,427)</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(1,162,886)</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(1,166,906)</w:t>
            </w: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900" w:type="dxa"/>
            <w:vAlign w:val="bottom"/>
            <w:gridSpan w:val="3"/>
          </w:tcPr>
          <w:p>
            <w:pPr>
              <w:spacing w:after="0"/>
              <w:rPr>
                <w:sz w:val="20"/>
                <w:szCs w:val="20"/>
                <w:color w:val="auto"/>
              </w:rPr>
            </w:pPr>
            <w:r>
              <w:rPr>
                <w:rFonts w:ascii="Arial" w:cs="Arial" w:eastAsia="Arial" w:hAnsi="Arial"/>
                <w:sz w:val="16"/>
                <w:szCs w:val="16"/>
                <w:color w:val="auto"/>
              </w:rPr>
              <w:t>Amortization of discount of convertible</w:t>
            </w:r>
          </w:p>
        </w:tc>
        <w:tc>
          <w:tcPr>
            <w:tcW w:w="70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spacing w:after="0"/>
              <w:rPr>
                <w:sz w:val="20"/>
                <w:szCs w:val="20"/>
                <w:color w:val="auto"/>
              </w:rPr>
            </w:pPr>
            <w:r>
              <w:rPr>
                <w:rFonts w:ascii="Arial" w:cs="Arial" w:eastAsia="Arial" w:hAnsi="Arial"/>
                <w:sz w:val="16"/>
                <w:szCs w:val="16"/>
                <w:color w:val="auto"/>
              </w:rPr>
              <w:t>preferred stock</w:t>
            </w:r>
          </w:p>
        </w:tc>
        <w:tc>
          <w:tcPr>
            <w:tcW w:w="7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(40,362)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(40,362)</w:t>
            </w: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(90,428)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(90,428)</w:t>
            </w: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Equity issuance cost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Net share settlement</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171,785</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900" w:type="dxa"/>
            <w:vAlign w:val="bottom"/>
            <w:gridSpan w:val="3"/>
          </w:tcPr>
          <w:p>
            <w:pPr>
              <w:spacing w:after="0"/>
              <w:rPr>
                <w:sz w:val="20"/>
                <w:szCs w:val="20"/>
                <w:color w:val="auto"/>
              </w:rPr>
            </w:pPr>
            <w:r>
              <w:rPr>
                <w:rFonts w:ascii="Arial" w:cs="Arial" w:eastAsia="Arial" w:hAnsi="Arial"/>
                <w:sz w:val="16"/>
                <w:szCs w:val="16"/>
                <w:color w:val="auto"/>
              </w:rPr>
              <w:t>Balance at March 31, 2016</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150,034,244</w:t>
            </w:r>
          </w:p>
        </w:tc>
        <w:tc>
          <w:tcPr>
            <w:tcW w:w="220" w:type="dxa"/>
            <w:vAlign w:val="bottom"/>
          </w:tcPr>
          <w:p>
            <w:pPr>
              <w:spacing w:after="0"/>
              <w:rPr>
                <w:sz w:val="21"/>
                <w:szCs w:val="21"/>
                <w:color w:val="auto"/>
              </w:rPr>
            </w:pPr>
          </w:p>
        </w:tc>
        <w:tc>
          <w:tcPr>
            <w:tcW w:w="440" w:type="dxa"/>
            <w:vAlign w:val="bottom"/>
            <w:gridSpan w:val="2"/>
          </w:tcPr>
          <w:p>
            <w:pPr>
              <w:jc w:val="right"/>
              <w:ind w:right="254"/>
              <w:spacing w:after="0"/>
              <w:rPr>
                <w:sz w:val="20"/>
                <w:szCs w:val="20"/>
                <w:color w:val="auto"/>
              </w:rPr>
            </w:pPr>
            <w:r>
              <w:rPr>
                <w:rFonts w:ascii="Arial" w:cs="Arial" w:eastAsia="Arial" w:hAnsi="Arial"/>
                <w:sz w:val="17"/>
                <w:szCs w:val="17"/>
                <w:color w:val="auto"/>
                <w:w w:val="84"/>
              </w:rPr>
              <w:t>$</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3,407</w:t>
            </w:r>
          </w:p>
        </w:tc>
        <w:tc>
          <w:tcPr>
            <w:tcW w:w="2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(45,789)</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(1,246,544)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(1,288,911)</w:t>
            </w:r>
          </w:p>
        </w:tc>
        <w:tc>
          <w:tcPr>
            <w:tcW w:w="0" w:type="dxa"/>
            <w:vAlign w:val="bottom"/>
          </w:tcPr>
          <w:p>
            <w:pPr>
              <w:spacing w:after="0"/>
              <w:rPr>
                <w:sz w:val="1"/>
                <w:szCs w:val="1"/>
                <w:color w:val="auto"/>
              </w:rPr>
            </w:pPr>
          </w:p>
        </w:tc>
      </w:tr>
      <w:tr>
        <w:trPr>
          <w:trHeight w:val="198"/>
        </w:trPr>
        <w:tc>
          <w:tcPr>
            <w:tcW w:w="122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Balance at December 31, 2016</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7"/>
                <w:szCs w:val="17"/>
                <w:color w:val="auto"/>
                <w:w w:val="84"/>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155,138,637</w:t>
            </w:r>
          </w:p>
        </w:tc>
        <w:tc>
          <w:tcPr>
            <w:tcW w:w="220" w:type="dxa"/>
            <w:vAlign w:val="bottom"/>
          </w:tcPr>
          <w:p>
            <w:pPr>
              <w:spacing w:after="0"/>
              <w:rPr>
                <w:sz w:val="19"/>
                <w:szCs w:val="19"/>
                <w:color w:val="auto"/>
              </w:rPr>
            </w:pPr>
          </w:p>
        </w:tc>
        <w:tc>
          <w:tcPr>
            <w:tcW w:w="440" w:type="dxa"/>
            <w:vAlign w:val="bottom"/>
            <w:gridSpan w:val="2"/>
          </w:tcPr>
          <w:p>
            <w:pPr>
              <w:jc w:val="right"/>
              <w:ind w:right="254"/>
              <w:spacing w:after="0"/>
              <w:rPr>
                <w:sz w:val="20"/>
                <w:szCs w:val="20"/>
                <w:color w:val="auto"/>
              </w:rPr>
            </w:pPr>
            <w:r>
              <w:rPr>
                <w:rFonts w:ascii="Arial" w:cs="Arial" w:eastAsia="Arial" w:hAnsi="Arial"/>
                <w:sz w:val="17"/>
                <w:szCs w:val="17"/>
                <w:color w:val="auto"/>
                <w:w w:val="84"/>
              </w:rPr>
              <w:t>$</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141,092</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(6,369)</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(1,537,183)</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(1,402,445)</w:t>
            </w:r>
          </w:p>
        </w:tc>
        <w:tc>
          <w:tcPr>
            <w:tcW w:w="0" w:type="dxa"/>
            <w:vAlign w:val="bottom"/>
          </w:tcPr>
          <w:p>
            <w:pPr>
              <w:spacing w:after="0"/>
              <w:rPr>
                <w:sz w:val="1"/>
                <w:szCs w:val="1"/>
                <w:color w:val="auto"/>
              </w:rPr>
            </w:pPr>
          </w:p>
        </w:tc>
      </w:tr>
      <w:tr>
        <w:trPr>
          <w:trHeight w:val="20"/>
        </w:trPr>
        <w:tc>
          <w:tcPr>
            <w:tcW w:w="122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loss</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199"/>
        </w:trPr>
        <w:tc>
          <w:tcPr>
            <w:tcW w:w="2900" w:type="dxa"/>
            <w:vAlign w:val="bottom"/>
            <w:gridSpan w:val="3"/>
          </w:tcPr>
          <w:p>
            <w:pPr>
              <w:spacing w:after="0"/>
              <w:rPr>
                <w:sz w:val="20"/>
                <w:szCs w:val="20"/>
                <w:color w:val="auto"/>
              </w:rPr>
            </w:pPr>
            <w:r>
              <w:rPr>
                <w:rFonts w:ascii="Arial" w:cs="Arial" w:eastAsia="Arial" w:hAnsi="Arial"/>
                <w:sz w:val="16"/>
                <w:szCs w:val="16"/>
                <w:color w:val="auto"/>
              </w:rPr>
              <w:t>Amortization of discount on convertible</w:t>
            </w:r>
          </w:p>
        </w:tc>
        <w:tc>
          <w:tcPr>
            <w:tcW w:w="70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(745)</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2"/>
        </w:trPr>
        <w:tc>
          <w:tcPr>
            <w:tcW w:w="2900" w:type="dxa"/>
            <w:vAlign w:val="bottom"/>
            <w:gridSpan w:val="3"/>
          </w:tcPr>
          <w:p>
            <w:pPr>
              <w:spacing w:after="0"/>
              <w:rPr>
                <w:sz w:val="20"/>
                <w:szCs w:val="20"/>
                <w:color w:val="auto"/>
              </w:rPr>
            </w:pPr>
            <w:r>
              <w:rPr>
                <w:rFonts w:ascii="Arial" w:cs="Arial" w:eastAsia="Arial" w:hAnsi="Arial"/>
                <w:sz w:val="16"/>
                <w:szCs w:val="16"/>
                <w:color w:val="auto"/>
              </w:rPr>
              <w:t>preferred stock</w:t>
            </w:r>
          </w:p>
        </w:tc>
        <w:tc>
          <w:tcPr>
            <w:tcW w:w="7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comprehensive gain</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(93,692)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(93,692)</w:t>
            </w: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dividends</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0"/>
        </w:trPr>
        <w:tc>
          <w:tcPr>
            <w:tcW w:w="290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20"/>
        </w:trPr>
        <w:tc>
          <w:tcPr>
            <w:tcW w:w="290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136,866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March 31, 2017</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9"/>
              </w:rPr>
              <w:t>155,275,503</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141,503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(1,652,800)</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(1,508,209)</w:t>
            </w: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5"/>
        </w:trPr>
        <w:tc>
          <w:tcPr>
            <w:tcW w:w="73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(20,000)</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Adjustments to reconcile net (loss) income to net cash provided by operating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101,361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Amortization of deferred financing costs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Amortization of debt discount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2,778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Deferred income taxes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(1,002)</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Straight-line revenues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(3,629)</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(4,322)</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Stock-based compensation</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Changes in assets and liabilities, net of acquisitions: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360"/>
              <w:spacing w:after="0"/>
              <w:rPr>
                <w:sz w:val="20"/>
                <w:szCs w:val="20"/>
                <w:color w:val="auto"/>
              </w:rPr>
            </w:pPr>
            <w:r>
              <w:rPr>
                <w:rFonts w:ascii="Arial" w:cs="Arial" w:eastAsia="Arial" w:hAnsi="Arial"/>
                <w:sz w:val="17"/>
                <w:szCs w:val="17"/>
                <w:color w:val="auto"/>
              </w:rPr>
              <w:t>Accounts receivable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Other assets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(1,626)</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0"/>
        </w:trPr>
        <w:tc>
          <w:tcPr>
            <w:tcW w:w="7360" w:type="dxa"/>
            <w:vAlign w:val="bottom"/>
            <w:gridSpan w:val="2"/>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10,910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Accounts payable, accrued expenses and other liabilities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34,153</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128,202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121,701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Acquisition of businesses, net of cash acquired</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ground lease investments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(7,191)</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NMS asset acquisition (Note 3)</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(64,622)</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expenditures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(14,931)</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(86,496)</w:t>
            </w:r>
          </w:p>
        </w:tc>
        <w:tc>
          <w:tcPr>
            <w:tcW w:w="4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(1,313)</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Cash flow from financing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Principal payment on debt</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(5,270)</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(6,044)</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paid</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(94,133)</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(90,314)</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Payments of contingent consideration</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(18,791)</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Borrowings under revolving credit facility</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Payments under revolving credit facility</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(25,000)</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lease payments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(672)</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Deferred financing costs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(24,418)</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Common stock issuance, net of costs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(54)</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Net share settlement</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(1,690)</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gridSpan w:val="2"/>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(145,028)</w:t>
            </w: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(97,624)</w:t>
            </w:r>
          </w:p>
        </w:tc>
        <w:tc>
          <w:tcPr>
            <w:tcW w:w="0" w:type="dxa"/>
            <w:vAlign w:val="bottom"/>
          </w:tcPr>
          <w:p>
            <w:pPr>
              <w:spacing w:after="0"/>
              <w:rPr>
                <w:sz w:val="1"/>
                <w:szCs w:val="1"/>
                <w:color w:val="auto"/>
              </w:rPr>
            </w:pPr>
          </w:p>
        </w:tc>
      </w:tr>
      <w:tr>
        <w:trPr>
          <w:trHeight w:val="22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(decrease) increase in cash and cash equivalents</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(103,028)</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171,754</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440" w:type="dxa"/>
            <w:vAlign w:val="bottom"/>
            <w:tcBorders>
              <w:bottom w:val="single" w:sz="8" w:color="auto"/>
            </w:tcBorders>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68,726</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165,340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Property and equipment acquired but not yet paid</w:t>
            </w: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4,013</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Tenant capital improvements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33,824</w:t>
            </w:r>
          </w:p>
        </w:tc>
        <w:tc>
          <w:tcPr>
            <w:tcW w:w="260" w:type="dxa"/>
            <w:vAlign w:val="bottom"/>
          </w:tcPr>
          <w:p>
            <w:pPr>
              <w:spacing w:after="0"/>
              <w:rPr>
                <w:sz w:val="20"/>
                <w:szCs w:val="20"/>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32,359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businesses through non-cash consideration</w:t>
            </w: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Description of Business</w:t>
      </w:r>
    </w:p>
    <w:p>
      <w:pPr>
        <w:spacing w:after="0" w:line="121"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Uniti Group Inc. (the “Company,” “Uniti,” “we,” “us,” or “our”), formerly known as Communications Sales and Leasing, Inc., was incorporated in the state of Maryland on September 4, 2014 as a subsidiary of Windstream Holdings, Inc. (“Windstream Holdings” and together with its subsidiaries, “Windstream”). On April 24, 2015, Uniti was separated and spun-off from Windstream (“the Spin-Off”). In connection with the Spin-Off, Windstream contributed certain telecommunications network assets, including fiber and copper networks and other real estate (the “Distribution Systems”) and a small consumer competitive local exchange carrier (“CLEC”) business (the “Consumer CLEC Business”). Immediately following the Spin-Off we entered into a long-term exclusive triple-net lease (the “Master Lease”) with Windstream pursuant to which Uniti leases the Distribution Systems to Windstream. The assets and liabilities of the Distribution Systems and Consumer CLEC Business were recorded in our Condensed Consolidated Financial Statements on a carryover basis as of the date of the Spin-Off.</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are an independent, internally managed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Effective the first quarter of 2017, we commenced managing our operations in four separate lines of business: Unit Fiber, Uniti Towers, Uniti Leasing, and the Consumer CLEC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Basis of Presentation and Summary of Significant Accounting Policies</w:t>
      </w:r>
    </w:p>
    <w:p>
      <w:pPr>
        <w:spacing w:after="0" w:line="12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2016 (“Annual Report”), filed with the SEC on February 23, 2017. Accordingly, significant accounting policies and other disclosures normally provided have been omitted from the accompanying Condensed Consolidated Financial Statements and related notes since such items are disclosed in our Annual Report. All material intercompany balances and transactions have been eliminated.</w:t>
      </w:r>
    </w:p>
    <w:p>
      <w:pPr>
        <w:spacing w:after="0" w:line="160" w:lineRule="exact"/>
        <w:rPr>
          <w:sz w:val="20"/>
          <w:szCs w:val="20"/>
          <w:color w:val="auto"/>
        </w:rPr>
      </w:pPr>
    </w:p>
    <w:p>
      <w:pPr>
        <w:ind w:right="600"/>
        <w:spacing w:after="0" w:line="315"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—We currently have recorded a $5.3 million liability for unrecognized tax benefits in connection with the acquisition of Network Management Holdings, LTD (“NMS”). See Note 3. We have filed our initial U.S. federal and state income tax returns which are subject to examination.</w:t>
      </w:r>
    </w:p>
    <w:p>
      <w:pPr>
        <w:spacing w:after="0" w:line="137" w:lineRule="exact"/>
        <w:rPr>
          <w:sz w:val="20"/>
          <w:szCs w:val="20"/>
          <w:color w:val="auto"/>
        </w:rPr>
      </w:pPr>
    </w:p>
    <w:p>
      <w:pPr>
        <w:ind w:right="80"/>
        <w:spacing w:after="0" w:line="278" w:lineRule="auto"/>
        <w:rPr>
          <w:rFonts w:ascii="Arial" w:cs="Arial" w:eastAsia="Arial" w:hAnsi="Arial"/>
          <w:sz w:val="16"/>
          <w:szCs w:val="16"/>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rPr>
        <w:t xml:space="preserve">—Certain amounts have been reclassified to conform with current year presentation. Following the acquisition of Network Management Holdings, LTD (“NMS”) in the first quarter of 2017, the Company manages and reports our operations in four reportable business segment: Leasing, Fiber Infrastructure, Towers and Consumer CLEC. Prior year information, including revenues on the Consolidated Statement of Income, has been recast to conform to the current year presentation. </w:t>
      </w:r>
      <w:hyperlink w:anchor="page20">
        <w:r>
          <w:rPr>
            <w:rFonts w:ascii="Arial" w:cs="Arial" w:eastAsia="Arial" w:hAnsi="Arial"/>
            <w:sz w:val="16"/>
            <w:szCs w:val="16"/>
            <w:u w:val="single" w:color="auto"/>
            <w:color w:val="0000EE"/>
          </w:rPr>
          <w:t>See Note 11</w:t>
        </w:r>
      </w:hyperlink>
      <w:r>
        <w:rPr>
          <w:rFonts w:ascii="Arial" w:cs="Arial" w:eastAsia="Arial" w:hAnsi="Arial"/>
          <w:sz w:val="16"/>
          <w:szCs w:val="16"/>
          <w:color w:val="auto"/>
        </w:rPr>
        <w:t xml:space="preserve">. We determined that certain immaterial misclassifications existed in the supplemental guarantor information condensed consolidating statements of comprehensive income for the three months ended March 31, 2016. During the first quarter of 2017, certain Non-Guarantor entities became Guarantor entities. Prior year information has been recast to conform to the current year presentation. </w:t>
      </w:r>
      <w:hyperlink w:anchor="page23">
        <w:r>
          <w:rPr>
            <w:rFonts w:ascii="Arial" w:cs="Arial" w:eastAsia="Arial" w:hAnsi="Arial"/>
            <w:sz w:val="16"/>
            <w:szCs w:val="16"/>
            <w:u w:val="single" w:color="auto"/>
            <w:color w:val="0000EE"/>
          </w:rPr>
          <w:t>See Note 14</w:t>
        </w:r>
      </w:hyperlink>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Standards</w:t>
      </w:r>
    </w:p>
    <w:p>
      <w:pPr>
        <w:spacing w:after="0" w:line="21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 xml:space="preserve">In February 2017, the FASB issued Accounting Standards Update (“ASU”) No. 2017-05, </w:t>
      </w:r>
      <w:r>
        <w:rPr>
          <w:rFonts w:ascii="Arial" w:cs="Arial" w:eastAsia="Arial" w:hAnsi="Arial"/>
          <w:sz w:val="17"/>
          <w:szCs w:val="17"/>
          <w:i w:val="1"/>
          <w:iCs w:val="1"/>
          <w:color w:val="auto"/>
        </w:rPr>
        <w:t>Other Income - Gains and Losses from the Derecognition of Nonfinancial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(Subtopic 610-20): Clarifying the Scope of Asset Derecognition Guidance and Accounting for Partial Sales of Nonfinancial Assets </w:t>
      </w:r>
      <w:r>
        <w:rPr>
          <w:rFonts w:ascii="Arial" w:cs="Arial" w:eastAsia="Arial" w:hAnsi="Arial"/>
          <w:sz w:val="17"/>
          <w:szCs w:val="17"/>
          <w:color w:val="auto"/>
        </w:rPr>
        <w:t>(“ASU 2017-05”),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for recognizing gains and losses from the transfer of nonfinancial assets and for partial sales of nonfinancial assets, and is effective for financial statements issued for fiscal years and interim periods beginning after December 15, 2017. The Company is currently evaluating the impacts the adoption of this accounting standard will have on our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Accounting for Goodwill Impairment</w:t>
      </w:r>
      <w:r>
        <w:rPr>
          <w:rFonts w:ascii="Arial" w:cs="Arial" w:eastAsia="Arial" w:hAnsi="Arial"/>
          <w:sz w:val="17"/>
          <w:szCs w:val="17"/>
          <w:color w:val="auto"/>
        </w:rPr>
        <w:t xml:space="preserve">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t>
      </w:r>
      <w:r>
        <w:rPr>
          <w:rFonts w:ascii="Arial" w:cs="Arial" w:eastAsia="Arial" w:hAnsi="Arial"/>
          <w:sz w:val="17"/>
          <w:szCs w:val="17"/>
          <w:color w:val="2F2F2F"/>
        </w:rPr>
        <w:t>We adopted ASU 2017-04 effective January 1, 2017, and there</w:t>
      </w:r>
      <w:r>
        <w:rPr>
          <w:rFonts w:ascii="Arial" w:cs="Arial" w:eastAsia="Arial" w:hAnsi="Arial"/>
          <w:sz w:val="17"/>
          <w:szCs w:val="17"/>
          <w:color w:val="auto"/>
        </w:rPr>
        <w:t xml:space="preserve"> </w:t>
      </w:r>
      <w:r>
        <w:rPr>
          <w:rFonts w:ascii="Arial" w:cs="Arial" w:eastAsia="Arial" w:hAnsi="Arial"/>
          <w:sz w:val="17"/>
          <w:szCs w:val="17"/>
          <w:color w:val="2F2F2F"/>
        </w:rPr>
        <w:t>was no material impact on our financial position, results of operations or cash flows.</w:t>
      </w:r>
    </w:p>
    <w:p>
      <w:pPr>
        <w:spacing w:after="0" w:line="177" w:lineRule="exact"/>
        <w:rPr>
          <w:sz w:val="20"/>
          <w:szCs w:val="20"/>
          <w:color w:val="auto"/>
        </w:rPr>
      </w:pPr>
    </w:p>
    <w:p>
      <w:pPr>
        <w:ind w:right="180"/>
        <w:spacing w:after="0" w:line="278" w:lineRule="auto"/>
        <w:rPr>
          <w:rFonts w:ascii="Arial" w:cs="Arial" w:eastAsia="Arial" w:hAnsi="Arial"/>
          <w:sz w:val="16"/>
          <w:szCs w:val="16"/>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NMS) (</w:t>
      </w:r>
      <w:hyperlink w:anchor="page11">
        <w:r>
          <w:rPr>
            <w:rFonts w:ascii="Arial" w:cs="Arial" w:eastAsia="Arial" w:hAnsi="Arial"/>
            <w:sz w:val="16"/>
            <w:szCs w:val="16"/>
            <w:u w:val="single" w:color="auto"/>
            <w:color w:val="auto"/>
          </w:rPr>
          <w:t>see Note 3</w:t>
        </w:r>
      </w:hyperlink>
      <w:r>
        <w:rPr>
          <w:rFonts w:ascii="Arial" w:cs="Arial" w:eastAsia="Arial" w:hAnsi="Arial"/>
          <w:sz w:val="16"/>
          <w:szCs w:val="16"/>
          <w:color w:val="auto"/>
        </w:rPr>
        <w:t>) was determined to be an asset acquisition. Transaction cost associated with our real property interest investments are now capitalized as opposed to be recorded as an expense as was required prior to adoption of ASU 2017-01.</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The Company’s implementation efforts include reviewing revenue contracts and the identification of revenue within scope of the guidance. While the Company currently has not identified any material changes in the timing of revenue recognition, the evaluation is ongoing and we are in the process of determining the method of adoption</w:t>
      </w:r>
      <w:r>
        <w:rPr>
          <w:rFonts w:ascii="Arial" w:cs="Arial" w:eastAsia="Arial" w:hAnsi="Arial"/>
          <w:sz w:val="15"/>
          <w:szCs w:val="15"/>
          <w:color w:val="2F2F2F"/>
        </w:rPr>
        <w:t>.</w:t>
      </w:r>
    </w:p>
    <w:p>
      <w:pPr>
        <w:spacing w:after="0" w:line="159"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which </w:t>
      </w:r>
      <w:r>
        <w:rPr>
          <w:rFonts w:ascii="Arial" w:cs="Arial" w:eastAsia="Arial" w:hAnsi="Arial"/>
          <w:sz w:val="15"/>
          <w:szCs w:val="15"/>
          <w:color w:val="2F2F2F"/>
        </w:rPr>
        <w:t>sets out the principles for the recognition, measurement, presentation and disclosure</w:t>
      </w:r>
      <w:r>
        <w:rPr>
          <w:rFonts w:ascii="Arial" w:cs="Arial" w:eastAsia="Arial" w:hAnsi="Arial"/>
          <w:sz w:val="15"/>
          <w:szCs w:val="15"/>
          <w:color w:val="auto"/>
        </w:rPr>
        <w:t xml:space="preserve"> </w:t>
      </w:r>
      <w:r>
        <w:rPr>
          <w:rFonts w:ascii="Arial" w:cs="Arial" w:eastAsia="Arial" w:hAnsi="Arial"/>
          <w:sz w:val="15"/>
          <w:szCs w:val="15"/>
          <w:color w:val="2F2F2F"/>
        </w:rPr>
        <w:t xml:space="preserve">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Arial" w:cs="Arial" w:eastAsia="Arial" w:hAnsi="Arial"/>
          <w:sz w:val="15"/>
          <w:szCs w:val="15"/>
          <w:color w:val="000000"/>
        </w:rPr>
        <w:t>whether lease</w:t>
      </w:r>
      <w:r>
        <w:rPr>
          <w:rFonts w:ascii="Arial" w:cs="Arial" w:eastAsia="Arial" w:hAnsi="Arial"/>
          <w:sz w:val="15"/>
          <w:szCs w:val="15"/>
          <w:color w:val="2F2F2F"/>
        </w:rPr>
        <w:t xml:space="preserve"> </w:t>
      </w:r>
      <w:r>
        <w:rPr>
          <w:rFonts w:ascii="Arial" w:cs="Arial" w:eastAsia="Arial" w:hAnsi="Arial"/>
          <w:sz w:val="15"/>
          <w:szCs w:val="15"/>
          <w:color w:val="000000"/>
        </w:rPr>
        <w:t xml:space="preserve">expense is recognized </w:t>
      </w:r>
      <w:r>
        <w:rPr>
          <w:rFonts w:ascii="Arial" w:cs="Arial" w:eastAsia="Arial" w:hAnsi="Arial"/>
          <w:sz w:val="15"/>
          <w:szCs w:val="15"/>
          <w:color w:val="2F2F2F"/>
        </w:rPr>
        <w:t>based on an effective interest method</w:t>
      </w:r>
      <w:r>
        <w:rPr>
          <w:rFonts w:ascii="Arial" w:cs="Arial" w:eastAsia="Arial" w:hAnsi="Arial"/>
          <w:sz w:val="15"/>
          <w:szCs w:val="15"/>
          <w:color w:val="000000"/>
        </w:rPr>
        <w:t xml:space="preserve"> or </w:t>
      </w:r>
      <w:r>
        <w:rPr>
          <w:rFonts w:ascii="Arial" w:cs="Arial" w:eastAsia="Arial" w:hAnsi="Arial"/>
          <w:sz w:val="15"/>
          <w:szCs w:val="15"/>
          <w:color w:val="2F2F2F"/>
        </w:rPr>
        <w:t>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w:t>
      </w:r>
      <w:r>
        <w:rPr>
          <w:rFonts w:ascii="Arial" w:cs="Arial" w:eastAsia="Arial" w:hAnsi="Arial"/>
          <w:sz w:val="15"/>
          <w:szCs w:val="15"/>
          <w:color w:val="000000"/>
        </w:rPr>
        <w:t>es to the recognition of operating lease expense in its Consolidated Statements of Income</w:t>
      </w:r>
      <w:r>
        <w:rPr>
          <w:rFonts w:ascii="Arial" w:cs="Arial" w:eastAsia="Arial" w:hAnsi="Arial"/>
          <w:sz w:val="15"/>
          <w:szCs w:val="15"/>
          <w:color w:val="2F2F2F"/>
        </w:rPr>
        <w:t>.</w:t>
      </w:r>
    </w:p>
    <w:p>
      <w:pPr>
        <w:spacing w:after="0" w:line="15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evaluating the impacts the adoption of this accounting standard will have on our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Business Combinations and Asset Acquisitions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Asset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Network Management Holdings LTD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0"/>
        <w:spacing w:after="0" w:line="294" w:lineRule="auto"/>
        <w:rPr>
          <w:rFonts w:ascii="Arial" w:cs="Arial" w:eastAsia="Arial" w:hAnsi="Arial"/>
          <w:sz w:val="15"/>
          <w:szCs w:val="15"/>
          <w:color w:val="auto"/>
        </w:rPr>
      </w:pPr>
      <w:r>
        <w:rPr>
          <w:rFonts w:ascii="Arial" w:cs="Arial" w:eastAsia="Arial" w:hAnsi="Arial"/>
          <w:sz w:val="15"/>
          <w:szCs w:val="15"/>
          <w:color w:val="auto"/>
        </w:rPr>
        <w:t xml:space="preserve">On January 31, 2017, we completed the previously announced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 countries with 212 towers in Mexico, 54 towers in Nicaragua, and 100 towers in Colombia. The consideration for the 366 wireless towers currently in operation was $62.6 million, which was funded through cash on hand, and is presented in NMS asset acquisition on the Condensed Consolidated Statements of Cash Flows. NMS conducts its operations through three non-U.S. subsidiaries and the Company has determined that the functional currencies for the Mexico,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w:anchor="page20">
        <w:r>
          <w:rPr>
            <w:rFonts w:ascii="Arial" w:cs="Arial" w:eastAsia="Arial" w:hAnsi="Arial"/>
            <w:sz w:val="15"/>
            <w:szCs w:val="15"/>
            <w:u w:val="single" w:color="auto"/>
            <w:color w:val="auto"/>
          </w:rPr>
          <w:t>See note 11</w:t>
        </w:r>
      </w:hyperlink>
      <w:r>
        <w:rPr>
          <w:rFonts w:ascii="Arial" w:cs="Arial" w:eastAsia="Arial" w:hAnsi="Arial"/>
          <w:sz w:val="15"/>
          <w:szCs w:val="15"/>
          <w:color w:val="auto"/>
        </w:rPr>
        <w:t>. The following is a summary of the estimated fair values of the assets acquired and liabilities assumed: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r>
      <w:tr>
        <w:trPr>
          <w:trHeight w:val="238"/>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36,417</w:t>
            </w:r>
          </w:p>
        </w:tc>
        <w:tc>
          <w:tcPr>
            <w:tcW w:w="100" w:type="dxa"/>
            <w:vAlign w:val="bottom"/>
            <w:shd w:val="clear" w:color="auto" w:fill="CFF0FC"/>
          </w:tcPr>
          <w:p>
            <w:pPr>
              <w:spacing w:after="0"/>
              <w:rPr>
                <w:sz w:val="20"/>
                <w:szCs w:val="20"/>
                <w:color w:val="auto"/>
              </w:rPr>
            </w:pP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Accounts receivable</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2,826</w:t>
            </w:r>
          </w:p>
        </w:tc>
        <w:tc>
          <w:tcPr>
            <w:tcW w:w="100" w:type="dxa"/>
            <w:vAlign w:val="bottom"/>
          </w:tcPr>
          <w:p>
            <w:pPr>
              <w:spacing w:after="0"/>
              <w:rPr>
                <w:sz w:val="19"/>
                <w:szCs w:val="19"/>
                <w:color w:val="auto"/>
              </w:rPr>
            </w:pP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w:t>
            </w:r>
          </w:p>
        </w:tc>
        <w:tc>
          <w:tcPr>
            <w:tcW w:w="100" w:type="dxa"/>
            <w:vAlign w:val="bottom"/>
            <w:shd w:val="clear" w:color="auto" w:fill="CFF0FC"/>
          </w:tcPr>
          <w:p>
            <w:pPr>
              <w:spacing w:after="0"/>
              <w:rPr>
                <w:sz w:val="19"/>
                <w:szCs w:val="19"/>
                <w:color w:val="auto"/>
              </w:rPr>
            </w:pP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Intangible assets</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52,437</w:t>
            </w:r>
          </w:p>
        </w:tc>
        <w:tc>
          <w:tcPr>
            <w:tcW w:w="100" w:type="dxa"/>
            <w:vAlign w:val="bottom"/>
          </w:tcPr>
          <w:p>
            <w:pPr>
              <w:spacing w:after="0"/>
              <w:rPr>
                <w:sz w:val="19"/>
                <w:szCs w:val="19"/>
                <w:color w:val="auto"/>
              </w:rPr>
            </w:pP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(8,895)</w:t>
            </w: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Intangible liabilities</w:t>
            </w: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7"/>
                <w:szCs w:val="17"/>
                <w:color w:val="auto"/>
              </w:rPr>
              <w:t>(3,440)</w:t>
            </w: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(18,403)</w:t>
            </w:r>
          </w:p>
        </w:tc>
      </w:tr>
      <w:tr>
        <w:trPr>
          <w:trHeight w:val="213"/>
        </w:trPr>
        <w:tc>
          <w:tcPr>
            <w:tcW w:w="8920" w:type="dxa"/>
            <w:vAlign w:val="bottom"/>
            <w:gridSpan w:val="2"/>
          </w:tcPr>
          <w:p>
            <w:pPr>
              <w:spacing w:after="0"/>
              <w:rPr>
                <w:sz w:val="20"/>
                <w:szCs w:val="20"/>
                <w:color w:val="auto"/>
              </w:rPr>
            </w:pPr>
            <w:r>
              <w:rPr>
                <w:rFonts w:ascii="Arial" w:cs="Arial" w:eastAsia="Arial" w:hAnsi="Arial"/>
                <w:sz w:val="17"/>
                <w:szCs w:val="17"/>
                <w:color w:val="auto"/>
              </w:rPr>
              <w:t>Total purchase consideration</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62,565</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1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16">
        <w:r>
          <w:rPr>
            <w:rFonts w:ascii="Arial" w:cs="Arial" w:eastAsia="Arial" w:hAnsi="Arial"/>
            <w:sz w:val="17"/>
            <w:szCs w:val="17"/>
            <w:u w:val="single" w:color="auto"/>
            <w:color w:val="auto"/>
          </w:rPr>
          <w:t>See Note 7</w:t>
        </w:r>
      </w:hyperlink>
      <w:r>
        <w:rPr>
          <w:rFonts w:ascii="Arial" w:cs="Arial" w:eastAsia="Arial" w:hAnsi="Arial"/>
          <w:sz w:val="17"/>
          <w:szCs w:val="17"/>
          <w:color w:val="auto"/>
        </w:rPr>
        <w:t>.</w:t>
      </w:r>
    </w:p>
    <w:p>
      <w:pPr>
        <w:spacing w:after="0" w:line="172"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On March 15, 2017, construction was completed on 24 towers that were under development, and we acquired the towers pursuant to the purchase agreement for approximately $2.1 million.</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Business Combinations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Tower Cloud, Inc.</w:t>
      </w:r>
    </w:p>
    <w:p>
      <w:pPr>
        <w:spacing w:after="0" w:line="166" w:lineRule="exact"/>
        <w:rPr>
          <w:sz w:val="20"/>
          <w:szCs w:val="20"/>
          <w:color w:val="auto"/>
        </w:rPr>
      </w:pPr>
    </w:p>
    <w:p>
      <w:pPr>
        <w:ind w:right="60"/>
        <w:spacing w:after="0" w:line="295" w:lineRule="auto"/>
        <w:rPr>
          <w:rFonts w:ascii="Arial" w:cs="Arial" w:eastAsia="Arial" w:hAnsi="Arial"/>
          <w:sz w:val="15"/>
          <w:szCs w:val="15"/>
          <w:color w:val="auto"/>
        </w:rPr>
      </w:pPr>
      <w:r>
        <w:rPr>
          <w:rFonts w:ascii="Arial" w:cs="Arial" w:eastAsia="Arial" w:hAnsi="Arial"/>
          <w:sz w:val="15"/>
          <w:szCs w:val="15"/>
          <w:color w:val="auto"/>
        </w:rPr>
        <w:t xml:space="preserve">On August 31, 2016, we acquired 100% of the outstanding equity of Tower Cloud, Inc. (“Tower Cloud”) for $187.5 million in cash and 1.9 million shares of our common stock with an acquisition date fair value of $58.5 million. Additional contingent consideration of up to $130 million, with an acquisition date fair value of $98.6 million, may be paid upon the achievement of certain defined operational and financial milestones. </w:t>
      </w:r>
      <w:hyperlink w:anchor="page13">
        <w:r>
          <w:rPr>
            <w:rFonts w:ascii="Arial" w:cs="Arial" w:eastAsia="Arial" w:hAnsi="Arial"/>
            <w:sz w:val="15"/>
            <w:szCs w:val="15"/>
            <w:u w:val="single" w:color="auto"/>
            <w:color w:val="0000EE"/>
          </w:rPr>
          <w:t>See Note 4</w:t>
        </w:r>
      </w:hyperlink>
      <w:r>
        <w:rPr>
          <w:rFonts w:ascii="Arial" w:cs="Arial" w:eastAsia="Arial" w:hAnsi="Arial"/>
          <w:sz w:val="15"/>
          <w:szCs w:val="15"/>
          <w:color w:val="auto"/>
        </w:rPr>
        <w:t xml:space="preserve">. At the Company’s discretion, a combination of cash and Uniti common shares may be used to satisfy the contingent consideration payments, provided that at least 50%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During the first quarter of 2017, certain contractual working capital adjustments resulted in a $0.2 million reduction of the purchase price and goodwill. </w:t>
      </w:r>
      <w:hyperlink w:anchor="page16">
        <w:r>
          <w:rPr>
            <w:rFonts w:ascii="Arial" w:cs="Arial" w:eastAsia="Arial" w:hAnsi="Arial"/>
            <w:sz w:val="15"/>
            <w:szCs w:val="15"/>
            <w:u w:val="single" w:color="auto"/>
            <w:color w:val="0000EE"/>
          </w:rPr>
          <w:t>See Note 7</w:t>
        </w:r>
      </w:hyperlink>
      <w:r>
        <w:rPr>
          <w:rFonts w:ascii="Arial" w:cs="Arial" w:eastAsia="Arial" w:hAnsi="Arial"/>
          <w:sz w:val="15"/>
          <w:szCs w:val="15"/>
          <w:color w:val="auto"/>
        </w:rPr>
        <w:t>. The following is a summary of the estimated fair values of the assets acquired and liabilities assumed: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2"/>
          </w:tcPr>
          <w:p>
            <w:pPr>
              <w:jc w:val="center"/>
              <w:ind w:left="2394"/>
              <w:spacing w:after="0"/>
              <w:rPr>
                <w:sz w:val="20"/>
                <w:szCs w:val="20"/>
                <w:color w:val="auto"/>
              </w:rPr>
            </w:pPr>
            <w:r>
              <w:rPr>
                <w:rFonts w:ascii="Arial" w:cs="Arial" w:eastAsia="Arial" w:hAnsi="Arial"/>
                <w:sz w:val="17"/>
                <w:szCs w:val="17"/>
                <w:b w:val="1"/>
                <w:bCs w:val="1"/>
                <w:color w:val="auto"/>
                <w:w w:val="95"/>
              </w:rPr>
              <w:t>Uniti Group Inc.</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8940" w:type="dxa"/>
            <w:vAlign w:val="bottom"/>
            <w:gridSpan w:val="2"/>
          </w:tcPr>
          <w:p>
            <w:pPr>
              <w:jc w:val="center"/>
              <w:ind w:left="2394"/>
              <w:spacing w:after="0"/>
              <w:rPr>
                <w:sz w:val="20"/>
                <w:szCs w:val="20"/>
                <w:color w:val="auto"/>
              </w:rPr>
            </w:pPr>
            <w:r>
              <w:rPr>
                <w:rFonts w:ascii="Arial" w:cs="Arial" w:eastAsia="Arial" w:hAnsi="Arial"/>
                <w:sz w:val="17"/>
                <w:szCs w:val="17"/>
                <w:b w:val="1"/>
                <w:bCs w:val="1"/>
                <w:color w:val="auto"/>
                <w:w w:val="89"/>
              </w:rPr>
              <w:t>Notes to the Condensed Consolidated Financial Statements – Continued</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8940" w:type="dxa"/>
            <w:vAlign w:val="bottom"/>
            <w:gridSpan w:val="2"/>
          </w:tcPr>
          <w:p>
            <w:pPr>
              <w:jc w:val="center"/>
              <w:ind w:left="2394"/>
              <w:spacing w:after="0"/>
              <w:rPr>
                <w:sz w:val="20"/>
                <w:szCs w:val="20"/>
                <w:color w:val="auto"/>
              </w:rPr>
            </w:pPr>
            <w:r>
              <w:rPr>
                <w:rFonts w:ascii="Arial" w:cs="Arial" w:eastAsia="Arial" w:hAnsi="Arial"/>
                <w:sz w:val="17"/>
                <w:szCs w:val="17"/>
                <w:b w:val="1"/>
                <w:bCs w:val="1"/>
                <w:color w:val="auto"/>
                <w:w w:val="92"/>
              </w:rPr>
              <w:t>(unaudited)</w:t>
            </w:r>
          </w:p>
        </w:tc>
        <w:tc>
          <w:tcPr>
            <w:tcW w:w="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87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24"/>
                <w:szCs w:val="24"/>
                <w:color w:val="auto"/>
              </w:rPr>
            </w:pPr>
          </w:p>
        </w:tc>
      </w:tr>
      <w:tr>
        <w:trPr>
          <w:trHeight w:val="238"/>
        </w:trPr>
        <w:tc>
          <w:tcPr>
            <w:tcW w:w="8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163,680</w:t>
            </w:r>
          </w:p>
        </w:tc>
        <w:tc>
          <w:tcPr>
            <w:tcW w:w="100" w:type="dxa"/>
            <w:vAlign w:val="bottom"/>
            <w:shd w:val="clear" w:color="auto" w:fill="CFF0FC"/>
          </w:tcPr>
          <w:p>
            <w:pPr>
              <w:spacing w:after="0"/>
              <w:rPr>
                <w:sz w:val="20"/>
                <w:szCs w:val="20"/>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14,346</w:t>
            </w:r>
          </w:p>
        </w:tc>
        <w:tc>
          <w:tcPr>
            <w:tcW w:w="100" w:type="dxa"/>
            <w:vAlign w:val="bottom"/>
          </w:tcPr>
          <w:p>
            <w:pPr>
              <w:spacing w:after="0"/>
              <w:rPr>
                <w:sz w:val="19"/>
                <w:szCs w:val="19"/>
                <w:color w:val="auto"/>
              </w:rPr>
            </w:pPr>
          </w:p>
        </w:tc>
      </w:tr>
      <w:tr>
        <w:trPr>
          <w:trHeight w:val="220"/>
        </w:trPr>
        <w:tc>
          <w:tcPr>
            <w:tcW w:w="8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3,043</w:t>
            </w:r>
          </w:p>
        </w:tc>
        <w:tc>
          <w:tcPr>
            <w:tcW w:w="100" w:type="dxa"/>
            <w:vAlign w:val="bottom"/>
            <w:shd w:val="clear" w:color="auto" w:fill="CFF0FC"/>
          </w:tcPr>
          <w:p>
            <w:pPr>
              <w:spacing w:after="0"/>
              <w:rPr>
                <w:sz w:val="19"/>
                <w:szCs w:val="19"/>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2,595</w:t>
            </w:r>
          </w:p>
        </w:tc>
        <w:tc>
          <w:tcPr>
            <w:tcW w:w="100" w:type="dxa"/>
            <w:vAlign w:val="bottom"/>
          </w:tcPr>
          <w:p>
            <w:pPr>
              <w:spacing w:after="0"/>
              <w:rPr>
                <w:sz w:val="19"/>
                <w:szCs w:val="19"/>
                <w:color w:val="auto"/>
              </w:rPr>
            </w:pPr>
          </w:p>
        </w:tc>
      </w:tr>
      <w:tr>
        <w:trPr>
          <w:trHeight w:val="220"/>
        </w:trPr>
        <w:tc>
          <w:tcPr>
            <w:tcW w:w="8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116,218</w:t>
            </w:r>
          </w:p>
        </w:tc>
        <w:tc>
          <w:tcPr>
            <w:tcW w:w="100" w:type="dxa"/>
            <w:vAlign w:val="bottom"/>
            <w:shd w:val="clear" w:color="auto" w:fill="CFF0FC"/>
          </w:tcPr>
          <w:p>
            <w:pPr>
              <w:spacing w:after="0"/>
              <w:rPr>
                <w:sz w:val="19"/>
                <w:szCs w:val="19"/>
                <w:color w:val="auto"/>
              </w:rPr>
            </w:pPr>
          </w:p>
        </w:tc>
      </w:tr>
      <w:tr>
        <w:trPr>
          <w:trHeight w:val="220"/>
        </w:trPr>
        <w:tc>
          <w:tcPr>
            <w:tcW w:w="8940" w:type="dxa"/>
            <w:vAlign w:val="bottom"/>
            <w:gridSpan w:val="2"/>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(16,782)</w:t>
            </w:r>
          </w:p>
        </w:tc>
      </w:tr>
      <w:tr>
        <w:trPr>
          <w:trHeight w:val="220"/>
        </w:trPr>
        <w:tc>
          <w:tcPr>
            <w:tcW w:w="8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(23,900)</w:t>
            </w:r>
          </w:p>
        </w:tc>
      </w:tr>
      <w:tr>
        <w:trPr>
          <w:trHeight w:val="220"/>
        </w:trPr>
        <w:tc>
          <w:tcPr>
            <w:tcW w:w="89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(24,866)</w:t>
            </w:r>
          </w:p>
        </w:tc>
      </w:tr>
      <w:tr>
        <w:trPr>
          <w:trHeight w:val="220"/>
        </w:trPr>
        <w:tc>
          <w:tcPr>
            <w:tcW w:w="8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Capital lease obligations</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(6,750)</w:t>
            </w:r>
          </w:p>
        </w:tc>
      </w:tr>
      <w:tr>
        <w:trPr>
          <w:trHeight w:val="213"/>
        </w:trPr>
        <w:tc>
          <w:tcPr>
            <w:tcW w:w="8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Net assets acquired</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227,584</w:t>
            </w:r>
          </w:p>
        </w:tc>
        <w:tc>
          <w:tcPr>
            <w:tcW w:w="100" w:type="dxa"/>
            <w:vAlign w:val="bottom"/>
            <w:tcBorders>
              <w:bottom w:val="single" w:sz="8" w:color="CFF0FC"/>
            </w:tcBorders>
          </w:tcPr>
          <w:p>
            <w:pPr>
              <w:spacing w:after="0"/>
              <w:rPr>
                <w:sz w:val="18"/>
                <w:szCs w:val="18"/>
                <w:color w:val="auto"/>
              </w:rPr>
            </w:pPr>
          </w:p>
        </w:tc>
      </w:tr>
      <w:tr>
        <w:trPr>
          <w:trHeight w:val="213"/>
        </w:trPr>
        <w:tc>
          <w:tcPr>
            <w:tcW w:w="8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9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117,032</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Fair Value of Financial Instruments</w:t>
      </w:r>
    </w:p>
    <w:p>
      <w:pPr>
        <w:spacing w:after="0" w:line="12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2 </w:t>
      </w:r>
      <w:r>
        <w:rPr>
          <w:rFonts w:ascii="Arial" w:cs="Arial" w:eastAsia="Arial" w:hAnsi="Arial"/>
          <w:sz w:val="17"/>
          <w:szCs w:val="17"/>
          <w:color w:val="auto"/>
        </w:rPr>
        <w:t>– Inputs other than quoted prices included within Level 1 that are observable for the asset or liability, either directly or indirectly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3 </w:t>
      </w:r>
      <w:r>
        <w:rPr>
          <w:rFonts w:ascii="Arial" w:cs="Arial" w:eastAsia="Arial" w:hAnsi="Arial"/>
          <w:sz w:val="17"/>
          <w:szCs w:val="17"/>
          <w:color w:val="auto"/>
        </w:rPr>
        <w:t>– Unobservable inputs for the asset or liability</w:t>
      </w:r>
    </w:p>
    <w:p>
      <w:pPr>
        <w:spacing w:after="0" w:line="218"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Our financial instruments consist of cash and cash equivalents, accounts and other receivables, a derivative liability, our outstanding notes and other debt, and accounts, interest and dividends payable.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our financial instruments at March 31, 2017 and December 31, 2016: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Prices with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Prices with</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60" w:type="dxa"/>
            <w:vAlign w:val="bottom"/>
          </w:tcPr>
          <w:p>
            <w:pPr>
              <w:jc w:val="center"/>
              <w:ind w:left="11"/>
              <w:spacing w:after="0" w:line="142" w:lineRule="exact"/>
              <w:rPr>
                <w:sz w:val="20"/>
                <w:szCs w:val="20"/>
                <w:color w:val="auto"/>
              </w:rPr>
            </w:pPr>
            <w:r>
              <w:rPr>
                <w:rFonts w:ascii="Arial" w:cs="Arial" w:eastAsia="Arial" w:hAnsi="Arial"/>
                <w:sz w:val="14"/>
                <w:szCs w:val="14"/>
                <w:b w:val="1"/>
                <w:bCs w:val="1"/>
                <w:color w:val="auto"/>
                <w:w w:val="91"/>
              </w:rPr>
              <w:t>Active 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5"/>
        </w:trPr>
        <w:tc>
          <w:tcPr>
            <w:tcW w:w="64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213"/>
        </w:trPr>
        <w:tc>
          <w:tcPr>
            <w:tcW w:w="6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At March 31, 2017</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2,100,069</w:t>
            </w:r>
          </w:p>
        </w:tc>
        <w:tc>
          <w:tcPr>
            <w:tcW w:w="1160" w:type="dxa"/>
            <w:vAlign w:val="bottom"/>
            <w:gridSpan w:val="2"/>
            <w:shd w:val="clear" w:color="auto" w:fill="CFF0FC"/>
          </w:tcPr>
          <w:p>
            <w:pPr>
              <w:jc w:val="right"/>
              <w:ind w:right="91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2,100,069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567,875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567,875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1,168,275</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1,168,275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405,000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Derivative liability</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Contingent consideration</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90,719</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4,333,474</w:t>
            </w:r>
          </w:p>
        </w:tc>
        <w:tc>
          <w:tcPr>
            <w:tcW w:w="1160" w:type="dxa"/>
            <w:vAlign w:val="bottom"/>
            <w:gridSpan w:val="2"/>
            <w:shd w:val="clear" w:color="auto" w:fill="CFF0FC"/>
          </w:tcPr>
          <w:p>
            <w:pPr>
              <w:jc w:val="right"/>
              <w:ind w:right="91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4,242,755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Prices with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Prices with</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120" w:type="dxa"/>
            <w:vAlign w:val="bottom"/>
          </w:tcPr>
          <w:p>
            <w:pPr>
              <w:jc w:val="center"/>
              <w:ind w:left="29"/>
              <w:spacing w:after="0" w:line="142" w:lineRule="exact"/>
              <w:rPr>
                <w:sz w:val="20"/>
                <w:szCs w:val="20"/>
                <w:color w:val="auto"/>
              </w:rPr>
            </w:pPr>
            <w:r>
              <w:rPr>
                <w:rFonts w:ascii="Arial" w:cs="Arial" w:eastAsia="Arial" w:hAnsi="Arial"/>
                <w:sz w:val="14"/>
                <w:szCs w:val="14"/>
                <w:b w:val="1"/>
                <w:bCs w:val="1"/>
                <w:color w:val="auto"/>
                <w:w w:val="91"/>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1"/>
              <w:spacing w:after="0" w:line="142"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6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At December 31, 2016</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2,139,586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2,139,586</w:t>
            </w: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569,250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569,250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1,176,600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1,176,600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404,000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Derivative liability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0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Contingent consideration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98,600</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98,600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4,394,138</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4,295,538</w:t>
            </w: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The carrying value of cash and cash equivalents, accounts and other receivables, and accounts, interest and dividends payable approximate fair values due to the short-term nature of these financial instruments.</w:t>
      </w:r>
    </w:p>
    <w:p>
      <w:pPr>
        <w:spacing w:after="0" w:line="159" w:lineRule="exact"/>
        <w:rPr>
          <w:sz w:val="20"/>
          <w:szCs w:val="20"/>
          <w:color w:val="auto"/>
        </w:rPr>
      </w:pPr>
    </w:p>
    <w:p>
      <w:pPr>
        <w:ind w:right="40"/>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The total principal balance of our outstanding notes and other debt was $4.16 billion at March 31, 2017, with a fair value of $4.24 billion. The estimated fair value of our outstanding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5">
        <w:r>
          <w:rPr>
            <w:rFonts w:ascii="Arial" w:cs="Arial" w:eastAsia="Arial" w:hAnsi="Arial"/>
            <w:sz w:val="16"/>
            <w:szCs w:val="16"/>
            <w:u w:val="single" w:color="auto"/>
            <w:color w:val="0000EE"/>
          </w:rPr>
          <w:t>See Note 6</w:t>
        </w:r>
      </w:hyperlink>
      <w:r>
        <w:rPr>
          <w:rFonts w:ascii="Arial" w:cs="Arial" w:eastAsia="Arial" w:hAnsi="Arial"/>
          <w:sz w:val="16"/>
          <w:szCs w:val="16"/>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March 31, 2017,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$98.6 million as of August 31, 2016. The fair value of the contingent consideration as of August 31, 2016, was determined using a discounted cash flow model and probability adjusted estimates of the future earnings and is classified as Level 3. During the three months ended March 31, 2017, we paid $18.8 million for the achievement of certain milestones in accordance with the Tower Cloud merger agreement. Changes in the fair value of contingent consideration will be recorded in our Condensed Consolidated Statement of Income in the period in which the change occurs. There was a $10.9 million increase in the fair value of the contingent consideration as of March 31, 2017 that was recorded in Other expenses on the Condensed Consolidated Statements of Income during the three months ended March 31,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 forward of our liability measured at fair value on a recurring basis using unobservable inputs (Level 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0"/>
              </w:rPr>
              <w:t>December 31, 2016</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Transfers into Level 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(Gain)/Loss included</w:t>
            </w:r>
          </w:p>
        </w:tc>
        <w:tc>
          <w:tcPr>
            <w:tcW w:w="220" w:type="dxa"/>
            <w:vAlign w:val="bottom"/>
          </w:tcPr>
          <w:p>
            <w:pPr>
              <w:spacing w:after="0"/>
              <w:rPr>
                <w:sz w:val="14"/>
                <w:szCs w:val="14"/>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Settlements</w:t>
            </w:r>
          </w:p>
        </w:tc>
        <w:tc>
          <w:tcPr>
            <w:tcW w:w="2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9"/>
              </w:rPr>
              <w:t>in earnings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Contingent consideration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98,600</w:t>
            </w:r>
          </w:p>
        </w:tc>
        <w:tc>
          <w:tcPr>
            <w:tcW w:w="1620" w:type="dxa"/>
            <w:vAlign w:val="bottom"/>
            <w:gridSpan w:val="2"/>
            <w:shd w:val="clear" w:color="auto" w:fill="CFF0FC"/>
          </w:tcPr>
          <w:p>
            <w:pPr>
              <w:jc w:val="right"/>
              <w:ind w:right="123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(18,791)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property, plant and equipment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Depreciable Lives</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Land</w:t>
            </w:r>
          </w:p>
        </w:tc>
        <w:tc>
          <w:tcPr>
            <w:tcW w:w="8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Indefinite   $</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28,385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26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- 40 years</w:t>
            </w:r>
          </w:p>
        </w:tc>
        <w:tc>
          <w:tcPr>
            <w:tcW w:w="1680" w:type="dxa"/>
            <w:vAlign w:val="bottom"/>
          </w:tcPr>
          <w:p>
            <w:pPr>
              <w:jc w:val="right"/>
              <w:spacing w:after="0"/>
              <w:rPr>
                <w:sz w:val="20"/>
                <w:szCs w:val="20"/>
                <w:color w:val="auto"/>
              </w:rPr>
            </w:pPr>
            <w:r>
              <w:rPr>
                <w:rFonts w:ascii="Arial" w:cs="Arial" w:eastAsia="Arial" w:hAnsi="Arial"/>
                <w:sz w:val="17"/>
                <w:szCs w:val="17"/>
                <w:color w:val="auto"/>
              </w:rPr>
              <w:t>320,061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318,967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Real property interests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w w:val="92"/>
              </w:rPr>
              <w:t>- 99 years</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20,313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Poles</w:t>
            </w: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26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- 40 years</w:t>
            </w:r>
          </w:p>
        </w:tc>
        <w:tc>
          <w:tcPr>
            <w:tcW w:w="1680" w:type="dxa"/>
            <w:vAlign w:val="bottom"/>
          </w:tcPr>
          <w:p>
            <w:pPr>
              <w:jc w:val="right"/>
              <w:spacing w:after="0"/>
              <w:rPr>
                <w:sz w:val="20"/>
                <w:szCs w:val="20"/>
                <w:color w:val="auto"/>
              </w:rPr>
            </w:pPr>
            <w:r>
              <w:rPr>
                <w:rFonts w:ascii="Arial" w:cs="Arial" w:eastAsia="Arial" w:hAnsi="Arial"/>
                <w:sz w:val="17"/>
                <w:szCs w:val="17"/>
                <w:color w:val="auto"/>
              </w:rPr>
              <w:t>234,785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234,393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Fiber</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w w:val="92"/>
              </w:rPr>
              <w:t>- 40 years</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2,264,718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2,243,822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840" w:type="dxa"/>
            <w:vAlign w:val="bottom"/>
          </w:tcPr>
          <w:p>
            <w:pPr>
              <w:spacing w:after="0"/>
              <w:rPr>
                <w:sz w:val="19"/>
                <w:szCs w:val="19"/>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7"/>
                <w:szCs w:val="17"/>
                <w:color w:val="auto"/>
                <w:w w:val="87"/>
              </w:rPr>
              <w:t>5 - 7 years</w:t>
            </w:r>
          </w:p>
        </w:tc>
        <w:tc>
          <w:tcPr>
            <w:tcW w:w="1680" w:type="dxa"/>
            <w:vAlign w:val="bottom"/>
          </w:tcPr>
          <w:p>
            <w:pPr>
              <w:jc w:val="right"/>
              <w:spacing w:after="0"/>
              <w:rPr>
                <w:sz w:val="20"/>
                <w:szCs w:val="20"/>
                <w:color w:val="auto"/>
              </w:rPr>
            </w:pPr>
            <w:r>
              <w:rPr>
                <w:rFonts w:ascii="Arial" w:cs="Arial" w:eastAsia="Arial" w:hAnsi="Arial"/>
                <w:sz w:val="17"/>
                <w:szCs w:val="17"/>
                <w:color w:val="auto"/>
              </w:rPr>
              <w:t>134,461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130,945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Copper</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w w:val="92"/>
              </w:rPr>
              <w:t>- 40 years</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3,553,467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3,538,566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Conduit</w:t>
            </w: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26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- 47 years</w:t>
            </w:r>
          </w:p>
        </w:tc>
        <w:tc>
          <w:tcPr>
            <w:tcW w:w="1680" w:type="dxa"/>
            <w:vAlign w:val="bottom"/>
          </w:tcPr>
          <w:p>
            <w:pPr>
              <w:jc w:val="right"/>
              <w:spacing w:after="0"/>
              <w:rPr>
                <w:sz w:val="20"/>
                <w:szCs w:val="20"/>
                <w:color w:val="auto"/>
              </w:rPr>
            </w:pPr>
            <w:r>
              <w:rPr>
                <w:rFonts w:ascii="Arial" w:cs="Arial" w:eastAsia="Arial" w:hAnsi="Arial"/>
                <w:sz w:val="17"/>
                <w:szCs w:val="17"/>
                <w:color w:val="auto"/>
              </w:rPr>
              <w:t>90,531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 assets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2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w w:val="92"/>
              </w:rPr>
              <w:t>- 49 years</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45,523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Capital lease assets</w:t>
            </w:r>
          </w:p>
        </w:tc>
        <w:tc>
          <w:tcPr>
            <w:tcW w:w="2100" w:type="dxa"/>
            <w:vAlign w:val="bottom"/>
            <w:gridSpan w:val="4"/>
          </w:tcPr>
          <w:p>
            <w:pPr>
              <w:jc w:val="right"/>
              <w:ind w:right="540"/>
              <w:spacing w:after="0"/>
              <w:rPr>
                <w:sz w:val="20"/>
                <w:szCs w:val="20"/>
                <w:color w:val="auto"/>
              </w:rPr>
            </w:pPr>
            <w:r>
              <w:rPr>
                <w:rFonts w:ascii="Arial" w:cs="Arial" w:eastAsia="Arial" w:hAnsi="Arial"/>
                <w:sz w:val="17"/>
                <w:szCs w:val="17"/>
                <w:color w:val="auto"/>
              </w:rPr>
              <w:t>See Note 3</w:t>
            </w:r>
          </w:p>
        </w:tc>
        <w:tc>
          <w:tcPr>
            <w:tcW w:w="1680" w:type="dxa"/>
            <w:vAlign w:val="bottom"/>
          </w:tcPr>
          <w:p>
            <w:pPr>
              <w:jc w:val="right"/>
              <w:spacing w:after="0"/>
              <w:rPr>
                <w:sz w:val="20"/>
                <w:szCs w:val="20"/>
                <w:color w:val="auto"/>
              </w:rPr>
            </w:pPr>
            <w:r>
              <w:rPr>
                <w:rFonts w:ascii="Arial" w:cs="Arial" w:eastAsia="Arial" w:hAnsi="Arial"/>
                <w:sz w:val="17"/>
                <w:szCs w:val="17"/>
                <w:color w:val="auto"/>
              </w:rPr>
              <w:t>90,279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89,723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260" w:type="dxa"/>
            <w:vAlign w:val="bottom"/>
            <w:gridSpan w:val="3"/>
            <w:shd w:val="clear" w:color="auto" w:fill="CFF0FC"/>
          </w:tcPr>
          <w:p>
            <w:pPr>
              <w:jc w:val="right"/>
              <w:ind w:right="540"/>
              <w:spacing w:after="0"/>
              <w:rPr>
                <w:sz w:val="20"/>
                <w:szCs w:val="20"/>
                <w:color w:val="auto"/>
              </w:rPr>
            </w:pPr>
            <w:r>
              <w:rPr>
                <w:rFonts w:ascii="Arial" w:cs="Arial" w:eastAsia="Arial" w:hAnsi="Arial"/>
                <w:sz w:val="17"/>
                <w:szCs w:val="17"/>
                <w:color w:val="auto"/>
                <w:w w:val="92"/>
              </w:rPr>
              <w:t>- 20 years</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rPr>
              <w:t>Corporate assets</w:t>
            </w:r>
          </w:p>
        </w:tc>
        <w:tc>
          <w:tcPr>
            <w:tcW w:w="840" w:type="dxa"/>
            <w:vAlign w:val="bottom"/>
          </w:tcPr>
          <w:p>
            <w:pPr>
              <w:spacing w:after="0"/>
              <w:rPr>
                <w:sz w:val="19"/>
                <w:szCs w:val="19"/>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7"/>
                <w:szCs w:val="17"/>
                <w:color w:val="auto"/>
                <w:w w:val="87"/>
              </w:rPr>
              <w:t>3 - 7 years</w:t>
            </w:r>
          </w:p>
        </w:tc>
        <w:tc>
          <w:tcPr>
            <w:tcW w:w="1680" w:type="dxa"/>
            <w:vAlign w:val="bottom"/>
          </w:tcPr>
          <w:p>
            <w:pPr>
              <w:jc w:val="right"/>
              <w:spacing w:after="0"/>
              <w:rPr>
                <w:sz w:val="20"/>
                <w:szCs w:val="20"/>
                <w:color w:val="auto"/>
              </w:rPr>
            </w:pPr>
            <w:r>
              <w:rPr>
                <w:rFonts w:ascii="Arial" w:cs="Arial" w:eastAsia="Arial" w:hAnsi="Arial"/>
                <w:sz w:val="17"/>
                <w:szCs w:val="17"/>
                <w:color w:val="auto"/>
              </w:rPr>
              <w:t>2,612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2100" w:type="dxa"/>
            <w:vAlign w:val="bottom"/>
            <w:gridSpan w:val="4"/>
            <w:shd w:val="clear" w:color="auto" w:fill="CFF0FC"/>
          </w:tcPr>
          <w:p>
            <w:pPr>
              <w:jc w:val="right"/>
              <w:ind w:right="540"/>
              <w:spacing w:after="0"/>
              <w:rPr>
                <w:sz w:val="20"/>
                <w:szCs w:val="20"/>
                <w:color w:val="auto"/>
              </w:rPr>
            </w:pPr>
            <w:r>
              <w:rPr>
                <w:rFonts w:ascii="Arial" w:cs="Arial" w:eastAsia="Arial" w:hAnsi="Arial"/>
                <w:sz w:val="17"/>
                <w:szCs w:val="17"/>
                <w:color w:val="auto"/>
              </w:rPr>
              <w:t>See Note 3</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61,293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6,851,727</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6,751,076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(4,179,378)</w:t>
            </w:r>
          </w:p>
        </w:tc>
        <w:tc>
          <w:tcPr>
            <w:tcW w:w="2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(4,081,039)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7"/>
                <w:szCs w:val="17"/>
                <w:color w:val="auto"/>
              </w:rPr>
              <w:t>Net property, plant and equipment</w:t>
            </w: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2,672,349</w:t>
            </w:r>
          </w:p>
        </w:tc>
        <w:tc>
          <w:tcPr>
            <w:tcW w:w="3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2,670,037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March 31, 2017 and 2016 was $98.9 million and $85.5 million,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Derivative Instruments and Hedging Activities</w:t>
      </w:r>
    </w:p>
    <w:p>
      <w:pPr>
        <w:spacing w:after="0" w:line="121" w:lineRule="exact"/>
        <w:rPr>
          <w:sz w:val="20"/>
          <w:szCs w:val="20"/>
          <w:color w:val="auto"/>
        </w:rPr>
      </w:pPr>
    </w:p>
    <w:p>
      <w:pPr>
        <w:ind w:right="400"/>
        <w:spacing w:after="0" w:line="315"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the presentation in our Condensed Consolidated Balance Sheet: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Location on Condensed Consolidated</w:t>
            </w:r>
          </w:p>
        </w:tc>
        <w:tc>
          <w:tcPr>
            <w:tcW w:w="240" w:type="dxa"/>
            <w:vAlign w:val="bottom"/>
          </w:tcPr>
          <w:p>
            <w:pPr>
              <w:spacing w:after="0"/>
              <w:rPr>
                <w:sz w:val="14"/>
                <w:szCs w:val="14"/>
                <w:color w:val="auto"/>
              </w:rPr>
            </w:pPr>
          </w:p>
        </w:tc>
        <w:tc>
          <w:tcPr>
            <w:tcW w:w="15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 Sheet</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rate swaps</w:t>
            </w:r>
          </w:p>
        </w:tc>
        <w:tc>
          <w:tcPr>
            <w:tcW w:w="276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8"/>
              </w:rPr>
              <w:t>Derivative liability</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As of March 31, 2017 and December 31, 2016, all of the interest rate swaps were valued in net unrealized loss positions and recognized as liability balances within the derivative liability balance. For the three months ended March 31, 2017 and 2016, the amount recorded in other comprehensive income related to the unrealized loss on derivative instruments was $7.1 million and $46.4 million, respectively. The amount reclassified out of other comprehensive income into interest expense on our Condensed Consolidated Statement of Income for the three months ended March 31, 2017 and 2016 was $11.6 million and $5.9 million, respectively. For the three months ended March 31, 2017 and 2016, there was no ineffective portion of the change in fair value derivatives.</w:t>
      </w:r>
    </w:p>
    <w:p>
      <w:pPr>
        <w:spacing w:after="0" w:line="163" w:lineRule="exact"/>
        <w:rPr>
          <w:sz w:val="20"/>
          <w:szCs w:val="20"/>
          <w:color w:val="auto"/>
        </w:rPr>
      </w:pPr>
    </w:p>
    <w:p>
      <w:pPr>
        <w:jc w:val="both"/>
        <w:ind w:right="80"/>
        <w:spacing w:after="0" w:line="352" w:lineRule="auto"/>
        <w:rPr>
          <w:sz w:val="20"/>
          <w:szCs w:val="20"/>
          <w:color w:val="auto"/>
        </w:rPr>
      </w:pPr>
      <w:r>
        <w:rPr>
          <w:rFonts w:ascii="Arial" w:cs="Arial" w:eastAsia="Arial" w:hAnsi="Arial"/>
          <w:sz w:val="15"/>
          <w:szCs w:val="15"/>
          <w:color w:val="auto"/>
        </w:rPr>
        <w:t>Amounts reported in accumulated other comprehensive income (loss) related to derivatives will be reclassified to interest expense as interest payments are made on our variable-rate debt. During the next twelve months, beginning April 1, 2017, we estimate that $28.4 million will be reclassified as an increase to interest expense.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occurring during the three months ended March 31, 2017,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Fiber Infrastructure</w:t>
            </w:r>
          </w:p>
        </w:tc>
        <w:tc>
          <w:tcPr>
            <w:tcW w:w="3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7"/>
                <w:szCs w:val="17"/>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at December 31, 2016</w:t>
            </w:r>
          </w:p>
        </w:tc>
        <w:tc>
          <w:tcPr>
            <w:tcW w:w="640" w:type="dxa"/>
            <w:vAlign w:val="bottom"/>
            <w:gridSpan w:val="2"/>
            <w:shd w:val="clear" w:color="auto" w:fill="CFF0FC"/>
          </w:tcPr>
          <w:p>
            <w:pPr>
              <w:jc w:val="right"/>
              <w:ind w:right="194"/>
              <w:spacing w:after="0"/>
              <w:rPr>
                <w:sz w:val="20"/>
                <w:szCs w:val="20"/>
                <w:color w:val="auto"/>
              </w:rPr>
            </w:pPr>
            <w:r>
              <w:rPr>
                <w:rFonts w:ascii="Arial" w:cs="Arial" w:eastAsia="Arial" w:hAnsi="Arial"/>
                <w:sz w:val="17"/>
                <w:szCs w:val="17"/>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262,334</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262,334</w:t>
            </w:r>
          </w:p>
        </w:tc>
        <w:tc>
          <w:tcPr>
            <w:tcW w:w="100" w:type="dxa"/>
            <w:vAlign w:val="bottom"/>
            <w:shd w:val="clear" w:color="auto" w:fill="CFF0FC"/>
          </w:tcPr>
          <w:p>
            <w:pPr>
              <w:spacing w:after="0"/>
              <w:rPr>
                <w:sz w:val="18"/>
                <w:szCs w:val="18"/>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7"/>
                <w:szCs w:val="17"/>
                <w:color w:val="auto"/>
              </w:rPr>
              <w:t>Goodwill associated with 2017 acquisitions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purchase accounting adjustments</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5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(248)</w:t>
            </w:r>
          </w:p>
        </w:tc>
        <w:tc>
          <w:tcPr>
            <w:tcW w:w="6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(248)</w:t>
            </w: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Goodwill at March 31, 2017</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262,086</w:t>
            </w:r>
          </w:p>
        </w:tc>
        <w:tc>
          <w:tcPr>
            <w:tcW w:w="3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262,086</w:t>
            </w: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intangible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 2017</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5"/>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Accumulated Amortization</w:t>
            </w:r>
          </w:p>
        </w:tc>
        <w:tc>
          <w:tcPr>
            <w:tcW w:w="40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Accumulated Amortization</w:t>
            </w:r>
          </w:p>
        </w:tc>
      </w:tr>
      <w:tr>
        <w:trPr>
          <w:trHeight w:val="225"/>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Indefinite life intangible assets:</w:t>
            </w: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2,000</w:t>
            </w:r>
          </w:p>
        </w:tc>
        <w:tc>
          <w:tcPr>
            <w:tcW w:w="240" w:type="dxa"/>
            <w:vAlign w:val="bottom"/>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Pr>
          <w:p>
            <w:pPr>
              <w:spacing w:after="0"/>
              <w:rPr>
                <w:sz w:val="19"/>
                <w:szCs w:val="19"/>
                <w:color w:val="auto"/>
              </w:rPr>
            </w:pPr>
          </w:p>
        </w:tc>
        <w:tc>
          <w:tcPr>
            <w:tcW w:w="880" w:type="dxa"/>
            <w:vAlign w:val="bottom"/>
            <w:gridSpan w:val="2"/>
          </w:tcPr>
          <w:p>
            <w:pPr>
              <w:jc w:val="right"/>
              <w:ind w:right="631"/>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5"/>
        </w:trPr>
        <w:tc>
          <w:tcPr>
            <w:tcW w:w="3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920" w:type="dxa"/>
            <w:vAlign w:val="bottom"/>
            <w:gridSpan w:val="2"/>
          </w:tcPr>
          <w:p>
            <w:pPr>
              <w:spacing w:after="0"/>
              <w:rPr>
                <w:sz w:val="20"/>
                <w:szCs w:val="20"/>
                <w:color w:val="auto"/>
              </w:rPr>
            </w:pPr>
            <w:r>
              <w:rPr>
                <w:rFonts w:ascii="Arial" w:cs="Arial" w:eastAsia="Arial" w:hAnsi="Arial"/>
                <w:sz w:val="17"/>
                <w:szCs w:val="17"/>
                <w:color w:val="auto"/>
              </w:rPr>
              <w:t>Finite life intangible assets: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Customer lists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188,469</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(32,071)</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188,642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(30,058)</w:t>
            </w:r>
          </w:p>
        </w:tc>
      </w:tr>
      <w:tr>
        <w:trPr>
          <w:trHeight w:val="233"/>
        </w:trPr>
        <w:tc>
          <w:tcPr>
            <w:tcW w:w="3920" w:type="dxa"/>
            <w:vAlign w:val="bottom"/>
            <w:gridSpan w:val="2"/>
          </w:tcPr>
          <w:p>
            <w:pPr>
              <w:spacing w:after="0"/>
              <w:rPr>
                <w:sz w:val="20"/>
                <w:szCs w:val="20"/>
                <w:color w:val="auto"/>
              </w:rPr>
            </w:pPr>
            <w:r>
              <w:rPr>
                <w:rFonts w:ascii="Arial" w:cs="Arial" w:eastAsia="Arial" w:hAnsi="Arial"/>
                <w:sz w:val="17"/>
                <w:szCs w:val="17"/>
                <w:color w:val="auto"/>
              </w:rPr>
              <w:t>Tenant contracts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39,992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(242)</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r>
      <w:tr>
        <w:trPr>
          <w:trHeight w:val="233"/>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Network</w:t>
            </w:r>
            <w:r>
              <w:rPr>
                <w:rFonts w:ascii="Arial" w:cs="Arial" w:eastAsia="Arial" w:hAnsi="Arial"/>
                <w:sz w:val="14"/>
                <w:szCs w:val="14"/>
                <w:color w:val="auto"/>
              </w:rPr>
              <w:t>(1)</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14,483</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(88)</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7"/>
                <w:szCs w:val="17"/>
                <w:color w:val="auto"/>
              </w:rPr>
              <w:t>Acquired below-market leases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1,527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5"/>
        </w:trPr>
        <w:tc>
          <w:tcPr>
            <w:tcW w:w="3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3"/>
        </w:trPr>
        <w:tc>
          <w:tcPr>
            <w:tcW w:w="3920" w:type="dxa"/>
            <w:vAlign w:val="bottom"/>
            <w:gridSpan w:val="2"/>
          </w:tcPr>
          <w:p>
            <w:pPr>
              <w:spacing w:after="0"/>
              <w:rPr>
                <w:sz w:val="20"/>
                <w:szCs w:val="20"/>
                <w:color w:val="auto"/>
              </w:rPr>
            </w:pPr>
            <w:r>
              <w:rPr>
                <w:rFonts w:ascii="Arial" w:cs="Arial" w:eastAsia="Arial" w:hAnsi="Arial"/>
                <w:sz w:val="17"/>
                <w:szCs w:val="17"/>
                <w:color w:val="auto"/>
              </w:rPr>
              <w:t>Total intangible assets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246,471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190,642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(32,410)</w:t>
            </w:r>
          </w:p>
        </w:tc>
        <w:tc>
          <w:tcPr>
            <w:tcW w:w="7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(30,058)</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5"/>
        </w:trPr>
        <w:tc>
          <w:tcPr>
            <w:tcW w:w="39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Total intangible assets, net</w:t>
            </w: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214,061</w:t>
            </w:r>
          </w:p>
        </w:tc>
        <w:tc>
          <w:tcPr>
            <w:tcW w:w="240" w:type="dxa"/>
            <w:vAlign w:val="bottom"/>
            <w:tcBorders>
              <w:bottom w:val="single" w:sz="8" w:color="CFF0FC"/>
            </w:tcBorders>
          </w:tcPr>
          <w:p>
            <w:pPr>
              <w:spacing w:after="0"/>
              <w:rPr>
                <w:sz w:val="23"/>
                <w:szCs w:val="23"/>
                <w:color w:val="auto"/>
              </w:rPr>
            </w:pPr>
          </w:p>
        </w:tc>
        <w:tc>
          <w:tcPr>
            <w:tcW w:w="720" w:type="dxa"/>
            <w:vAlign w:val="bottom"/>
            <w:tcBorders>
              <w:bottom w:val="single" w:sz="8" w:color="CFF0FC"/>
            </w:tcBorders>
          </w:tcPr>
          <w:p>
            <w:pPr>
              <w:spacing w:after="0"/>
              <w:rPr>
                <w:sz w:val="23"/>
                <w:szCs w:val="23"/>
                <w:color w:val="auto"/>
              </w:rPr>
            </w:pPr>
          </w:p>
        </w:tc>
        <w:tc>
          <w:tcPr>
            <w:tcW w:w="94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160,584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780" w:type="dxa"/>
            <w:vAlign w:val="bottom"/>
            <w:tcBorders>
              <w:bottom w:val="single" w:sz="8" w:color="CFF0FC"/>
            </w:tcBorders>
          </w:tcPr>
          <w:p>
            <w:pPr>
              <w:spacing w:after="0"/>
              <w:rPr>
                <w:sz w:val="23"/>
                <w:szCs w:val="23"/>
                <w:color w:val="auto"/>
              </w:rPr>
            </w:pPr>
          </w:p>
        </w:tc>
        <w:tc>
          <w:tcPr>
            <w:tcW w:w="9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r>
      <w:tr>
        <w:trPr>
          <w:trHeight w:val="211"/>
        </w:trPr>
        <w:tc>
          <w:tcPr>
            <w:tcW w:w="3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3920" w:type="dxa"/>
            <w:vAlign w:val="bottom"/>
            <w:gridSpan w:val="2"/>
          </w:tcPr>
          <w:p>
            <w:pPr>
              <w:spacing w:after="0"/>
              <w:rPr>
                <w:sz w:val="20"/>
                <w:szCs w:val="20"/>
                <w:color w:val="auto"/>
              </w:rPr>
            </w:pPr>
            <w:r>
              <w:rPr>
                <w:rFonts w:ascii="Arial" w:cs="Arial" w:eastAsia="Arial" w:hAnsi="Arial"/>
                <w:sz w:val="17"/>
                <w:szCs w:val="17"/>
                <w:color w:val="auto"/>
              </w:rPr>
              <w:t>Finite life intangible liabilities: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Acquired above-market leases</w:t>
            </w:r>
          </w:p>
        </w:tc>
        <w:tc>
          <w:tcPr>
            <w:tcW w:w="1020" w:type="dxa"/>
            <w:vAlign w:val="bottom"/>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3,591</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w:t>
            </w: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r>
      <w:tr>
        <w:trPr>
          <w:trHeight w:val="225"/>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Finite life intangible liabilities:</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3920" w:type="dxa"/>
            <w:vAlign w:val="bottom"/>
            <w:gridSpan w:val="2"/>
          </w:tcPr>
          <w:p>
            <w:pPr>
              <w:spacing w:after="0"/>
              <w:rPr>
                <w:sz w:val="20"/>
                <w:szCs w:val="20"/>
                <w:color w:val="auto"/>
              </w:rPr>
            </w:pPr>
            <w:r>
              <w:rPr>
                <w:rFonts w:ascii="Arial" w:cs="Arial" w:eastAsia="Arial" w:hAnsi="Arial"/>
                <w:sz w:val="17"/>
                <w:szCs w:val="17"/>
                <w:color w:val="auto"/>
              </w:rPr>
              <w:t>Acquired above-market leases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3,591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w:t>
            </w:r>
          </w:p>
        </w:tc>
        <w:tc>
          <w:tcPr>
            <w:tcW w:w="7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3920" w:type="dxa"/>
            <w:vAlign w:val="bottom"/>
            <w:gridSpan w:val="2"/>
          </w:tcPr>
          <w:p>
            <w:pPr>
              <w:spacing w:after="0"/>
              <w:rPr>
                <w:sz w:val="20"/>
                <w:szCs w:val="20"/>
                <w:color w:val="auto"/>
              </w:rPr>
            </w:pPr>
            <w:r>
              <w:rPr>
                <w:rFonts w:ascii="Arial" w:cs="Arial" w:eastAsia="Arial" w:hAnsi="Arial"/>
                <w:sz w:val="17"/>
                <w:szCs w:val="17"/>
                <w:color w:val="auto"/>
              </w:rPr>
              <w:t>Total intangible liabilities, net</w:t>
            </w:r>
            <w:r>
              <w:rPr>
                <w:rFonts w:ascii="Arial" w:cs="Arial" w:eastAsia="Arial" w:hAnsi="Arial"/>
                <w:sz w:val="14"/>
                <w:szCs w:val="14"/>
                <w:color w:val="auto"/>
              </w:rPr>
              <w:t>(2)</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3,564</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ind w:left="380" w:right="400" w:hanging="377"/>
        <w:spacing w:after="0" w:line="261"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7"/>
          <w:szCs w:val="17"/>
          <w:color w:val="auto"/>
        </w:rPr>
      </w:pPr>
    </w:p>
    <w:p>
      <w:pPr>
        <w:ind w:left="380" w:hanging="377"/>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Recorded in accounts payable, accrued expenses and other liabilities on the Condensed Consolidated Balance Sheet.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2017 and 2016 was $2.5 million and $0.8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is estimated to be $8.7 million for the full year of 2017, $8.1 million in 2018, $7.5 million in 2019, $7.0 million in 2020, $6.5 million in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Notes and Other 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Notes and other debt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Principal amount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88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5"/>
              </w:rPr>
              <w:t>4,162,697</w:t>
            </w:r>
          </w:p>
        </w:tc>
        <w:tc>
          <w:tcPr>
            <w:tcW w:w="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4,167,967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gridSpan w:val="2"/>
          </w:tcPr>
          <w:p>
            <w:pPr>
              <w:spacing w:after="0"/>
              <w:rPr>
                <w:sz w:val="20"/>
                <w:szCs w:val="20"/>
                <w:color w:val="auto"/>
              </w:rPr>
            </w:pPr>
            <w:r>
              <w:rPr>
                <w:rFonts w:ascii="Arial" w:cs="Arial" w:eastAsia="Arial" w:hAnsi="Arial"/>
                <w:sz w:val="17"/>
                <w:szCs w:val="17"/>
                <w:color w:val="auto"/>
              </w:rPr>
              <w:t>Less unamortized discount and debt issuance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6"/>
              </w:rPr>
              <w:t>(158,905)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(139,753)</w:t>
            </w:r>
          </w:p>
        </w:tc>
        <w:tc>
          <w:tcPr>
            <w:tcW w:w="0" w:type="dxa"/>
            <w:vAlign w:val="bottom"/>
          </w:tcPr>
          <w:p>
            <w:pPr>
              <w:spacing w:after="0"/>
              <w:rPr>
                <w:sz w:val="1"/>
                <w:szCs w:val="1"/>
                <w:color w:val="auto"/>
              </w:rPr>
            </w:pPr>
          </w:p>
        </w:tc>
      </w:tr>
      <w:tr>
        <w:trPr>
          <w:trHeight w:val="225"/>
        </w:trPr>
        <w:tc>
          <w:tcPr>
            <w:tcW w:w="4960" w:type="dxa"/>
            <w:vAlign w:val="bottom"/>
            <w:tcBorders>
              <w:top w:val="single" w:sz="8" w:color="CFF0FC"/>
              <w:bottom w:val="single" w:sz="8" w:color="CFF0FC"/>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w w:val="89"/>
              </w:rPr>
              <w:t>Notes and other debt less unamortized discount and debt issuance costs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w w:val="95"/>
              </w:rPr>
              <w:t>4,003,792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4,028,214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7"/>
                <w:szCs w:val="17"/>
                <w:color w:val="auto"/>
                <w:w w:val="92"/>
              </w:rPr>
              <w:t>Notes and other debt at March 31, 2017 and December 31, 2016 consisted of the following:</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7"/>
          </w:tcPr>
          <w:p>
            <w:pPr>
              <w:jc w:val="right"/>
              <w:ind w:right="130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88"/>
              </w:rPr>
              <w:t>Unamortized Discount</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0"/>
              </w:rPr>
              <w:t>Unamortized Discount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and Debt Issuance</w:t>
            </w:r>
          </w:p>
        </w:tc>
        <w:tc>
          <w:tcPr>
            <w:tcW w:w="100" w:type="dxa"/>
            <w:vAlign w:val="bottom"/>
          </w:tcPr>
          <w:p>
            <w:pPr>
              <w:spacing w:after="0"/>
              <w:rPr>
                <w:sz w:val="12"/>
                <w:szCs w:val="12"/>
                <w:color w:val="auto"/>
              </w:rPr>
            </w:pPr>
          </w:p>
        </w:tc>
        <w:tc>
          <w:tcPr>
            <w:tcW w:w="1320" w:type="dxa"/>
            <w:vAlign w:val="bottom"/>
            <w:gridSpan w:val="4"/>
            <w:vMerge w:val="restart"/>
          </w:tcPr>
          <w:p>
            <w:pPr>
              <w:jc w:val="right"/>
              <w:ind w:right="365"/>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7"/>
              </w:rPr>
              <w:t>and Debt Issuance</w:t>
            </w:r>
          </w:p>
        </w:tc>
        <w:tc>
          <w:tcPr>
            <w:tcW w:w="0" w:type="dxa"/>
            <w:vAlign w:val="bottom"/>
          </w:tcPr>
          <w:p>
            <w:pPr>
              <w:spacing w:after="0"/>
              <w:rPr>
                <w:sz w:val="1"/>
                <w:szCs w:val="1"/>
                <w:color w:val="auto"/>
              </w:rPr>
            </w:pPr>
          </w:p>
        </w:tc>
      </w:tr>
      <w:tr>
        <w:trPr>
          <w:trHeight w:val="16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9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Senior secured term loan B - variable rate, due October 24, 2022</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5.66%)</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2,102,697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(99,175)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2,107,967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(78,699)</w:t>
            </w:r>
          </w:p>
        </w:tc>
        <w:tc>
          <w:tcPr>
            <w:tcW w:w="0" w:type="dxa"/>
            <w:vAlign w:val="bottom"/>
          </w:tcPr>
          <w:p>
            <w:pPr>
              <w:spacing w:after="0"/>
              <w:rPr>
                <w:sz w:val="1"/>
                <w:szCs w:val="1"/>
                <w:color w:val="auto"/>
              </w:rPr>
            </w:pPr>
          </w:p>
        </w:tc>
      </w:tr>
      <w:tr>
        <w:trPr>
          <w:trHeight w:val="207"/>
        </w:trPr>
        <w:tc>
          <w:tcPr>
            <w:tcW w:w="4960" w:type="dxa"/>
            <w:vAlign w:val="bottom"/>
            <w:gridSpan w:val="2"/>
          </w:tcPr>
          <w:p>
            <w:pPr>
              <w:spacing w:after="0"/>
              <w:rPr>
                <w:sz w:val="20"/>
                <w:szCs w:val="20"/>
                <w:color w:val="auto"/>
              </w:rPr>
            </w:pPr>
            <w:r>
              <w:rPr>
                <w:rFonts w:ascii="Arial" w:cs="Arial" w:eastAsia="Arial" w:hAnsi="Arial"/>
                <w:sz w:val="17"/>
                <w:szCs w:val="17"/>
                <w:color w:val="auto"/>
              </w:rPr>
              <w:t>Senior secured notes - 6.00%, due April 15, 2023</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gridSpan w:val="2"/>
          </w:tcPr>
          <w:p>
            <w:pPr>
              <w:spacing w:after="0"/>
              <w:rPr>
                <w:sz w:val="20"/>
                <w:szCs w:val="20"/>
                <w:color w:val="auto"/>
              </w:rPr>
            </w:pPr>
            <w:r>
              <w:rPr>
                <w:rFonts w:ascii="Arial" w:cs="Arial" w:eastAsia="Arial" w:hAnsi="Arial"/>
                <w:sz w:val="17"/>
                <w:szCs w:val="17"/>
                <w:color w:val="auto"/>
              </w:rPr>
              <w:t>(discount is based on imputed interest rate of 6.29%)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7"/>
                <w:szCs w:val="17"/>
                <w:color w:val="auto"/>
              </w:rPr>
              <w:t>(9,615)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550,000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(9,817)</w:t>
            </w:r>
          </w:p>
        </w:tc>
        <w:tc>
          <w:tcPr>
            <w:tcW w:w="0" w:type="dxa"/>
            <w:vAlign w:val="bottom"/>
          </w:tcPr>
          <w:p>
            <w:pPr>
              <w:spacing w:after="0"/>
              <w:rPr>
                <w:sz w:val="1"/>
                <w:szCs w:val="1"/>
                <w:color w:val="auto"/>
              </w:rPr>
            </w:pPr>
          </w:p>
        </w:tc>
      </w:tr>
      <w:tr>
        <w:trPr>
          <w:trHeight w:val="207"/>
        </w:trPr>
        <w:tc>
          <w:tcPr>
            <w:tcW w:w="49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Senior unsecured notes - 8.25%, due October 15, 2023</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9.06%)</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(44,634)</w:t>
            </w: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(45,599)</w:t>
            </w:r>
          </w:p>
        </w:tc>
        <w:tc>
          <w:tcPr>
            <w:tcW w:w="0" w:type="dxa"/>
            <w:vAlign w:val="bottom"/>
          </w:tcPr>
          <w:p>
            <w:pPr>
              <w:spacing w:after="0"/>
              <w:rPr>
                <w:sz w:val="1"/>
                <w:szCs w:val="1"/>
                <w:color w:val="auto"/>
              </w:rPr>
            </w:pPr>
          </w:p>
        </w:tc>
      </w:tr>
      <w:tr>
        <w:trPr>
          <w:trHeight w:val="233"/>
        </w:trPr>
        <w:tc>
          <w:tcPr>
            <w:tcW w:w="4960" w:type="dxa"/>
            <w:vAlign w:val="bottom"/>
            <w:gridSpan w:val="2"/>
          </w:tcPr>
          <w:p>
            <w:pPr>
              <w:spacing w:after="0"/>
              <w:rPr>
                <w:sz w:val="20"/>
                <w:szCs w:val="20"/>
                <w:color w:val="auto"/>
              </w:rPr>
            </w:pPr>
            <w:r>
              <w:rPr>
                <w:rFonts w:ascii="Arial" w:cs="Arial" w:eastAsia="Arial" w:hAnsi="Arial"/>
                <w:sz w:val="17"/>
                <w:szCs w:val="17"/>
                <w:color w:val="auto"/>
              </w:rPr>
              <w:t>Senior unsecured notes - 7.125% due December 15, 2024</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7"/>
                <w:szCs w:val="17"/>
                <w:color w:val="auto"/>
              </w:rPr>
              <w:t>(5,481)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400,000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(5,638)</w:t>
            </w:r>
          </w:p>
        </w:tc>
        <w:tc>
          <w:tcPr>
            <w:tcW w:w="0" w:type="dxa"/>
            <w:vAlign w:val="bottom"/>
          </w:tcPr>
          <w:p>
            <w:pPr>
              <w:spacing w:after="0"/>
              <w:rPr>
                <w:sz w:val="1"/>
                <w:szCs w:val="1"/>
                <w:color w:val="auto"/>
              </w:rPr>
            </w:pPr>
          </w:p>
        </w:tc>
      </w:tr>
      <w:tr>
        <w:trPr>
          <w:trHeight w:val="20"/>
        </w:trPr>
        <w:tc>
          <w:tcPr>
            <w:tcW w:w="4960" w:type="dxa"/>
            <w:vAlign w:val="bottom"/>
            <w:tcBorders>
              <w:right w:val="single" w:sz="8" w:color="CFF0FC"/>
            </w:tcBorders>
            <w:gridSpan w:val="2"/>
            <w:vMerge w:val="restart"/>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60" w:type="dxa"/>
            <w:vAlign w:val="bottom"/>
            <w:tcBorders>
              <w:right w:val="single" w:sz="8" w:color="CFF0FC"/>
            </w:tcBorders>
            <w:gridSpan w:val="2"/>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4,162,697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(158,905)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4,167,967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(139,753)</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At March 31, 2017, we had outstanding: (i) $2.1 billion under our senior secured term loan B facility that matures on October 24, 2022 (“Term Loan Facility”); (ii) $550.0 million aggregate principal amount of 6.00% Senior Secured Notes due April 15, 2023 (the “Secured Notes”); (iii) $1.11 billion aggregate principal amount of 8.25% Senior Notes due October 15, 2023 (the “2023 Notes”); and (iv) $400 million aggregate principal amount of 7.125% Senior Unsecured Notes due December 15, 2024 (the “2024 Notes”).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Agreement</w:t>
      </w:r>
    </w:p>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April 24, 2015 the Company and CSL Capital, LLC, a wholly-owned subsidiary of the Company, entered into a credit agreement (the “Credit Agreement”), which provides for the Term Loan Facility (in an initial principal amount of $2.14 billion) and a $500 million senior secured revolving credit facility maturing April 24, 2020 (the “Revolving Credit Facility” and, together with the Term Loan Facility, the “Facilities”). On October 21, 2016, the Company and CSL Capital amended the Credit Agreement to, among other things, replace the then outstanding principal amounts of the term loans thereunder with a like aggregate amount of new term loans having substantially similar terms as the then outstanding term loans, other than with respect to the applicable interest rate marigin and the period of time for which prepayment premiums in respect of certain repricing transactions apply. On February 9, 2017, we again repriced the term loans decreasing the interest rate margin by an additional 50 basis points. The term loans now bear interest at a rate equal to LIBOR, subject to a 1.0% floor, plus an applicable margin equal to 3.00%, and are subject to amortization of 1.0% per annum. The loans have been incurred by the Company and CSL Capital, are guaranteed by certain of Uniti’s wholly-owned subsidiaries (the “Guarantors”), and are secured by substantially all of the assets of Uniti, CSL Capital and the Guarantors, subject to certain exceptions, which assets also secure the Secured Notes. The Revolving Credit Facility bears interest at a rate equal to LIBOR plus 1.75% to 2.25% based on our consolidated secured leverage ratio, as defined in the Credit Agreement.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by the Company or certain of its subsidiaries to make payments under other debt obligations, or the occurrence of certain events affecting those other borrowing arrangements, could trigger an obligation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repay any amounts outstanding under the Credit Agreement. In particular, a repayment obligation could be triggered if (i) the Company or certain of its subsidiaries fails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2017, we were in compliance with all of the covenants under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Notes</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April 24, 2015, we, along with CSL Capital, co-issued $400 million aggregate principal amount of the Secured Notes and $1.11 billion aggregate principal amount of the 2023 Notes (together the “Notes”). The Secured Notes were issued at an issue price of 100% of par value, while the 2023 Notes were issued at an issue price of 97.055% of par value. The Notes are guaranteed by the Guarantors. The Notes were issued to Windstream Services as partial consideration for the contribution of the Distribution Systems and the Consumer CLEC Business in connection with the Spin-Off. As such, Uniti did not receive any proceeds from the issuance of the Notes. The issuance of the Notes and their exchange by Windstream Services for certain of its outstanding indebtedness were not registered under the Securities Act of 1933, as amended (the “Securities Act”), but were exempt from registration under Rule 144A, Regulation S and other applicable exemptions of the Securities Act. Pursuant to a registration rights agreement entered into by the Company in connection with the sale of the 2023 Notes, the Company subsequently filed with the SEC a registration statement relating to an exchange offer pursuant to which 8.25% Senior Notes due 2023 that were registered with the SEC (the “Exchange Notes”) were offered in exchange for 2023 Notes tendered by the holders of those notes. The terms of the Exchange Notes were substantially identical to the terms of the 2023 Notes in all material respects, except that the Exchange Notes were registered under the Securities Act of 1933 and the transfer restrictions, registration rights and additional interest provision applicable to the 2023 Notes do not apply to the Exchange Notes. On January 3, 2017, we filed a Form 15 with the SEC as notice of the suspension of responsibility to file reports with the SEC with respect to the Exchange Notes.</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June 9, 2016, we, along with CSL Capital, co-issued an additional $150 million aggregate principal amount of 6.00% Senior Secured Notes (the “add-on Notes”) as an add-on to the Company’s existing Secured Notes. The add-on Notes were issued at an issue price of 99.25% of par value, are subject to the same customary covenant requirements as the existing Secured Notes, and are guaranteed by the Guarantors. The issuance of the add-on Notes was not registered under the Securities Act, but was exempt from registration under Rule 144A, Regulation S and other applicable exemptions of the Securities Act. Proceeds from the issuance of the add-on Notes were used to repay existing borrowings under the Revolving Credit Facility.</w:t>
      </w:r>
    </w:p>
    <w:p>
      <w:pPr>
        <w:spacing w:after="0" w:line="163"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color w:val="auto"/>
        </w:rPr>
        <w:t>On December 15, 2016, we, along with CSL Capital, co-issued $400 million aggregate principal amount of the 2024 Notes. The 2024 Notes were issued at an issue price of 100% of par value and are guaranteed by the Guarantors. The issuance of the 2024 Notes was not registered under the Securities Act, but was exempt from registration under Rule 144A, Regulation S and other applicable exemptions of the Securities Act. Proceeds from the issuance of the 2024 Notes were used to repay existing borrowings under the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Financing Cost</w:t>
      </w:r>
    </w:p>
    <w:p>
      <w:pPr>
        <w:spacing w:after="0" w:line="21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Deferred financing costs were incurred in connection with the issuance of the Notes, the add-on Notes and the 2024 Notes and the Facilities. These costs are amortized using the effective interest method over the term of the related indebtedness, and are included in interest expense in our Consolidated Statement of Income. For the three months ended March 31, 2017 and 2016, we recognized $2.5 million and $1.8 million of non-cash interest expense, respectively, related to the amortization of deferred financing costs.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Related Party Transactions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connection with the Spin-Off, we issued approximately 149.8 million shares of our common stock to Windstream Services as partial consideration for the contribution of the Distribution Systems and the Consumer CLEC Business. Windstream Holdings distributed approximately 80.4% of the Uniti shares it received to existing stockholders of Windstream Holdings and retained a passive ownership interest of approximately 19.6% of the common stock of Uniti. As a result of this ownership Windstream was deemed to be a related party.</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color w:val="auto"/>
        </w:rPr>
        <w:t>Accordingly, effective as of June 24, 2016, Windstream is no longer deemed a related party under applicable accounting regulations. Our condensed consolidated financial statements reflect the following transactions with Windstream during the periods in which Windstream was deemed a related party.</w:t>
      </w:r>
    </w:p>
    <w:p>
      <w:pPr>
        <w:spacing w:after="0" w:line="137"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u w:val="single" w:color="auto"/>
          <w:color w:val="auto"/>
        </w:rPr>
        <w:t>Revenues</w:t>
      </w:r>
      <w:r>
        <w:rPr>
          <w:rFonts w:ascii="Arial" w:cs="Arial" w:eastAsia="Arial" w:hAnsi="Arial"/>
          <w:sz w:val="17"/>
          <w:szCs w:val="17"/>
          <w:color w:val="auto"/>
        </w:rPr>
        <w:t xml:space="preserve"> – The Company records leasing revenue pursuant to the Master Lease. For the three months ended March 31, 2016, we recognized leasing revenues of $168.6 million related to the Master Lease.</w:t>
      </w:r>
    </w:p>
    <w:p>
      <w:pPr>
        <w:spacing w:after="0" w:line="15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We were party to a Transition Services Agreement (“TSA”) pursuant to which Windstream and its affiliates provided, on an interim basis, various services, including but not limited to information technology services, payment processing and collection services, financial and tax services, regulatory compliance and other support services. On April 1, 2016, the TSA terminated and we incurred $19,000 of related TSA expense for the three months ended March 31, 2016.</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u w:val="single" w:color="auto"/>
          <w:color w:val="auto"/>
        </w:rPr>
        <w:t>Operating Expenses</w:t>
      </w:r>
      <w:r>
        <w:rPr>
          <w:rFonts w:ascii="Arial" w:cs="Arial" w:eastAsia="Arial" w:hAnsi="Arial"/>
          <w:sz w:val="17"/>
          <w:szCs w:val="17"/>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Uniti. During the three months ended March 31, 2016, we incurred expenses of $3.4 million and $0.4 million related to the Wholesale Agreement and Master Services Agreement, respectively.</w:t>
      </w:r>
    </w:p>
    <w:p>
      <w:pPr>
        <w:spacing w:after="0" w:line="18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u w:val="single" w:color="auto"/>
          <w:color w:val="auto"/>
        </w:rPr>
        <w:t>Employee Matters Agreement</w:t>
      </w:r>
      <w:r>
        <w:rPr>
          <w:rFonts w:ascii="Arial" w:cs="Arial" w:eastAsia="Arial" w:hAnsi="Arial"/>
          <w:sz w:val="17"/>
          <w:szCs w:val="17"/>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Uniti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three months ended March 31, 2016, we withheld 91,412 common shares to satisfy these minimum statutory tax-withholding obligations and delivered $1.3 million to Windstream for remittance to the applicable taxing authorities.</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Lease Amendment</w:t>
      </w:r>
      <w:r>
        <w:rPr>
          <w:rFonts w:ascii="Arial" w:cs="Arial" w:eastAsia="Arial" w:hAnsi="Arial"/>
          <w:sz w:val="16"/>
          <w:szCs w:val="16"/>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Uniti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Uniti related to the sale, exchange or other disposition of the fiber assets delivered to a third party or the granting of rights to the leased property that arise from fiber exchange agreements. As of March 31, 2016, no such transactions had been consummated. The Master Lease Amendment also permits us to install, own and operate certain wireless communication towers, antennas and related equipment on designated portions of the leased property.</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Earnings Per Share</w:t>
      </w:r>
    </w:p>
    <w:p>
      <w:pPr>
        <w:spacing w:after="0" w:line="121"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7"/>
          <w:szCs w:val="17"/>
          <w:i w:val="1"/>
          <w:iCs w:val="1"/>
          <w:color w:val="auto"/>
        </w:rPr>
        <w:t>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per Share</w:t>
      </w:r>
      <w:r>
        <w:rPr>
          <w:rFonts w:ascii="Arial" w:cs="Arial" w:eastAsia="Arial" w:hAnsi="Arial"/>
          <w:sz w:val="17"/>
          <w:szCs w:val="17"/>
          <w:color w:val="auto"/>
        </w:rPr>
        <w:t>.</w:t>
      </w:r>
    </w:p>
    <w:p>
      <w:pPr>
        <w:spacing w:after="0" w:line="172"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earnings per share impact of the Company’s 3% Convertible Preferred Stock, $0.0001 par value (“Series A Shares”), issued in connection with the acquisition of PEG Bandwidth, LLC, is calculated using the net share settlement method, whereby the redemption value of the instrument is assumed to be settled in cash and only the conversion premium, if any, is assumed to be settled in shares. The Series A Shares provide Uniti the option to cash or share settle the instrument, and it is our policy to settle the instrument in cash upon conversion.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the computation of basic and diluted earnings per share under the two-class method: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share:</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(loss) income</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(20,000)</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(387)</w:t>
            </w:r>
          </w:p>
        </w:tc>
        <w:tc>
          <w:tcPr>
            <w:tcW w:w="8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76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(656)</w:t>
            </w: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76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Net (loss) income applicable to common shares</w:t>
            </w: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(21,788)</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Denominator: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300" w:type="dxa"/>
            <w:vAlign w:val="bottom"/>
            <w:tcBorders>
              <w:right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7"/>
                <w:szCs w:val="17"/>
                <w:color w:val="auto"/>
              </w:rPr>
              <w:t>Basic (loss) earnings per common share</w:t>
            </w: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6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per share:</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(loss) income</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(20,000)</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(387)</w:t>
            </w:r>
          </w:p>
        </w:tc>
        <w:tc>
          <w:tcPr>
            <w:tcW w:w="8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76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(656)</w:t>
            </w: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76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Net (loss) income applicable to common shares</w:t>
            </w: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(21,788)</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Denominator: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30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Effect of dilutive non-participating securities</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Weighted-average shares for dilutive earnings per common share</w:t>
            </w:r>
          </w:p>
        </w:tc>
        <w:tc>
          <w:tcPr>
            <w:tcW w:w="2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300" w:type="dxa"/>
            <w:vAlign w:val="bottom"/>
            <w:tcBorders>
              <w:right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7"/>
                <w:szCs w:val="17"/>
                <w:color w:val="auto"/>
              </w:rPr>
              <w:t>Dilutive (loss) earnings per common share</w:t>
            </w: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For the three months ended March 31, 2017, 382,019 non-participating securities were excluded from the computation of diluted earnings per share, as their effect would have been anti-dilutive.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Segment Information</w:t>
      </w:r>
    </w:p>
    <w:p>
      <w:pPr>
        <w:spacing w:after="0" w:line="12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Effective in the first quarter of 2017, our management, including our chief executive officer, who is our chief operating decision maker, commenced managing our operations as four reportable segments in addition to our corporate operations and include:</w:t>
      </w:r>
    </w:p>
    <w:p>
      <w:pPr>
        <w:spacing w:after="0" w:line="15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assets and leasing back to anchor customers on either an exclusive or shared-tenant basis.</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color w:val="auto"/>
        </w:rPr>
        <w:t>: Represents the operations of Uniti Fiber, which is a leading provider of infrastructure solutions including cell site backhaul and dark fiber,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telecommunications industry.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color w:val="auto"/>
        </w:rPr>
        <w:t>: Represents the operations of our towers business, Uniti Towers, through which we acquire and construct tower and tower-related real estate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Latin America.</w:t>
      </w:r>
    </w:p>
    <w:p>
      <w:pPr>
        <w:spacing w:after="0" w:line="15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that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was 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that are directly attributable to operations of our business segments are allocated to the respective segments.</w:t>
      </w:r>
    </w:p>
    <w:p>
      <w:pPr>
        <w:spacing w:after="0" w:line="5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Company’s business segment information is presented below. Prior year information has been recast to conform to the current year presentation.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9"/>
              </w:rPr>
              <w:t>Consumer CLEC</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Corporate</w:t>
            </w:r>
          </w:p>
        </w:tc>
        <w:tc>
          <w:tcPr>
            <w:tcW w:w="3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235"/>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170,306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170,060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(5,056)</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86,506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20"/>
              <w:spacing w:after="0"/>
              <w:rPr>
                <w:sz w:val="20"/>
                <w:szCs w:val="20"/>
                <w:color w:val="auto"/>
              </w:rPr>
            </w:pPr>
            <w:r>
              <w:rPr>
                <w:rFonts w:ascii="Arial" w:cs="Arial" w:eastAsia="Arial" w:hAnsi="Arial"/>
                <w:sz w:val="17"/>
                <w:szCs w:val="17"/>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20"/>
              <w:spacing w:after="0"/>
              <w:rPr>
                <w:sz w:val="20"/>
                <w:szCs w:val="20"/>
                <w:color w:val="auto"/>
              </w:rPr>
            </w:pPr>
            <w:r>
              <w:rPr>
                <w:rFonts w:ascii="Arial" w:cs="Arial" w:eastAsia="Arial" w:hAnsi="Arial"/>
                <w:sz w:val="17"/>
                <w:szCs w:val="17"/>
                <w:color w:val="auto"/>
              </w:rPr>
              <w:t>Income tax expense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4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4"/>
                <w:szCs w:val="14"/>
                <w:color w:val="auto"/>
              </w:rPr>
              <w:t>(1)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40" w:hanging="193"/>
        <w:spacing w:after="0" w:line="284"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NMS asset acquisition and ground lease investments as reported in the investing activities section of</w:t>
      </w:r>
      <w:r>
        <w:rPr>
          <w:rFonts w:ascii="Arial" w:cs="Arial" w:eastAsia="Arial" w:hAnsi="Arial"/>
          <w:sz w:val="15"/>
          <w:szCs w:val="15"/>
          <w:color w:val="auto"/>
        </w:rPr>
        <w:t xml:space="preserve"> </w:t>
      </w:r>
      <w:r>
        <w:rPr>
          <w:rFonts w:ascii="Arial" w:cs="Arial" w:eastAsia="Arial" w:hAnsi="Arial"/>
          <w:sz w:val="17"/>
          <w:szCs w:val="17"/>
          <w:color w:val="auto"/>
        </w:rPr>
        <w:t>the Condensed Consolidated Statements of Cash Flows.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2016</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5"/>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168,613</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168,208</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(3,529)</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85,403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4"/>
                <w:szCs w:val="14"/>
                <w:color w:val="auto"/>
              </w:rPr>
              <w:t>(1)</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1,347</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620" w:hanging="193"/>
        <w:spacing w:after="0" w:line="284"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and ground lease investments as reported in the investing activities section of the Condensed</w:t>
      </w:r>
      <w:r>
        <w:rPr>
          <w:rFonts w:ascii="Arial" w:cs="Arial" w:eastAsia="Arial" w:hAnsi="Arial"/>
          <w:sz w:val="15"/>
          <w:szCs w:val="15"/>
          <w:color w:val="auto"/>
        </w:rPr>
        <w:t xml:space="preserve"> </w:t>
      </w:r>
      <w:r>
        <w:rPr>
          <w:rFonts w:ascii="Arial" w:cs="Arial" w:eastAsia="Arial" w:hAnsi="Arial"/>
          <w:sz w:val="17"/>
          <w:szCs w:val="17"/>
          <w:color w:val="auto"/>
        </w:rPr>
        <w:t>Consolidated Statements of Cash Flows.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Total assets by business segment as of March 31, 2017 and December 31, 2016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March 31, 2017</w:t>
            </w:r>
          </w:p>
        </w:tc>
        <w:tc>
          <w:tcPr>
            <w:tcW w:w="4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FF0FC"/>
            </w:tcBorders>
          </w:tcPr>
          <w:p>
            <w:pPr>
              <w:spacing w:after="0"/>
              <w:rPr>
                <w:sz w:val="14"/>
                <w:szCs w:val="14"/>
                <w:color w:val="auto"/>
              </w:rPr>
            </w:pPr>
          </w:p>
        </w:tc>
      </w:tr>
      <w:tr>
        <w:trPr>
          <w:trHeight w:val="225"/>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Leasing</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2,175,234</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2,238,517</w:t>
            </w:r>
          </w:p>
        </w:tc>
        <w:tc>
          <w:tcPr>
            <w:tcW w:w="100" w:type="dxa"/>
            <w:vAlign w:val="bottom"/>
            <w:shd w:val="clear" w:color="auto" w:fill="CFF0FC"/>
          </w:tcPr>
          <w:p>
            <w:pPr>
              <w:spacing w:after="0"/>
              <w:rPr>
                <w:sz w:val="19"/>
                <w:szCs w:val="19"/>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Fiber Infrastructure</w:t>
            </w: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925,379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914,082</w:t>
            </w:r>
          </w:p>
        </w:tc>
        <w:tc>
          <w:tcPr>
            <w:tcW w:w="100" w:type="dxa"/>
            <w:vAlign w:val="bottom"/>
          </w:tcPr>
          <w:p>
            <w:pPr>
              <w:spacing w:after="0"/>
              <w:rPr>
                <w:sz w:val="19"/>
                <w:szCs w:val="19"/>
                <w:color w:val="auto"/>
              </w:rPr>
            </w:pPr>
          </w:p>
        </w:tc>
      </w:tr>
      <w:tr>
        <w:trPr>
          <w:trHeight w:val="220"/>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Towers</w:t>
            </w:r>
          </w:p>
        </w:tc>
        <w:tc>
          <w:tcPr>
            <w:tcW w:w="50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129,853</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18,004</w:t>
            </w:r>
          </w:p>
        </w:tc>
        <w:tc>
          <w:tcPr>
            <w:tcW w:w="100" w:type="dxa"/>
            <w:vAlign w:val="bottom"/>
            <w:shd w:val="clear" w:color="auto" w:fill="CFF0FC"/>
          </w:tcPr>
          <w:p>
            <w:pPr>
              <w:spacing w:after="0"/>
              <w:rPr>
                <w:sz w:val="19"/>
                <w:szCs w:val="19"/>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Consumer CLEC</w:t>
            </w: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14,634</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14,239</w:t>
            </w:r>
          </w:p>
        </w:tc>
        <w:tc>
          <w:tcPr>
            <w:tcW w:w="100" w:type="dxa"/>
            <w:vAlign w:val="bottom"/>
          </w:tcPr>
          <w:p>
            <w:pPr>
              <w:spacing w:after="0"/>
              <w:rPr>
                <w:sz w:val="19"/>
                <w:szCs w:val="19"/>
                <w:color w:val="auto"/>
              </w:rPr>
            </w:pPr>
          </w:p>
        </w:tc>
      </w:tr>
      <w:tr>
        <w:trPr>
          <w:trHeight w:val="220"/>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Corporate</w:t>
            </w:r>
          </w:p>
        </w:tc>
        <w:tc>
          <w:tcPr>
            <w:tcW w:w="500" w:type="dxa"/>
            <w:vAlign w:val="bottom"/>
            <w:tcBorders>
              <w:bottom w:val="single" w:sz="8" w:color="auto"/>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35,577</w:t>
            </w: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133,910</w:t>
            </w:r>
          </w:p>
        </w:tc>
        <w:tc>
          <w:tcPr>
            <w:tcW w:w="100" w:type="dxa"/>
            <w:vAlign w:val="bottom"/>
            <w:shd w:val="clear" w:color="auto" w:fill="CFF0FC"/>
          </w:tcPr>
          <w:p>
            <w:pPr>
              <w:spacing w:after="0"/>
              <w:rPr>
                <w:sz w:val="19"/>
                <w:szCs w:val="19"/>
                <w:color w:val="auto"/>
              </w:rPr>
            </w:pPr>
          </w:p>
        </w:tc>
      </w:tr>
      <w:tr>
        <w:trPr>
          <w:trHeight w:val="213"/>
        </w:trPr>
        <w:tc>
          <w:tcPr>
            <w:tcW w:w="5360" w:type="dxa"/>
            <w:vAlign w:val="bottom"/>
            <w:gridSpan w:val="2"/>
          </w:tcPr>
          <w:p>
            <w:pPr>
              <w:spacing w:after="0"/>
              <w:rPr>
                <w:sz w:val="20"/>
                <w:szCs w:val="20"/>
                <w:color w:val="auto"/>
              </w:rPr>
            </w:pPr>
            <w:r>
              <w:rPr>
                <w:rFonts w:ascii="Arial" w:cs="Arial" w:eastAsia="Arial" w:hAnsi="Arial"/>
                <w:sz w:val="17"/>
                <w:szCs w:val="17"/>
                <w:color w:val="auto"/>
              </w:rPr>
              <w:t>Total of reportable segments</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3,280,677</w:t>
            </w:r>
          </w:p>
        </w:tc>
        <w:tc>
          <w:tcPr>
            <w:tcW w:w="42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3,318,752</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Under the terms of the Tax Matters Agreement entered into with Windstream in connection with the Spin-Off, we are generally responsible for any taxes imposed on Windstream that arise from the failure of the Spin-Off and the debt exchanges to qualify as tax-</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Accumulated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Currency Translation</w:t>
            </w:r>
          </w:p>
        </w:tc>
        <w:tc>
          <w:tcPr>
            <w:tcW w:w="100" w:type="dxa"/>
            <w:vAlign w:val="bottom"/>
          </w:tcPr>
          <w:p>
            <w:pPr>
              <w:spacing w:after="0"/>
              <w:rPr>
                <w:sz w:val="14"/>
                <w:szCs w:val="14"/>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Changes in Fair Value of</w:t>
            </w:r>
          </w:p>
        </w:tc>
        <w:tc>
          <w:tcPr>
            <w:tcW w:w="380" w:type="dxa"/>
            <w:vAlign w:val="bottom"/>
          </w:tcPr>
          <w:p>
            <w:pPr>
              <w:spacing w:after="0"/>
              <w:rPr>
                <w:sz w:val="14"/>
                <w:szCs w:val="14"/>
                <w:color w:val="auto"/>
              </w:rPr>
            </w:pPr>
          </w:p>
        </w:tc>
        <w:tc>
          <w:tcPr>
            <w:tcW w:w="126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Effective Cash Flow Hedge</w:t>
            </w:r>
          </w:p>
        </w:tc>
        <w:tc>
          <w:tcPr>
            <w:tcW w:w="2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 at December 31, 2016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(267)</w:t>
            </w:r>
          </w:p>
        </w:tc>
        <w:tc>
          <w:tcPr>
            <w:tcW w:w="72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(6,102)</w:t>
            </w:r>
          </w:p>
        </w:tc>
        <w:tc>
          <w:tcPr>
            <w:tcW w:w="38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(6,369)</w:t>
            </w:r>
          </w:p>
        </w:tc>
        <w:tc>
          <w:tcPr>
            <w:tcW w:w="0" w:type="dxa"/>
            <w:vAlign w:val="bottom"/>
          </w:tcPr>
          <w:p>
            <w:pPr>
              <w:spacing w:after="0"/>
              <w:rPr>
                <w:sz w:val="1"/>
                <w:szCs w:val="1"/>
                <w:color w:val="auto"/>
              </w:rPr>
            </w:pPr>
          </w:p>
        </w:tc>
      </w:tr>
      <w:tr>
        <w:trPr>
          <w:trHeight w:val="220"/>
        </w:trPr>
        <w:tc>
          <w:tcPr>
            <w:tcW w:w="5700" w:type="dxa"/>
            <w:vAlign w:val="bottom"/>
          </w:tcPr>
          <w:p>
            <w:pPr>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(7,061)</w:t>
            </w:r>
          </w:p>
        </w:tc>
        <w:tc>
          <w:tcPr>
            <w:tcW w:w="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(2,186)</w:t>
            </w:r>
          </w:p>
        </w:tc>
        <w:tc>
          <w:tcPr>
            <w:tcW w:w="0" w:type="dxa"/>
            <w:vAlign w:val="bottom"/>
          </w:tcPr>
          <w:p>
            <w:pPr>
              <w:spacing w:after="0"/>
              <w:rPr>
                <w:sz w:val="1"/>
                <w:szCs w:val="1"/>
                <w:color w:val="auto"/>
              </w:rPr>
            </w:pPr>
          </w:p>
        </w:tc>
      </w:tr>
      <w:tr>
        <w:trPr>
          <w:trHeight w:val="220"/>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Amounts reclassified from accumulated other comprehensive income</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11,627</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7"/>
                <w:szCs w:val="17"/>
                <w:color w:val="auto"/>
              </w:rPr>
              <w:t>Ending balance at March 31, 2017</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4,608</w:t>
            </w:r>
          </w:p>
        </w:tc>
        <w:tc>
          <w:tcPr>
            <w:tcW w:w="16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(1,536)</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Supplemental Guarantor Information</w:t>
      </w:r>
    </w:p>
    <w:p>
      <w:pPr>
        <w:spacing w:after="0" w:line="121" w:lineRule="exact"/>
        <w:rPr>
          <w:sz w:val="20"/>
          <w:szCs w:val="20"/>
          <w:color w:val="auto"/>
        </w:rPr>
      </w:pPr>
    </w:p>
    <w:p>
      <w:pPr>
        <w:jc w:val="both"/>
        <w:ind w:right="80"/>
        <w:spacing w:after="0" w:line="263" w:lineRule="auto"/>
        <w:rPr>
          <w:rFonts w:ascii="Arial" w:cs="Arial" w:eastAsia="Arial" w:hAnsi="Arial"/>
          <w:sz w:val="17"/>
          <w:szCs w:val="17"/>
          <w:color w:val="auto"/>
        </w:rPr>
      </w:pPr>
      <w:r>
        <w:rPr>
          <w:rFonts w:ascii="Arial" w:cs="Arial" w:eastAsia="Arial" w:hAnsi="Arial"/>
          <w:sz w:val="17"/>
          <w:szCs w:val="17"/>
          <w:color w:val="auto"/>
        </w:rPr>
        <w:t>Pursuant to SEC Regulation S-X Rule 3-10 “Financial statements of guarantors and issuers of guaranteed securities registered or being registered,” the Company is required to provide condensed consolidating financial information for CSL Capital and the Guarantors because the Exchange Notes (</w:t>
      </w:r>
      <w:hyperlink w:anchor="page17">
        <w:r>
          <w:rPr>
            <w:rFonts w:ascii="Arial" w:cs="Arial" w:eastAsia="Arial" w:hAnsi="Arial"/>
            <w:sz w:val="17"/>
            <w:szCs w:val="17"/>
            <w:u w:val="single" w:color="auto"/>
            <w:color w:val="auto"/>
          </w:rPr>
          <w:t>see Note 8</w:t>
        </w:r>
      </w:hyperlink>
      <w:r>
        <w:rPr>
          <w:rFonts w:ascii="Arial" w:cs="Arial" w:eastAsia="Arial" w:hAnsi="Arial"/>
          <w:sz w:val="17"/>
          <w:szCs w:val="17"/>
          <w:color w:val="auto"/>
        </w:rPr>
        <w:t>) and the guarantees thereof were registered with the SEC under the Securities Act. Although the Exchange Notes are no longer registered with the SEC, we are required by SEC rules to provide the information contained in this footnote so long as the Exchange Notes remain outstanding.</w:t>
      </w:r>
    </w:p>
    <w:p>
      <w:pPr>
        <w:spacing w:after="0" w:line="7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While the condensed consolidating financial information presented below is in respect of our Exchange Notes only, our Secured Notes, 2024 Notes and senior credit facilities under the Credit Agreement are guaranteed by the Guarantors. These guarantees are full and unconditional as well as joint and several. All property assets and related operations of the Guarantors are pledged as collateral under the Secured Notes and Credit Agreement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of its property, and upon any Guarantor being designated an Unrestricted Subsidiary, as defined in the Credit Agreement, or otherwise no longer being required to remain a Guarantor given its size or regulatory restrictions.</w:t>
      </w:r>
    </w:p>
    <w:p>
      <w:pPr>
        <w:spacing w:after="0" w:line="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Certain amounts in the Condensed Consolidating Statement of Comprehensive Income for the three months ended March 31, 2016, have been revised to correct immaterial errors. Specifically, immaterial adjustments were made to properly reflect the Guarantor’s proportionate share in earnings from consolidated subsidiaries of Non-Guarantor entities. These adjustments have no impact on the consolidated results of the Company.</w:t>
      </w:r>
    </w:p>
    <w:p>
      <w:pPr>
        <w:spacing w:after="0" w:line="69"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color w:val="auto"/>
        </w:rPr>
        <w:t>During the first quarter of 2017, certain Non-Guarantor entities became Guarantor entities. Prior year information has been retrospectively revised based on the structure that existed at March 31,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following information summarizes our Condensed Consolidating Balance Sheets as of March 31, 2017 and December 31, 2016, Condensed Consolidating Statement of Comprehensive Income (Loss) for the three months ended March 31, 2017 and 2016, and the Condensed Consolidating Statement of Cash Flows for the three months ended March 31, 2017 and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6"/>
              </w:rPr>
              <w:t>Condensed Consolidating Balance Sheet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As of March 31, 2017</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Uniti</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251"/>
              <w:spacing w:after="0"/>
              <w:rPr>
                <w:sz w:val="20"/>
                <w:szCs w:val="20"/>
                <w:color w:val="auto"/>
              </w:rPr>
            </w:pPr>
            <w:r>
              <w:rPr>
                <w:rFonts w:ascii="Arial" w:cs="Arial" w:eastAsia="Arial" w:hAnsi="Arial"/>
                <w:sz w:val="14"/>
                <w:szCs w:val="14"/>
                <w:b w:val="1"/>
                <w:bCs w:val="1"/>
                <w:color w:val="auto"/>
                <w:w w:val="94"/>
              </w:rPr>
              <w:t>CSL Capital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0"/>
              </w:rPr>
              <w:t>Guarantors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Eliminations</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1,953,848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718,501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2,672,349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68,726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17,236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Affiliate receivable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145,054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117,032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262,086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214,061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Straight-line revenue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33,406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33,406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Investment in consolidated subsidiaries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2,792,306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1,958,252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818,922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(5,569,480)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12,813</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2,829,684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1,958,252</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3,021,610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1,040,736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(5,569,605)</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3,280,677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w w:val="97"/>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26,915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29,083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Accrued interest payable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(65,715)</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176,885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116,994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293,879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Derivative liability</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(1,536)</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Affiliate payable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payable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94,810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94,810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45,070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47,048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lease obligations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47,661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54,068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Contingent consideration</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90,719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Notes and other debt, net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4,003,792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4,003,792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(4,003,792)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4,003,792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4,256,597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4,071,043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253,439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197,679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(4,071,168)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4,707,590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Convertible preferred stock</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81,296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81,296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Shareholders' Deficit: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Common stock</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141,503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141,503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(1,536)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(3,072)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Distributions in excess of earnings</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(1,652,800)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7"/>
                <w:szCs w:val="17"/>
                <w:color w:val="auto"/>
              </w:rPr>
              <w:t>(2,111,255)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2,768,171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838,449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(1,495,365)</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(1,652,800)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shd w:val="clear" w:color="auto" w:fill="CFF0FC"/>
          </w:tcPr>
          <w:p>
            <w:pPr>
              <w:ind w:left="500"/>
              <w:spacing w:after="0"/>
              <w:rPr>
                <w:sz w:val="20"/>
                <w:szCs w:val="20"/>
                <w:color w:val="auto"/>
              </w:rPr>
            </w:pPr>
            <w:r>
              <w:rPr>
                <w:rFonts w:ascii="Arial" w:cs="Arial" w:eastAsia="Arial" w:hAnsi="Arial"/>
                <w:sz w:val="17"/>
                <w:szCs w:val="17"/>
                <w:color w:val="auto"/>
              </w:rPr>
              <w:t>Total shareholders' deficit</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(1,508,209)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(2,112,791)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2,768,171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843,057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(1,498,437)</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(1,508,209)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Liabilities, Convertible Preferred Stock, and</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40" w:type="dxa"/>
            <w:vAlign w:val="bottom"/>
            <w:gridSpan w:val="2"/>
            <w:vMerge w:val="continue"/>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2,829,684</w:t>
            </w:r>
          </w:p>
        </w:tc>
        <w:tc>
          <w:tcPr>
            <w:tcW w:w="14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1,958,252</w:t>
            </w:r>
          </w:p>
        </w:tc>
        <w:tc>
          <w:tcPr>
            <w:tcW w:w="1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3,021,610</w:t>
            </w: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w w:val="92"/>
              </w:rPr>
              <w:t>1,040,736</w:t>
            </w:r>
          </w:p>
        </w:tc>
        <w:tc>
          <w:tcPr>
            <w:tcW w:w="2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(5,569,605)</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3,280,677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Shareholders' Deficit</w:t>
            </w:r>
          </w:p>
        </w:tc>
        <w:tc>
          <w:tcPr>
            <w:tcW w:w="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440" w:type="dxa"/>
            <w:vAlign w:val="bottom"/>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794"/>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86"/>
              </w:rPr>
              <w:t>Condensed Consolidating Balance Sheet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4"/>
              </w:rPr>
              <w:t>As of December 31, 2016</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Uniti</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251"/>
              <w:spacing w:after="0"/>
              <w:rPr>
                <w:sz w:val="20"/>
                <w:szCs w:val="20"/>
                <w:color w:val="auto"/>
              </w:rPr>
            </w:pPr>
            <w:r>
              <w:rPr>
                <w:rFonts w:ascii="Arial" w:cs="Arial" w:eastAsia="Arial" w:hAnsi="Arial"/>
                <w:sz w:val="14"/>
                <w:szCs w:val="14"/>
                <w:b w:val="1"/>
                <w:bCs w:val="1"/>
                <w:color w:val="auto"/>
                <w:w w:val="94"/>
              </w:rPr>
              <w:t>CSL Capital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0"/>
              </w:rPr>
              <w:t>Guarantors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26"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Eliminations</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1,990,526</w:t>
            </w:r>
          </w:p>
        </w:tc>
        <w:tc>
          <w:tcPr>
            <w:tcW w:w="420" w:type="dxa"/>
            <w:vAlign w:val="bottom"/>
            <w:gridSpan w:val="2"/>
          </w:tcPr>
          <w:p>
            <w:pPr>
              <w:jc w:val="right"/>
              <w:ind w:right="1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679,511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2,670,037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171,754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Affiliate receivable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145,054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117,280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262,334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123,551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160,584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Straight-line revenue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29,088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Investment in consolidated subsidiaries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2,801,234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2,036,717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763,522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(5,601,473)</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2,933,442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2,036,717</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3,013,385</w:t>
            </w:r>
          </w:p>
        </w:tc>
        <w:tc>
          <w:tcPr>
            <w:tcW w:w="420" w:type="dxa"/>
            <w:vAlign w:val="bottom"/>
            <w:gridSpan w:val="2"/>
            <w:shd w:val="clear" w:color="auto" w:fill="CFF0FC"/>
          </w:tcPr>
          <w:p>
            <w:pPr>
              <w:jc w:val="right"/>
              <w:ind w:right="11"/>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936,788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(5,601,580)</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3,318,752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w w:val="97"/>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25,865</w:t>
            </w:r>
          </w:p>
        </w:tc>
        <w:tc>
          <w:tcPr>
            <w:tcW w:w="420" w:type="dxa"/>
            <w:vAlign w:val="bottom"/>
            <w:gridSpan w:val="2"/>
          </w:tcPr>
          <w:p>
            <w:pPr>
              <w:jc w:val="right"/>
              <w:ind w:right="1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15,112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40,977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Accrued interest payable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(27,812)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157,857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103,547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261,404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Derivative liability</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(6,102)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Affiliate payable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payable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94,607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26,791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28,394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lease obligations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54,535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Contingent consideration</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98,600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Notes and other debt, net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4,028,214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4,028,214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(4,028,214)</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4,028,214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4,255,335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4,062,128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233,302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152,115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(4,062,235)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4,640,645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Convertible preferred stock</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80,552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80,552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Shareholders' Deficit: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Common stock</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141,092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141,092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(6,369)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(6,102)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7"/>
                <w:szCs w:val="17"/>
                <w:color w:val="auto"/>
              </w:rPr>
              <w:t>Distributions in excess of earnings</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(1,537,183)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7"/>
                <w:szCs w:val="17"/>
                <w:color w:val="auto"/>
              </w:rPr>
              <w:t>(2,019,309)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2,780,083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784,940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(1,545,714)</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(1,537,183)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shd w:val="clear" w:color="auto" w:fill="CFF0FC"/>
          </w:tcPr>
          <w:p>
            <w:pPr>
              <w:ind w:left="500"/>
              <w:spacing w:after="0"/>
              <w:rPr>
                <w:sz w:val="20"/>
                <w:szCs w:val="20"/>
                <w:color w:val="auto"/>
              </w:rPr>
            </w:pPr>
            <w:r>
              <w:rPr>
                <w:rFonts w:ascii="Arial" w:cs="Arial" w:eastAsia="Arial" w:hAnsi="Arial"/>
                <w:sz w:val="17"/>
                <w:szCs w:val="17"/>
                <w:color w:val="auto"/>
              </w:rPr>
              <w:t>Total shareholders' deficit</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(1,402,445)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(2,025,411)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2,780,083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784,673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(1,539,345)</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(1,402,445)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Liabilities, Convertible Preferred Stock, and</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40" w:type="dxa"/>
            <w:vAlign w:val="bottom"/>
            <w:gridSpan w:val="2"/>
            <w:vMerge w:val="continue"/>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2,933,442</w:t>
            </w:r>
          </w:p>
        </w:tc>
        <w:tc>
          <w:tcPr>
            <w:tcW w:w="14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2,036,717</w:t>
            </w:r>
          </w:p>
        </w:tc>
        <w:tc>
          <w:tcPr>
            <w:tcW w:w="1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3,013,385</w:t>
            </w:r>
          </w:p>
        </w:tc>
        <w:tc>
          <w:tcPr>
            <w:tcW w:w="420" w:type="dxa"/>
            <w:vAlign w:val="bottom"/>
            <w:gridSpan w:val="2"/>
            <w:vMerge w:val="restart"/>
          </w:tcPr>
          <w:p>
            <w:pPr>
              <w:jc w:val="right"/>
              <w:ind w:right="11"/>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936,788</w:t>
            </w:r>
          </w:p>
        </w:tc>
        <w:tc>
          <w:tcPr>
            <w:tcW w:w="2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(5,601,580)</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3,318,752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Shareholders' Deficit</w:t>
            </w:r>
          </w:p>
        </w:tc>
        <w:tc>
          <w:tcPr>
            <w:tcW w:w="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440" w:type="dxa"/>
            <w:vAlign w:val="bottom"/>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794"/>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40" w:type="dxa"/>
            <w:vAlign w:val="bottom"/>
            <w:gridSpan w:val="12"/>
          </w:tcPr>
          <w:p>
            <w:pPr>
              <w:jc w:val="right"/>
              <w:ind w:right="540"/>
              <w:spacing w:after="0"/>
              <w:rPr>
                <w:sz w:val="20"/>
                <w:szCs w:val="20"/>
                <w:color w:val="auto"/>
              </w:rPr>
            </w:pPr>
            <w:r>
              <w:rPr>
                <w:rFonts w:ascii="Arial" w:cs="Arial" w:eastAsia="Arial" w:hAnsi="Arial"/>
                <w:sz w:val="14"/>
                <w:szCs w:val="14"/>
                <w:b w:val="1"/>
                <w:bCs w:val="1"/>
                <w:color w:val="auto"/>
                <w:w w:val="93"/>
              </w:rPr>
              <w:t>Condensed Consolidating Statement of Comprehensive Income (Loss)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8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w w:val="89"/>
              </w:rPr>
              <w:t>For the Three Months Ended March 31, 2017</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Uniti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51"/>
              <w:spacing w:after="0" w:line="148" w:lineRule="exact"/>
              <w:rPr>
                <w:sz w:val="20"/>
                <w:szCs w:val="20"/>
                <w:color w:val="auto"/>
              </w:rPr>
            </w:pPr>
            <w:r>
              <w:rPr>
                <w:rFonts w:ascii="Arial" w:cs="Arial" w:eastAsia="Arial" w:hAnsi="Arial"/>
                <w:sz w:val="14"/>
                <w:szCs w:val="14"/>
                <w:b w:val="1"/>
                <w:bCs w:val="1"/>
                <w:color w:val="auto"/>
                <w:w w:val="99"/>
              </w:rPr>
              <w:t>CSL Capital</w:t>
            </w:r>
          </w:p>
        </w:tc>
        <w:tc>
          <w:tcPr>
            <w:tcW w:w="160" w:type="dxa"/>
            <w:vAlign w:val="bottom"/>
          </w:tcPr>
          <w:p>
            <w:pPr>
              <w:spacing w:after="0"/>
              <w:rPr>
                <w:sz w:val="12"/>
                <w:szCs w:val="12"/>
                <w:color w:val="auto"/>
              </w:rPr>
            </w:pPr>
          </w:p>
        </w:tc>
        <w:tc>
          <w:tcPr>
            <w:tcW w:w="11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2"/>
                <w:szCs w:val="12"/>
                <w:color w:val="auto"/>
              </w:rPr>
            </w:pPr>
          </w:p>
        </w:tc>
        <w:tc>
          <w:tcPr>
            <w:tcW w:w="116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9"/>
              </w:rPr>
              <w:t>Non-Guarantors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2"/>
                <w:szCs w:val="12"/>
                <w:color w:val="auto"/>
              </w:rPr>
            </w:pPr>
          </w:p>
        </w:tc>
        <w:tc>
          <w:tcPr>
            <w:tcW w:w="10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Leasing</w:t>
            </w:r>
          </w:p>
        </w:tc>
        <w:tc>
          <w:tcPr>
            <w:tcW w:w="34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169,335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971</w:t>
            </w: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170,306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Fiber Infrastructure</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Tower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Consumer CLEC</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Total revenues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194,441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70,372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(72,247)</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72,890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28,471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Operating expense (exclusive of depreciation,</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accretion and amortization)</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Transaction related costs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 expenses, net</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10,910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82,910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41,254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(72,247)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231,852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Earnings (loss) from consolidated subsidiaries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62,910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(23,703)</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(108,565)</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color w:val="auto"/>
              </w:rPr>
              <w:t>(Loss) income before income taxes</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(2,889)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63,050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(24,222)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(36,318)</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(20,379)</w:t>
            </w: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(935)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color w:val="auto"/>
              </w:rPr>
              <w:t>Net (loss) income</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(20,000)</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(2,889)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62,494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(23,287)</w:t>
            </w: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(36,318)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198"/>
        </w:trPr>
        <w:tc>
          <w:tcPr>
            <w:tcW w:w="36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Comprehensive (loss) income</w:t>
            </w:r>
          </w:p>
        </w:tc>
        <w:tc>
          <w:tcPr>
            <w:tcW w:w="34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(10,559)</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62,494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(18,412)</w:t>
            </w: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(45,759)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(10,559)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4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w w:val="93"/>
              </w:rPr>
              <w:t>Condensed Consolidating Statement of Comprehensive Income (Loss)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8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4"/>
                <w:szCs w:val="14"/>
                <w:b w:val="1"/>
                <w:bCs w:val="1"/>
                <w:color w:val="auto"/>
                <w:w w:val="89"/>
              </w:rPr>
              <w:t>For the Three Months Ended March 31, 2016</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rPr>
              <w:t>Uniti</w:t>
            </w:r>
          </w:p>
        </w:tc>
        <w:tc>
          <w:tcPr>
            <w:tcW w:w="160" w:type="dxa"/>
            <w:vAlign w:val="bottom"/>
          </w:tcPr>
          <w:p>
            <w:pPr>
              <w:spacing w:after="0"/>
              <w:rPr>
                <w:sz w:val="12"/>
                <w:szCs w:val="12"/>
                <w:color w:val="auto"/>
              </w:rPr>
            </w:pPr>
          </w:p>
        </w:tc>
        <w:tc>
          <w:tcPr>
            <w:tcW w:w="1120" w:type="dxa"/>
            <w:vAlign w:val="bottom"/>
            <w:gridSpan w:val="2"/>
          </w:tcPr>
          <w:p>
            <w:pPr>
              <w:jc w:val="right"/>
              <w:ind w:right="251"/>
              <w:spacing w:after="0" w:line="148" w:lineRule="exact"/>
              <w:rPr>
                <w:sz w:val="20"/>
                <w:szCs w:val="20"/>
                <w:color w:val="auto"/>
              </w:rPr>
            </w:pPr>
            <w:r>
              <w:rPr>
                <w:rFonts w:ascii="Arial" w:cs="Arial" w:eastAsia="Arial" w:hAnsi="Arial"/>
                <w:sz w:val="14"/>
                <w:szCs w:val="14"/>
                <w:b w:val="1"/>
                <w:bCs w:val="1"/>
                <w:color w:val="auto"/>
                <w:w w:val="99"/>
              </w:rPr>
              <w:t>CSL Capital</w:t>
            </w:r>
          </w:p>
        </w:tc>
        <w:tc>
          <w:tcPr>
            <w:tcW w:w="160" w:type="dxa"/>
            <w:vAlign w:val="bottom"/>
          </w:tcPr>
          <w:p>
            <w:pPr>
              <w:spacing w:after="0"/>
              <w:rPr>
                <w:sz w:val="12"/>
                <w:szCs w:val="12"/>
                <w:color w:val="auto"/>
              </w:rPr>
            </w:pPr>
          </w:p>
        </w:tc>
        <w:tc>
          <w:tcPr>
            <w:tcW w:w="11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9"/>
              </w:rPr>
              <w:t>Non-Guarantors</w:t>
            </w:r>
          </w:p>
        </w:tc>
        <w:tc>
          <w:tcPr>
            <w:tcW w:w="140" w:type="dxa"/>
            <w:vAlign w:val="bottom"/>
          </w:tcPr>
          <w:p>
            <w:pPr>
              <w:spacing w:after="0"/>
              <w:rPr>
                <w:sz w:val="12"/>
                <w:szCs w:val="12"/>
                <w:color w:val="auto"/>
              </w:rPr>
            </w:pPr>
          </w:p>
        </w:tc>
        <w:tc>
          <w:tcPr>
            <w:tcW w:w="11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2"/>
                <w:szCs w:val="12"/>
                <w:color w:val="auto"/>
              </w:rPr>
            </w:pPr>
          </w:p>
        </w:tc>
        <w:tc>
          <w:tcPr>
            <w:tcW w:w="10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Leasing</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168,266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168,613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Fiber Infrastructure</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Tower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Consumer CLEC</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Total revenues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174,675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(66,145)</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22,251</w:t>
            </w: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20"/>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Operating expense (exclusive of depreciation,</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accretion and amortization)</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4,707</w:t>
            </w: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Transaction related costs</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Total costs and expenses</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67,075</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72,066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27,054</w:t>
            </w: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(66,145)</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7"/>
                <w:szCs w:val="17"/>
                <w:color w:val="auto"/>
              </w:rPr>
              <w:t>Earnings (loss) from consolidated subsidiaries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(21,191)</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(129,134)</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75,037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(20,673)</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(62,989)</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 expense</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74,789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(20,869)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(62,989)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Comprehensive income (loss)</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(32,326)</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(31,373)</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74,789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(20,789)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(22,627)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(32,326)</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12"/>
          </w:tcPr>
          <w:p>
            <w:pPr>
              <w:ind w:left="260"/>
              <w:spacing w:after="0"/>
              <w:rPr>
                <w:sz w:val="20"/>
                <w:szCs w:val="20"/>
                <w:color w:val="auto"/>
              </w:rPr>
            </w:pPr>
            <w:r>
              <w:rPr>
                <w:rFonts w:ascii="Arial" w:cs="Arial" w:eastAsia="Arial" w:hAnsi="Arial"/>
                <w:sz w:val="14"/>
                <w:szCs w:val="14"/>
                <w:b w:val="1"/>
                <w:bCs w:val="1"/>
                <w:color w:val="auto"/>
                <w:w w:val="86"/>
              </w:rPr>
              <w:t>Condensed Consolidating Statement of Cash Flows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ind w:left="420"/>
              <w:spacing w:after="0"/>
              <w:rPr>
                <w:sz w:val="20"/>
                <w:szCs w:val="20"/>
                <w:color w:val="auto"/>
              </w:rPr>
            </w:pPr>
            <w:r>
              <w:rPr>
                <w:rFonts w:ascii="Arial" w:cs="Arial" w:eastAsia="Arial" w:hAnsi="Arial"/>
                <w:sz w:val="14"/>
                <w:szCs w:val="14"/>
                <w:b w:val="1"/>
                <w:bCs w:val="1"/>
                <w:color w:val="auto"/>
                <w:w w:val="96"/>
              </w:rPr>
              <w:t>For the Three Months Ended March 31, 2017</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Uniti</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CSL 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Guarantors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0"/>
                <w:szCs w:val="10"/>
                <w:color w:val="auto"/>
              </w:rPr>
            </w:pPr>
          </w:p>
        </w:tc>
        <w:tc>
          <w:tcPr>
            <w:tcW w:w="11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Eliminations</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20" w:type="dxa"/>
            <w:vAlign w:val="bottom"/>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operating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480"/>
              <w:spacing w:after="0"/>
              <w:rPr>
                <w:sz w:val="20"/>
                <w:szCs w:val="20"/>
                <w:color w:val="auto"/>
              </w:rPr>
            </w:pPr>
            <w:r>
              <w:rPr>
                <w:rFonts w:ascii="Arial" w:cs="Arial" w:eastAsia="Arial" w:hAnsi="Arial"/>
                <w:sz w:val="17"/>
                <w:szCs w:val="17"/>
                <w:color w:val="auto"/>
              </w:rPr>
              <w:t>Net cash provided by (used in) operating activities</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150,115</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5,195</w:t>
            </w:r>
          </w:p>
        </w:tc>
        <w:tc>
          <w:tcPr>
            <w:tcW w:w="100" w:type="dxa"/>
            <w:vAlign w:val="bottom"/>
          </w:tcPr>
          <w:p>
            <w:pPr>
              <w:spacing w:after="0"/>
              <w:rPr>
                <w:sz w:val="19"/>
                <w:szCs w:val="19"/>
                <w:color w:val="auto"/>
              </w:rPr>
            </w:pPr>
          </w:p>
        </w:tc>
        <w:tc>
          <w:tcPr>
            <w:tcW w:w="440" w:type="dxa"/>
            <w:vAlign w:val="bottom"/>
            <w:gridSpan w:val="2"/>
          </w:tcPr>
          <w:p>
            <w:pPr>
              <w:jc w:val="right"/>
              <w:ind w:right="171"/>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(76,498)</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128,202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Acquisition of businesses, net of cash acquired</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Acquisition of ground lease investments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(7,191)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NMS asset acquisition (Note 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(64,622)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(64,622)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(5,641)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(14,931)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48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(12,832)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(73,664)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 from financing activities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Principal payment on debt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(5,270)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Dividends paid</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(94,133)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(94,133)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Borrowings under revolving credit facility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Payments under revolving credit facility</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(25,000)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Capital lease payments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Deferred financing costs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(24,418)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Common stock issuance, net of costs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Payments of contingent consideration</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(18,791)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Net share settlement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Intercompany transactions, net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(153,410)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76,912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76,498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80"/>
              <w:spacing w:after="0"/>
              <w:rPr>
                <w:sz w:val="20"/>
                <w:szCs w:val="20"/>
                <w:color w:val="auto"/>
              </w:rPr>
            </w:pPr>
            <w:r>
              <w:rPr>
                <w:rFonts w:ascii="Arial" w:cs="Arial" w:eastAsia="Arial" w:hAnsi="Arial"/>
                <w:sz w:val="17"/>
                <w:szCs w:val="17"/>
                <w:color w:val="auto"/>
              </w:rPr>
              <w:t>Net cash (used in) provided by financing activities</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(144,356)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(153,930)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76,498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(145,028)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(94,966)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(16,647)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8,585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(103,028)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December 31, 2016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131,145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171,754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7"/>
                <w:szCs w:val="17"/>
                <w:b w:val="1"/>
                <w:bCs w:val="1"/>
                <w:color w:val="auto"/>
              </w:rPr>
              <w:t>Cash and cash equivalents, March 31, 2017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15,779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16,768</w:t>
            </w:r>
          </w:p>
        </w:tc>
        <w:tc>
          <w:tcPr>
            <w:tcW w:w="100" w:type="dxa"/>
            <w:vAlign w:val="bottom"/>
          </w:tcPr>
          <w:p>
            <w:pPr>
              <w:spacing w:after="0"/>
              <w:rPr>
                <w:sz w:val="18"/>
                <w:szCs w:val="18"/>
                <w:color w:val="auto"/>
              </w:rPr>
            </w:pPr>
          </w:p>
        </w:tc>
        <w:tc>
          <w:tcPr>
            <w:tcW w:w="440" w:type="dxa"/>
            <w:vAlign w:val="bottom"/>
            <w:gridSpan w:val="2"/>
          </w:tcPr>
          <w:p>
            <w:pPr>
              <w:jc w:val="right"/>
              <w:ind w:right="171"/>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68,726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60" w:type="dxa"/>
            <w:vAlign w:val="bottom"/>
            <w:gridSpan w:val="13"/>
          </w:tcPr>
          <w:p>
            <w:pPr>
              <w:ind w:left="26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w w:val="91"/>
              </w:rPr>
              <w:t>For the three months ended March 31, 2016</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Uniti</w:t>
            </w: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CSL Capital</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Guarantors</w:t>
            </w:r>
          </w:p>
        </w:tc>
        <w:tc>
          <w:tcPr>
            <w:tcW w:w="80" w:type="dxa"/>
            <w:vAlign w:val="bottom"/>
          </w:tcPr>
          <w:p>
            <w:pPr>
              <w:spacing w:after="0"/>
              <w:rPr>
                <w:sz w:val="10"/>
                <w:szCs w:val="10"/>
                <w:color w:val="auto"/>
              </w:rPr>
            </w:pPr>
          </w:p>
        </w:tc>
        <w:tc>
          <w:tcPr>
            <w:tcW w:w="1020" w:type="dxa"/>
            <w:vAlign w:val="bottom"/>
            <w:gridSpan w:val="3"/>
          </w:tcPr>
          <w:p>
            <w:pPr>
              <w:jc w:val="center"/>
              <w:ind w:right="320"/>
              <w:spacing w:after="0" w:line="126" w:lineRule="exact"/>
              <w:rPr>
                <w:sz w:val="20"/>
                <w:szCs w:val="20"/>
                <w:color w:val="auto"/>
              </w:rPr>
            </w:pPr>
            <w:r>
              <w:rPr>
                <w:rFonts w:ascii="Arial" w:cs="Arial" w:eastAsia="Arial" w:hAnsi="Arial"/>
                <w:sz w:val="14"/>
                <w:szCs w:val="14"/>
                <w:b w:val="1"/>
                <w:bCs w:val="1"/>
                <w:color w:val="auto"/>
                <w:w w:val="93"/>
              </w:rPr>
              <w:t>Non-</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0"/>
                <w:szCs w:val="10"/>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Guarantors</w:t>
            </w: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operating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ind w:left="480"/>
              <w:spacing w:after="0"/>
              <w:rPr>
                <w:sz w:val="20"/>
                <w:szCs w:val="20"/>
                <w:color w:val="auto"/>
              </w:rPr>
            </w:pPr>
            <w:r>
              <w:rPr>
                <w:rFonts w:ascii="Arial" w:cs="Arial" w:eastAsia="Arial" w:hAnsi="Arial"/>
                <w:sz w:val="17"/>
                <w:szCs w:val="17"/>
                <w:color w:val="auto"/>
              </w:rPr>
              <w:t>Net cash provided by (used in)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97,665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Arial" w:cs="Arial" w:eastAsia="Arial" w:hAnsi="Arial"/>
                <w:sz w:val="17"/>
                <w:szCs w:val="17"/>
                <w:color w:val="auto"/>
                <w:w w:val="84"/>
              </w:rPr>
              <w:t>$</w:t>
            </w:r>
          </w:p>
        </w:tc>
        <w:tc>
          <w:tcPr>
            <w:tcW w:w="74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153,550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(130,695)</w:t>
            </w:r>
          </w:p>
        </w:tc>
        <w:tc>
          <w:tcPr>
            <w:tcW w:w="30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121,701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businesses, net of cash acquired</w:t>
            </w:r>
          </w:p>
        </w:tc>
        <w:tc>
          <w:tcPr>
            <w:tcW w:w="2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ind w:left="240"/>
              <w:spacing w:after="0"/>
              <w:rPr>
                <w:sz w:val="20"/>
                <w:szCs w:val="20"/>
                <w:color w:val="auto"/>
              </w:rPr>
            </w:pPr>
            <w:r>
              <w:rPr>
                <w:rFonts w:ascii="Arial" w:cs="Arial" w:eastAsia="Arial" w:hAnsi="Arial"/>
                <w:sz w:val="17"/>
                <w:szCs w:val="17"/>
                <w:color w:val="auto"/>
              </w:rPr>
              <w:t>Acquisition of ground lease investments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(1,347)</w:t>
            </w:r>
          </w:p>
        </w:tc>
        <w:tc>
          <w:tcPr>
            <w:tcW w:w="8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22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(77)</w:t>
            </w: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480"/>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(1,424)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rPr>
                <w:sz w:val="20"/>
                <w:szCs w:val="20"/>
                <w:color w:val="auto"/>
              </w:rPr>
            </w:pPr>
            <w:r>
              <w:rPr>
                <w:rFonts w:ascii="Arial" w:cs="Arial" w:eastAsia="Arial" w:hAnsi="Arial"/>
                <w:sz w:val="17"/>
                <w:szCs w:val="17"/>
                <w:b w:val="1"/>
                <w:bCs w:val="1"/>
                <w:color w:val="auto"/>
              </w:rPr>
              <w:t>Cash flow from financing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Principal payment on debt</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(6,044)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(6,044)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rPr>
                <w:sz w:val="20"/>
                <w:szCs w:val="20"/>
                <w:color w:val="auto"/>
              </w:rPr>
            </w:pPr>
            <w:r>
              <w:rPr>
                <w:rFonts w:ascii="Arial" w:cs="Arial" w:eastAsia="Arial" w:hAnsi="Arial"/>
                <w:sz w:val="17"/>
                <w:szCs w:val="17"/>
                <w:color w:val="auto"/>
              </w:rPr>
              <w:t>Net share settlement</w:t>
            </w: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Dividends Paid</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(90,314)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gridSpan w:val="2"/>
          </w:tcPr>
          <w:p>
            <w:pPr>
              <w:spacing w:after="0"/>
              <w:rPr>
                <w:sz w:val="20"/>
                <w:szCs w:val="20"/>
                <w:color w:val="auto"/>
              </w:rPr>
            </w:pPr>
            <w:r>
              <w:rPr>
                <w:rFonts w:ascii="Arial" w:cs="Arial" w:eastAsia="Arial" w:hAnsi="Arial"/>
                <w:sz w:val="17"/>
                <w:szCs w:val="17"/>
                <w:color w:val="auto"/>
              </w:rPr>
              <w:t>Intercompany transactions,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(132,165)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130,695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cash (used in) provided by financing activities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(97,624)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(132,165)</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130,695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(97,624)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2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increase in cash and cash equivalents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22,842</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Cash and cash equivalents, December 31, 2015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140,197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142,498</w:t>
            </w:r>
          </w:p>
        </w:tc>
        <w:tc>
          <w:tcPr>
            <w:tcW w:w="1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 March 31, 2016</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80"/>
              <w:spacing w:after="0"/>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160,158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165,340</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Subsequent Events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April 25, 2017, we issued 19.5 million shares of our common stock, generating proceeds of approximately $518 million, before underwriter discounts and transaction costs. The Company intends to use the proceeds from this offering to fund a portion of the cash consideration payable in connection with the previously announced acquisitions of Southern Light, LLC (“Southern Light”) and Hunt Telecommunications LLC.</w:t>
      </w:r>
    </w:p>
    <w:p>
      <w:pPr>
        <w:spacing w:after="0" w:line="17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On April 24, 2017, we, along with CSL Capital and Uniti Fiber Holdings Inc., announced the pricing of an offering of $200 million aggregate principal amount of 7.125% senior notes due 2024. The notes will be jointly and severally issued by Uniti Group, Inc., CSL Capital and Uniti Fiber Holdings Inc. at an issue price of 100.500%, plus accrued interest from December 15, 2016. Proceeds from the offering will be used to fund a portion of the cash consideration payable in connection with the previously announced acquisition of Southern Light. The indenture governing these notes contains a mandatory redemption feature, whereby we will be required to redeem the notes at issue price plus accrued interest if the Southern Light acquisition is not completed by October 14, 2017.</w:t>
      </w:r>
    </w:p>
    <w:p>
      <w:pPr>
        <w:spacing w:after="0" w:line="16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On April 10, 2017, we announced a definitive agreement to acquire Southern Light for initial consideration of $700 million, consisting of $635 million in cash, subject to certain adjustments set forth in the transaction documents, and the issuance of 2.5 million operating partnership units. Southern Light is a leading provider of data transport services along the Gulf Coast region serving twelve attractive Tier II and Tier III markets across Florida, Alabama, Louisiana, and Mississippi. The transaction is expected to close during the third quarter of 2017 and is subject to regulatory approvals and other customary terms and conditions.</w:t>
      </w:r>
    </w:p>
    <w:p>
      <w:pPr>
        <w:spacing w:after="0" w:line="145"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On April 28 2017, we amended the Credit Agreement to increase the commitments under our Revolving Credit Facility from $500 million to $750 million. Other terms of the revolving credit agreement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2017. This discussion should be read in conjunction with the accompanying unaudited financial statements, and the notes thereto set forth in Part I, Item 1 of this Quarterly Report on Form 10-Q and our Annual Report on Form 10-K for the year ended December 31, 2016, filed with the SEC on February 23, 2017.</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Description</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April 24, 2015, Uniti Group Inc. (the “Company”, “Uniti”, “we”, “us” or “our”), formerly known as Communications Sales &amp; Leasing, Inc., completed the Spin-Off from Windstream pursuant to which Windstream contributed the Distribution Systems and the Consumer CLEC Business (“Talk America”) to Uniti and Uniti issued common stock and indebtedness and paid cash obtained from borrowings under Uniti’s senior credit facilities to Windstream. In connection with the Spin-Off, we entered into the Master Lease with Windstream, pursuant to which a substantial portion of our real property is leased to Windstream and from which substantially all of our leasing revenues are currently derived.</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are an independent, internally managed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as taxable REIT subsidiaries (“TRSs”). TRSs enable us to engage in activities that do not result in income that would be qualifying income for a REIT. Our TRSs are subject to U.S. federal, state and local corporate income taxes.</w:t>
      </w:r>
    </w:p>
    <w:p>
      <w:pPr>
        <w:spacing w:after="0" w:line="73" w:lineRule="exact"/>
        <w:rPr>
          <w:sz w:val="20"/>
          <w:szCs w:val="20"/>
          <w:color w:val="auto"/>
        </w:rPr>
      </w:pPr>
    </w:p>
    <w:p>
      <w:pPr>
        <w:jc w:val="both"/>
        <w:ind w:right="60"/>
        <w:spacing w:after="0" w:line="296" w:lineRule="auto"/>
        <w:rPr>
          <w:sz w:val="20"/>
          <w:szCs w:val="20"/>
          <w:color w:val="auto"/>
        </w:rPr>
      </w:pPr>
      <w:r>
        <w:rPr>
          <w:rFonts w:ascii="Arial" w:cs="Arial" w:eastAsia="Arial" w:hAnsi="Arial"/>
          <w:sz w:val="15"/>
          <w:szCs w:val="15"/>
          <w:color w:val="auto"/>
        </w:rPr>
        <w:t>We expect to grow and diversify our portfolio and tenant base by pursuing a range of transaction structures with communication service providers, including, (i) sale leaseback transactions, whereby we acquire existing infrastructure assets from communication service providers and lease them back on a long-term triple net basis;</w:t>
      </w:r>
    </w:p>
    <w:p>
      <w:pPr>
        <w:spacing w:after="0" w:line="1" w:lineRule="exact"/>
        <w:rPr>
          <w:sz w:val="20"/>
          <w:szCs w:val="20"/>
          <w:color w:val="auto"/>
        </w:rPr>
      </w:pPr>
    </w:p>
    <w:p>
      <w:pPr>
        <w:jc w:val="both"/>
        <w:ind w:right="20" w:firstLine="3"/>
        <w:spacing w:after="0" w:line="258" w:lineRule="auto"/>
        <w:tabs>
          <w:tab w:leader="none" w:pos="253" w:val="left"/>
        </w:tabs>
        <w:numPr>
          <w:ilvl w:val="0"/>
          <w:numId w:val="6"/>
        </w:numPr>
        <w:rPr>
          <w:rFonts w:ascii="Arial" w:cs="Arial" w:eastAsia="Arial" w:hAnsi="Arial"/>
          <w:sz w:val="17"/>
          <w:szCs w:val="17"/>
          <w:color w:val="auto"/>
        </w:rPr>
      </w:pPr>
      <w:r>
        <w:rPr>
          <w:rFonts w:ascii="Arial" w:cs="Arial" w:eastAsia="Arial" w:hAnsi="Arial"/>
          <w:sz w:val="17"/>
          <w:szCs w:val="17"/>
          <w:color w:val="auto"/>
        </w:rPr>
        <w:t>whole company acquisitions, which may include the use of one or more TRSs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manage our operations as four reportable business segments in addition to our corporate operations:</w:t>
      </w:r>
    </w:p>
    <w:p>
      <w:pPr>
        <w:spacing w:after="0" w:line="21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our REIT operations and includes the results from our leasing programs, Uniti Leasing, which is engaged in the acquisition of mission-critical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assets and leasing them back to anchor customers on either an exclusive or shared-tenant basis.</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color w:val="auto"/>
        </w:rPr>
        <w:t>: Represents the operations of Uniti Fiber, which is a leading provider of infrastructure solutions including cell site backhaul and dark fiber,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telecommunications industry.</w:t>
      </w:r>
    </w:p>
    <w:p>
      <w:pPr>
        <w:spacing w:after="0" w:line="159"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color w:val="auto"/>
        </w:rPr>
        <w:t>: Represents the operations of our towers business, Uniti Towers, through which we acquire and construct tower and tower-related real estate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Latin America</w:t>
      </w:r>
    </w:p>
    <w:p>
      <w:pPr>
        <w:spacing w:after="0" w:line="15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that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was 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color w:val="auto"/>
        </w:rPr>
        <w:t>: Represents our corporate and back office functions. Certain costs and expenses, primarily related to headcount, insurance, professional fees and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that are directly attributable to operations of our business segments are allocated to the respective segments.</w:t>
      </w:r>
    </w:p>
    <w:p>
      <w:pPr>
        <w:spacing w:after="0" w:line="159" w:lineRule="exact"/>
        <w:rPr>
          <w:sz w:val="20"/>
          <w:szCs w:val="20"/>
          <w:color w:val="auto"/>
        </w:rPr>
      </w:pPr>
    </w:p>
    <w:p>
      <w:pPr>
        <w:ind w:right="780"/>
        <w:spacing w:after="0" w:line="283"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defined as net income determined in accordance with GAAP, before interest expense, provision for income taxes, depreciation and amortization,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Quarterly Business Developments</w:t>
      </w: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u w:val="single" w:color="auto"/>
          <w:color w:val="auto"/>
        </w:rPr>
        <w:t>Acquisition of Southern Light, LLC.</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10, 2017, we announced a definitive agreement to acquire Southern Light, LLC (“Southern Light”) for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$700 million, consisting of $635 million in cash, subject to certain adjustments set forth in the transaction documents, and the issuance of 2.5 million operating partnership units. Southern Light is a leading provider of data transport services along the Gulf Coast region serving twelve attractive Tier II and Tier III markets across Florida, Alabama, Louisiana, and Mississippi. Southern Light’s dense regional fiber network comprises nearly 540,000 fiber strand miles, 5,700 fiber route miles, and over 4,500 on-net locations. The transaction is expected to close during the third quarter of 2017 and is subject to regulatory approvals and other customary terms and conditions.</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u w:val="single" w:color="auto"/>
          <w:color w:val="auto"/>
        </w:rPr>
        <w:t>Acquisition of Hunt Telecommunications, LLC.</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23, 2017, we announced a definitive agreement to acquire Hunt Telecommunications, LLC (“Hunt”) for</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consideration of $114.5 million in cash and approximately 2 million operating partnership units. Hunt is a leading provider of data transport to K-12 schools and government agencies with a dense fiber network in Louisiana. The transaction is expected to close during the third quarter of 2017 and is subject to regulatory approvals and other customary terms and conditions.</w:t>
      </w:r>
    </w:p>
    <w:p>
      <w:pPr>
        <w:spacing w:after="0" w:line="7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u w:val="single" w:color="auto"/>
          <w:color w:val="auto"/>
        </w:rPr>
        <w:t>Acquisition of NMS.</w:t>
      </w:r>
      <w:r>
        <w:rPr>
          <w:rFonts w:ascii="Arial" w:cs="Arial" w:eastAsia="Arial" w:hAnsi="Arial"/>
          <w:sz w:val="16"/>
          <w:szCs w:val="16"/>
          <w:i w:val="1"/>
          <w:iCs w:val="1"/>
          <w:color w:val="auto"/>
        </w:rPr>
        <w:t xml:space="preserve"> </w:t>
      </w:r>
      <w:r>
        <w:rPr>
          <w:rFonts w:ascii="Arial" w:cs="Arial" w:eastAsia="Arial" w:hAnsi="Arial"/>
          <w:sz w:val="16"/>
          <w:szCs w:val="16"/>
          <w:color w:val="auto"/>
        </w:rPr>
        <w:t>On January 31, 2017, we completed the previously announced acquisition of Network Management Holdings LTD (‘‘NMS’’). At close, NMS</w:t>
      </w:r>
      <w:r>
        <w:rPr>
          <w:rFonts w:ascii="Arial" w:cs="Arial" w:eastAsia="Arial" w:hAnsi="Arial"/>
          <w:sz w:val="16"/>
          <w:szCs w:val="16"/>
          <w:i w:val="1"/>
          <w:iCs w:val="1"/>
          <w:color w:val="auto"/>
        </w:rPr>
        <w:t xml:space="preserve"> </w:t>
      </w:r>
      <w:r>
        <w:rPr>
          <w:rFonts w:ascii="Arial" w:cs="Arial" w:eastAsia="Arial" w:hAnsi="Arial"/>
          <w:sz w:val="16"/>
          <w:szCs w:val="16"/>
          <w:color w:val="auto"/>
        </w:rPr>
        <w:t>owned and operated 366 wireless communications towers in Latin America with an additional 105 build to suit tower sites under development. The NMS portfolio spans three Latin America countries with 212 towers in Mexico, 54 towers in Nicaragua, and 100 towers in Colombia. The consideration for the 366 wireless towers currently in operation was $62.6 million, which was funded through cash on hand. Under the terms of the purchase agreement, we will acquire the towers under development when construction is completed, of which we acquired 24 completed towers on March 15, 2017 for approximately $2.1 million.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March 31, 2017 and 2016</w:t>
      </w:r>
    </w:p>
    <w:p>
      <w:pPr>
        <w:spacing w:after="0" w:line="22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Beginning in the first quarter of 2017, the Company manages and reports our operations in four reportable segments: Leasing, Fiber Infrastructure, Towers, and Consumer CLEC. Prior period data has been reclassified to conform to the current period presentation.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Revenues</w:t>
            </w:r>
          </w:p>
        </w:tc>
        <w:tc>
          <w:tcPr>
            <w:tcW w:w="1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21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Leasing</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170,306</w:t>
            </w:r>
          </w:p>
        </w:tc>
        <w:tc>
          <w:tcPr>
            <w:tcW w:w="320" w:type="dxa"/>
            <w:vAlign w:val="bottom"/>
          </w:tcPr>
          <w:p>
            <w:pPr>
              <w:spacing w:after="0"/>
              <w:rPr>
                <w:sz w:val="19"/>
                <w:szCs w:val="19"/>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1"/>
              </w:rPr>
              <w:t>80.5%</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168,613</w:t>
            </w:r>
          </w:p>
        </w:tc>
        <w:tc>
          <w:tcPr>
            <w:tcW w:w="320" w:type="dxa"/>
            <w:vAlign w:val="bottom"/>
          </w:tcPr>
          <w:p>
            <w:pPr>
              <w:spacing w:after="0"/>
              <w:rPr>
                <w:sz w:val="19"/>
                <w:szCs w:val="19"/>
                <w:color w:val="auto"/>
              </w:rPr>
            </w:pPr>
          </w:p>
        </w:tc>
        <w:tc>
          <w:tcPr>
            <w:tcW w:w="960" w:type="dxa"/>
            <w:vAlign w:val="bottom"/>
          </w:tcPr>
          <w:p>
            <w:pPr>
              <w:jc w:val="center"/>
              <w:ind w:left="15"/>
              <w:spacing w:after="0"/>
              <w:rPr>
                <w:sz w:val="20"/>
                <w:szCs w:val="20"/>
                <w:color w:val="auto"/>
              </w:rPr>
            </w:pPr>
            <w:r>
              <w:rPr>
                <w:rFonts w:ascii="Arial" w:cs="Arial" w:eastAsia="Arial" w:hAnsi="Arial"/>
                <w:sz w:val="17"/>
                <w:szCs w:val="17"/>
                <w:color w:val="auto"/>
                <w:w w:val="95"/>
              </w:rPr>
              <w:t>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1"/>
              </w:rPr>
              <w:t>16.5%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Tower</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1,428</w:t>
            </w:r>
          </w:p>
        </w:tc>
        <w:tc>
          <w:tcPr>
            <w:tcW w:w="320" w:type="dxa"/>
            <w:vAlign w:val="bottom"/>
          </w:tcPr>
          <w:p>
            <w:pPr>
              <w:spacing w:after="0"/>
              <w:rPr>
                <w:sz w:val="19"/>
                <w:szCs w:val="19"/>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2"/>
              </w:rPr>
              <w:t>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16"/>
              <w:spacing w:after="0"/>
              <w:rPr>
                <w:sz w:val="20"/>
                <w:szCs w:val="20"/>
                <w:color w:val="auto"/>
              </w:rPr>
            </w:pPr>
            <w:r>
              <w:rPr>
                <w:rFonts w:ascii="Arial" w:cs="Arial" w:eastAsia="Arial" w:hAnsi="Arial"/>
                <w:sz w:val="17"/>
                <w:szCs w:val="17"/>
                <w:color w:val="auto"/>
                <w:w w:val="92"/>
              </w:rPr>
              <w:t>2.3%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ind w:left="480"/>
              <w:spacing w:after="0"/>
              <w:rPr>
                <w:sz w:val="20"/>
                <w:szCs w:val="20"/>
                <w:color w:val="auto"/>
              </w:rPr>
            </w:pPr>
            <w:r>
              <w:rPr>
                <w:rFonts w:ascii="Arial" w:cs="Arial" w:eastAsia="Arial" w:hAnsi="Arial"/>
                <w:sz w:val="17"/>
                <w:szCs w:val="17"/>
                <w:color w:val="auto"/>
              </w:rPr>
              <w:t>Total revenues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211,473</w:t>
            </w:r>
          </w:p>
        </w:tc>
        <w:tc>
          <w:tcPr>
            <w:tcW w:w="320" w:type="dxa"/>
            <w:vAlign w:val="bottom"/>
          </w:tcPr>
          <w:p>
            <w:pPr>
              <w:spacing w:after="0"/>
              <w:rPr>
                <w:sz w:val="18"/>
                <w:szCs w:val="18"/>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0"/>
              </w:rPr>
              <w:t>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174,675</w:t>
            </w:r>
          </w:p>
        </w:tc>
        <w:tc>
          <w:tcPr>
            <w:tcW w:w="320" w:type="dxa"/>
            <w:vAlign w:val="bottom"/>
          </w:tcPr>
          <w:p>
            <w:pPr>
              <w:spacing w:after="0"/>
              <w:rPr>
                <w:sz w:val="18"/>
                <w:szCs w:val="18"/>
                <w:color w:val="auto"/>
              </w:rPr>
            </w:pPr>
          </w:p>
        </w:tc>
        <w:tc>
          <w:tcPr>
            <w:tcW w:w="960" w:type="dxa"/>
            <w:vAlign w:val="bottom"/>
          </w:tcPr>
          <w:p>
            <w:pPr>
              <w:jc w:val="center"/>
              <w:ind w:left="15"/>
              <w:spacing w:after="0"/>
              <w:rPr>
                <w:sz w:val="20"/>
                <w:szCs w:val="20"/>
                <w:color w:val="auto"/>
              </w:rPr>
            </w:pPr>
            <w:r>
              <w:rPr>
                <w:rFonts w:ascii="Arial" w:cs="Arial" w:eastAsia="Arial" w:hAnsi="Arial"/>
                <w:sz w:val="17"/>
                <w:szCs w:val="17"/>
                <w:color w:val="auto"/>
                <w:w w:val="93"/>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73,365</w:t>
            </w:r>
          </w:p>
        </w:tc>
        <w:tc>
          <w:tcPr>
            <w:tcW w:w="320" w:type="dxa"/>
            <w:vAlign w:val="bottom"/>
          </w:tcPr>
          <w:p>
            <w:pPr>
              <w:spacing w:after="0"/>
              <w:rPr>
                <w:sz w:val="19"/>
                <w:szCs w:val="19"/>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1"/>
              </w:rPr>
              <w:t>34.7%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66,049</w:t>
            </w:r>
          </w:p>
        </w:tc>
        <w:tc>
          <w:tcPr>
            <w:tcW w:w="320" w:type="dxa"/>
            <w:vAlign w:val="bottom"/>
          </w:tcPr>
          <w:p>
            <w:pPr>
              <w:spacing w:after="0"/>
              <w:rPr>
                <w:sz w:val="19"/>
                <w:szCs w:val="19"/>
                <w:color w:val="auto"/>
              </w:rPr>
            </w:pPr>
          </w:p>
        </w:tc>
        <w:tc>
          <w:tcPr>
            <w:tcW w:w="960" w:type="dxa"/>
            <w:vAlign w:val="bottom"/>
          </w:tcPr>
          <w:p>
            <w:pPr>
              <w:jc w:val="center"/>
              <w:ind w:left="15"/>
              <w:spacing w:after="0"/>
              <w:rPr>
                <w:sz w:val="20"/>
                <w:szCs w:val="20"/>
                <w:color w:val="auto"/>
              </w:rPr>
            </w:pPr>
            <w:r>
              <w:rPr>
                <w:rFonts w:ascii="Arial" w:cs="Arial" w:eastAsia="Arial" w:hAnsi="Arial"/>
                <w:sz w:val="17"/>
                <w:szCs w:val="17"/>
                <w:color w:val="auto"/>
                <w:w w:val="95"/>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101,361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1"/>
              </w:rPr>
              <w:t>47.9%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86,340</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left="15"/>
              <w:spacing w:after="0"/>
              <w:rPr>
                <w:sz w:val="20"/>
                <w:szCs w:val="20"/>
                <w:color w:val="auto"/>
              </w:rPr>
            </w:pPr>
            <w:r>
              <w:rPr>
                <w:rFonts w:ascii="Arial" w:cs="Arial" w:eastAsia="Arial" w:hAnsi="Arial"/>
                <w:sz w:val="17"/>
                <w:szCs w:val="17"/>
                <w:color w:val="auto"/>
                <w:w w:val="95"/>
              </w:rPr>
              <w:t>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General and administrative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13,978</w:t>
            </w:r>
          </w:p>
        </w:tc>
        <w:tc>
          <w:tcPr>
            <w:tcW w:w="320" w:type="dxa"/>
            <w:vAlign w:val="bottom"/>
          </w:tcPr>
          <w:p>
            <w:pPr>
              <w:spacing w:after="0"/>
              <w:rPr>
                <w:sz w:val="19"/>
                <w:szCs w:val="19"/>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2"/>
              </w:rPr>
              <w:t>6.6%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5,189</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Operating expense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1"/>
              </w:rPr>
              <w:t>10.5%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Transaction related costs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9,684</w:t>
            </w:r>
          </w:p>
        </w:tc>
        <w:tc>
          <w:tcPr>
            <w:tcW w:w="320" w:type="dxa"/>
            <w:vAlign w:val="bottom"/>
          </w:tcPr>
          <w:p>
            <w:pPr>
              <w:spacing w:after="0"/>
              <w:rPr>
                <w:sz w:val="19"/>
                <w:szCs w:val="19"/>
                <w:color w:val="auto"/>
              </w:rPr>
            </w:pP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2"/>
              </w:rPr>
              <w:t>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3,910</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expense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16"/>
              <w:spacing w:after="0"/>
              <w:rPr>
                <w:sz w:val="20"/>
                <w:szCs w:val="20"/>
                <w:color w:val="auto"/>
              </w:rPr>
            </w:pPr>
            <w:r>
              <w:rPr>
                <w:rFonts w:ascii="Arial" w:cs="Arial" w:eastAsia="Arial" w:hAnsi="Arial"/>
                <w:sz w:val="17"/>
                <w:szCs w:val="17"/>
                <w:color w:val="auto"/>
                <w:w w:val="92"/>
              </w:rPr>
              <w:t>5.4%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231,852</w:t>
            </w:r>
          </w:p>
        </w:tc>
        <w:tc>
          <w:tcPr>
            <w:tcW w:w="3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center"/>
              <w:ind w:left="16"/>
              <w:spacing w:after="0"/>
              <w:rPr>
                <w:sz w:val="20"/>
                <w:szCs w:val="20"/>
                <w:color w:val="auto"/>
              </w:rPr>
            </w:pPr>
            <w:r>
              <w:rPr>
                <w:rFonts w:ascii="Arial" w:cs="Arial" w:eastAsia="Arial" w:hAnsi="Arial"/>
                <w:sz w:val="17"/>
                <w:szCs w:val="17"/>
                <w:color w:val="auto"/>
                <w:w w:val="90"/>
              </w:rPr>
              <w:t>109.6%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166,195</w:t>
            </w:r>
          </w:p>
        </w:tc>
        <w:tc>
          <w:tcPr>
            <w:tcW w:w="3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color w:val="auto"/>
                <w:w w:val="95"/>
              </w:rPr>
              <w:t>95.1%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(Loss) income before income taxes</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(20,379)</w:t>
            </w: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5"/>
              </w:rPr>
              <w:t>(9.6%)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8,480</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Income tax (benefit) expense</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(379)</w:t>
            </w: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5"/>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(loss)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(20,000)</w:t>
            </w: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5"/>
              </w:rPr>
              <w:t>(9.5%)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(387)</w:t>
            </w: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5"/>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(355)</w:t>
            </w:r>
          </w:p>
        </w:tc>
        <w:tc>
          <w:tcPr>
            <w:tcW w:w="960" w:type="dxa"/>
            <w:vAlign w:val="bottom"/>
          </w:tcPr>
          <w:p>
            <w:pPr>
              <w:jc w:val="center"/>
              <w:ind w:left="15"/>
              <w:spacing w:after="0"/>
              <w:rPr>
                <w:sz w:val="20"/>
                <w:szCs w:val="20"/>
                <w:color w:val="auto"/>
              </w:rPr>
            </w:pPr>
            <w:r>
              <w:rPr>
                <w:rFonts w:ascii="Arial" w:cs="Arial" w:eastAsia="Arial" w:hAnsi="Arial"/>
                <w:sz w:val="17"/>
                <w:szCs w:val="17"/>
                <w:color w:val="auto"/>
                <w:w w:val="91"/>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(656)</w:t>
            </w: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5"/>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940" w:type="dxa"/>
            <w:vAlign w:val="bottom"/>
          </w:tcPr>
          <w:p>
            <w:pPr>
              <w:jc w:val="center"/>
              <w:ind w:left="16"/>
              <w:spacing w:after="0"/>
              <w:rPr>
                <w:sz w:val="20"/>
                <w:szCs w:val="20"/>
                <w:color w:val="auto"/>
              </w:rPr>
            </w:pPr>
            <w:r>
              <w:rPr>
                <w:rFonts w:ascii="Arial" w:cs="Arial" w:eastAsia="Arial" w:hAnsi="Arial"/>
                <w:sz w:val="17"/>
                <w:szCs w:val="17"/>
                <w:color w:val="auto"/>
                <w:w w:val="95"/>
              </w:rPr>
              <w:t>(0.4%)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(loss) income applicable to common shareholders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(21,788)</w:t>
            </w:r>
          </w:p>
        </w:tc>
        <w:tc>
          <w:tcPr>
            <w:tcW w:w="940" w:type="dxa"/>
            <w:vAlign w:val="bottom"/>
            <w:shd w:val="clear" w:color="auto" w:fill="CFF0FC"/>
          </w:tcPr>
          <w:p>
            <w:pPr>
              <w:jc w:val="center"/>
              <w:ind w:left="16"/>
              <w:spacing w:after="0"/>
              <w:rPr>
                <w:sz w:val="20"/>
                <w:szCs w:val="20"/>
                <w:color w:val="auto"/>
              </w:rPr>
            </w:pPr>
            <w:r>
              <w:rPr>
                <w:rFonts w:ascii="Arial" w:cs="Arial" w:eastAsia="Arial" w:hAnsi="Arial"/>
                <w:sz w:val="17"/>
                <w:szCs w:val="17"/>
                <w:color w:val="auto"/>
                <w:w w:val="94"/>
              </w:rPr>
              <w:t>(10.3%)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7,681</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attributable to rental revenue from leasing our Distribution Systems to Windstream Holdings pursuant to the Master Lease.</w:t>
      </w:r>
    </w:p>
    <w:p>
      <w:pPr>
        <w:spacing w:after="0" w:line="12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thus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 the three months ended March 31, 2017, we recognized $170.3 million of revenue from rents under the Master Lease, which included $4.3 million of straight-line revenues and $2.6 million of TCI revenue. For the three months ended March 31, 2016, we recognized $168.6 million of revenues from the Master Lease, which included $4.3 million of straight-line rent revenue, and $0.9 million of TCI revenue.</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Because a substantial portion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7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w:t>
      </w:r>
    </w:p>
    <w:p>
      <w:pPr>
        <w:ind w:right="160"/>
        <w:spacing w:after="0" w:line="299" w:lineRule="auto"/>
        <w:rPr>
          <w:sz w:val="20"/>
          <w:szCs w:val="20"/>
          <w:color w:val="auto"/>
        </w:rPr>
      </w:pPr>
      <w:r>
        <w:rPr>
          <w:rFonts w:ascii="Arial" w:cs="Arial" w:eastAsia="Arial" w:hAnsi="Arial"/>
          <w:sz w:val="16"/>
          <w:szCs w:val="16"/>
          <w:color w:val="auto"/>
        </w:rPr>
        <w:t>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the Master Lease, the amount of rent and additional charges payable thereunder, the dates the same were paid, and any other questions or statements of fact we reasonably request.</w:t>
      </w:r>
    </w:p>
    <w:p>
      <w:pPr>
        <w:spacing w:after="0" w:line="56" w:lineRule="exact"/>
        <w:rPr>
          <w:sz w:val="20"/>
          <w:szCs w:val="20"/>
          <w:color w:val="auto"/>
        </w:rPr>
      </w:pPr>
    </w:p>
    <w:p>
      <w:pPr>
        <w:jc w:val="both"/>
        <w:ind w:right="520"/>
        <w:spacing w:after="0" w:line="268"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2017 we recognized $34.8 million of revenue, approximately 70% of which was derived from lit</w:t>
      </w:r>
      <w:r>
        <w:rPr>
          <w:rFonts w:ascii="Arial" w:cs="Arial" w:eastAsia="Arial" w:hAnsi="Arial"/>
          <w:sz w:val="17"/>
          <w:szCs w:val="17"/>
          <w:i w:val="1"/>
          <w:iCs w:val="1"/>
          <w:color w:val="auto"/>
        </w:rPr>
        <w:t xml:space="preserve"> </w:t>
      </w:r>
      <w:r>
        <w:rPr>
          <w:rFonts w:ascii="Arial" w:cs="Arial" w:eastAsia="Arial" w:hAnsi="Arial"/>
          <w:sz w:val="17"/>
          <w:szCs w:val="17"/>
          <w:color w:val="auto"/>
        </w:rPr>
        <w:t>backhaul services. No revenue was recognized during the three months ended March 31, 2016 as we had not yet closed on the acquisitions of companies that comprise our Uniti Fiber business. At March 31, 2017, we had approximately 5,500 customer connections.</w:t>
      </w:r>
    </w:p>
    <w:p>
      <w:pPr>
        <w:spacing w:after="0" w:line="69" w:lineRule="exact"/>
        <w:rPr>
          <w:sz w:val="20"/>
          <w:szCs w:val="20"/>
          <w:color w:val="auto"/>
        </w:rPr>
      </w:pPr>
    </w:p>
    <w:p>
      <w:pPr>
        <w:ind w:right="560"/>
        <w:spacing w:after="0" w:line="28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2017, we recognized $1.4 million of revenue, of which $1.1 million relates to our Latin American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revenues associated with our January 2017 acquisition of NMS.</w:t>
      </w:r>
    </w:p>
    <w:p>
      <w:pPr>
        <w:spacing w:after="0" w:line="56"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2017, we recognized $4.9 million of revenue from the Consumer CLEC Business, compared to $6.0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2016. The decrease is due to the effects of competition and customer attrition, as we served 34,800 customers as of March 31, 2017, a 20% decrease from 43,500 customers served at March 31, 2016.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Interest expense for the three months ended March 31, 2017, totaled $73.4 million, which includes non-cash interest expense of $5.3 million resulting from the amortization of our debt discounts and debt issuance costs. Interest expense for the three months ended March 31, 2016, totaled $66.0 million, which includes non-cash interest expense of $3.8 million resulting from the amortization of our debt discounts and debt issuance costs. The 11.3% increase is primarily related to interest expense on the add-on Secured Notes, and 2024 Notes (December issuance) of $7.1 million, which were not incurred in the prior year. This increase was partially offset by approximately $3.8 million of interest savings related to the two repricings of $2.1 billion of term loans outstanding under our senior secured credit agreement. Effective February 9, 2017, interest on the term loans was LIBOR plus 3.00% per annum (with a minimum LIBOR rate of 1.0%), compared to LIBOR plus 4.0% per annum (with a minimum LIBOR rate of 1.0%) for the three months ended March 31, 2016.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three months ended March 31, 2017 totaled $101.4 million, which included property, plant and equipment depreciation of $93.3 million, corporate asset depreciation of $5.6 million and intangible asset amortization of $2.5 million. Charges for depreciation and amortization for the three months ended March 31, 2016 totaled $86.3 million, which included property, plant and equipment depreciation of $85.4 million, corporate asset depreciation of $0.1 million and intangible asset amortization of $0.8 million. The increase is primarily due to $13.2 million of depreciation and amortization expense related to Uniti Fiber, which was not in operation during the first quarter of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General and administrative expenses include compensation costs (including stock-based compensation awards), professional and legal services, corporate office costs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and other costs associated with administrative activities. For the three months ended March 31, 2017, general and administrative costs totaled $14.0 million (6.6%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revenue), which includes $1.6 million of stock-based compensation expense. For the three months ended March 31, 2016, general and administrative costs totaled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$5.2 million (3.0% of revenue), which includes $0.9 million of stock-based compensation expense. The increase is primarily due to $5.9 million of expense related 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Uniti Fiber, which was not in operation during the first quarter of 2016.</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w:t>
      </w:r>
    </w:p>
    <w:p>
      <w:pPr>
        <w:spacing w:after="0" w:line="21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Operating expense for the three months ended March 31, 2017, totaled $22.1 million (10.5% of revenue), and consisted of $3.8 million (1.8% of revenue) of expense related to the operation of the Consumer CLEC Business and $17.6 million (8.4% of revenue) of expense related to Uniti Fiber operations. For the three months ended March 31, 2016, operating expenses totaled $4.7 million (2.7% of revenue), which related to the operation of the Consumer CLEC Business.</w:t>
      </w:r>
    </w:p>
    <w:p>
      <w:pPr>
        <w:spacing w:after="0" w:line="155"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For the three months ended March 31, 2017, Fiber Infrastructure operating expenses included $3.3 million of payroll related expense, $2.8 million of tower rent, $1.8 million of lit service expense and $1.7 million of maintenance expense.</w:t>
      </w:r>
    </w:p>
    <w:p>
      <w:pPr>
        <w:spacing w:after="0" w:line="159"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Expense associated with the Consumer CLEC Business is primarily attributable to the Wholesale Master Services Agreement and the Master Services Agreement entered between us and Windstream in connection with the Spin-Off, and also included costs arising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under the interconnection agreements with other telecommunication carriers. Expense associated with the Wholesale Master Services Agreement and Master Services Agreement for the three months ended March 31, 2017 totaled $2.8 million (1.4% of revenue) and $0.4 million (0.2% of revenue), respectively, and expense associated with the Wholesale Master Services Agreement and the Master Services Agreement for the three months ended March 31, 2016 totaled $3.4 million (1.9% of revenue) and $0.4 million (0.3% of revenue),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218"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Other expense for the three months ended March 31, 2017, totaled $11.3 million (5.4% of revenue), primarily as a result of an unrealized loss of $10.9 million for mark-to-market adjustments on our contingent consideration.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three months ended March 31, 2017 and 2016, revenues and Adjusted EBITDA of our reportable segments: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170,306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170,060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11,567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(5,056)</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86,506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13,221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bottom w:val="single" w:sz="8" w:color="CFF0FC"/>
            </w:tcBorders>
            <w:gridSpan w:val="6"/>
            <w:vMerge w:val="restart"/>
          </w:tcPr>
          <w:p>
            <w:pPr>
              <w:ind w:left="200"/>
              <w:spacing w:after="0"/>
              <w:rPr>
                <w:sz w:val="20"/>
                <w:szCs w:val="20"/>
                <w:color w:val="auto"/>
              </w:rPr>
            </w:pPr>
            <w:r>
              <w:rPr>
                <w:rFonts w:ascii="Arial" w:cs="Arial" w:eastAsia="Arial" w:hAnsi="Arial"/>
                <w:sz w:val="14"/>
                <w:szCs w:val="14"/>
                <w:b w:val="1"/>
                <w:bCs w:val="1"/>
                <w:color w:val="auto"/>
              </w:rPr>
              <w:t>Three Months Ended March 31, 2016</w:t>
            </w: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168,613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174,675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168,208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(3,529)</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165,709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66,049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85,403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86,340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right"/>
              <w:ind w:right="900"/>
              <w:spacing w:after="0"/>
              <w:rPr>
                <w:sz w:val="20"/>
                <w:szCs w:val="20"/>
                <w:color w:val="auto"/>
              </w:rPr>
            </w:pPr>
            <w:r>
              <w:rPr>
                <w:rFonts w:ascii="Arial" w:cs="Arial" w:eastAsia="Arial" w:hAnsi="Arial"/>
                <w:sz w:val="17"/>
                <w:szCs w:val="17"/>
                <w:color w:val="auto"/>
                <w:w w:val="84"/>
              </w:rPr>
              <w:t>35</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refer to EBITDA, Adjusted EBITDA, Funds From Operations ("FFO") (as defined by the National Association of Real Estate Investment Trusts ("NAREIT")), Normalized Funds from Operations ("NFFO")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NFFO and AFFO are important non-GAAP supplemental measures of operating performance for a REIT.</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We define NFFO, as FFO excluding the impact, which may be recurring in nature, of transaction and integration related costs. We define AFFO as NFFO excluding</w:t>
      </w:r>
    </w:p>
    <w:p>
      <w:pPr>
        <w:spacing w:after="0" w:line="47" w:lineRule="exact"/>
        <w:rPr>
          <w:sz w:val="20"/>
          <w:szCs w:val="20"/>
          <w:color w:val="auto"/>
        </w:rPr>
      </w:pPr>
    </w:p>
    <w:p>
      <w:pPr>
        <w:ind w:right="20" w:firstLine="3"/>
        <w:spacing w:after="0" w:line="291" w:lineRule="auto"/>
        <w:tabs>
          <w:tab w:leader="none" w:pos="206"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revenues and expenses such as stock-based compensation expense, amortization of debt and equity discounts, amortization of deferred financing costs, depreciation and amortization of non-real estate assets, straight-line revenues, and revenue associated with the amortization of tenant funded capital improvements ("TCIs") and (ii)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NFFO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NFFO and AFFO to be useful measures for reviewing comparative operating and financial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We use FFO, NFFO and AFFO, and their respective per share amounts, as performance measures, and FFO, NFFO and AFFO do not purport to be indicative of cash available to fund our future cash requirements. While FFO, NFFO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Further, our computations of EBITDA, Adjusted EBITDA, FFO, NFFO and AFFO may not be comparable to that reported by other REITs or companies that do not define FFO in accordance with the current NAREIT definition or that interpret the current NAREIT definition or define EBITDA, Adjusted EBITDA, NFFO and AFFO differently than we do.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reconciliation of our net income to EBITDA and Adjusted EBITDA and of our net income applicable to common shareholders to FFO, NFFO and AFFO for the three months ended March 31, 2017 and 2016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60" w:type="dxa"/>
            <w:vAlign w:val="bottom"/>
            <w:tcBorders>
              <w:bottom w:val="single" w:sz="8" w:color="CFF0FC"/>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876"/>
              <w:spacing w:after="0" w:line="148"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55"/>
              <w:spacing w:after="0" w:line="148"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(loss) income</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(20,000)</w:t>
            </w: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101,361</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500" w:type="dxa"/>
            <w:vAlign w:val="bottom"/>
          </w:tcPr>
          <w:p>
            <w:pPr>
              <w:spacing w:after="0"/>
              <w:rPr>
                <w:sz w:val="19"/>
                <w:szCs w:val="19"/>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7"/>
                <w:szCs w:val="17"/>
                <w:color w:val="auto"/>
              </w:rPr>
              <w:t>(379)</w:t>
            </w: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EBITDA</w:t>
            </w: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154,347</w:t>
            </w:r>
          </w:p>
        </w:tc>
        <w:tc>
          <w:tcPr>
            <w:tcW w:w="4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1,632</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Other expense</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Transaction related costs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9,684</w:t>
            </w:r>
          </w:p>
        </w:tc>
        <w:tc>
          <w:tcPr>
            <w:tcW w:w="4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Adjusted EBITDA</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4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165,709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65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60" w:type="dxa"/>
            <w:vAlign w:val="bottom"/>
            <w:tcBorders>
              <w:bottom w:val="single" w:sz="8" w:color="CFF0FC"/>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876"/>
              <w:spacing w:after="0" w:line="148"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55"/>
              <w:spacing w:after="0" w:line="148"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(loss) income attributable to common shareholders</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(21,788)</w:t>
            </w: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Real estate depreciation and amortization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91,014</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Participating securities share in earnings</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Participating securities share in FFO</w:t>
            </w:r>
          </w:p>
        </w:tc>
        <w:tc>
          <w:tcPr>
            <w:tcW w:w="500" w:type="dxa"/>
            <w:vAlign w:val="bottom"/>
          </w:tcPr>
          <w:p>
            <w:pPr>
              <w:spacing w:after="0"/>
              <w:rPr>
                <w:sz w:val="19"/>
                <w:szCs w:val="19"/>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7"/>
                <w:szCs w:val="17"/>
                <w:color w:val="auto"/>
              </w:rPr>
              <w:t>(387)</w:t>
            </w:r>
          </w:p>
        </w:tc>
        <w:tc>
          <w:tcPr>
            <w:tcW w:w="8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1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FFO applicable to common shareholders</w:t>
            </w: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69,226</w:t>
            </w:r>
          </w:p>
        </w:tc>
        <w:tc>
          <w:tcPr>
            <w:tcW w:w="4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Transaction related costs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9,684</w:t>
            </w:r>
          </w:p>
        </w:tc>
        <w:tc>
          <w:tcPr>
            <w:tcW w:w="4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NFFO applicable to common shareholders</w:t>
            </w: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78,910</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97,079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Changes in fair value of contingent consideration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10,910</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deferred financing costs</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2,487</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Amortization of debt discount</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2,778</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Stock based compensation</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Non-real estate depreciation and amortization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10,347</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Straight-line revenue</w:t>
            </w:r>
          </w:p>
        </w:tc>
        <w:tc>
          <w:tcPr>
            <w:tcW w:w="50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(3,629)</w:t>
            </w:r>
          </w:p>
        </w:tc>
        <w:tc>
          <w:tcPr>
            <w:tcW w:w="8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(4,322)</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Maintenance capital expenditures</w:t>
            </w:r>
          </w:p>
        </w:tc>
        <w:tc>
          <w:tcPr>
            <w:tcW w:w="500" w:type="dxa"/>
            <w:vAlign w:val="bottom"/>
          </w:tcPr>
          <w:p>
            <w:pPr>
              <w:spacing w:after="0"/>
              <w:rPr>
                <w:sz w:val="19"/>
                <w:szCs w:val="19"/>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7"/>
                <w:szCs w:val="17"/>
                <w:color w:val="auto"/>
              </w:rPr>
              <w:t>(536)</w:t>
            </w: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discount on convertible preferred stock</w:t>
            </w: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Other non-cash (revenue) expense, net</w:t>
            </w:r>
          </w:p>
        </w:tc>
        <w:tc>
          <w:tcPr>
            <w:tcW w:w="500" w:type="dxa"/>
            <w:vAlign w:val="bottom"/>
          </w:tcPr>
          <w:p>
            <w:pPr>
              <w:spacing w:after="0"/>
              <w:rPr>
                <w:sz w:val="19"/>
                <w:szCs w:val="19"/>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7"/>
                <w:szCs w:val="17"/>
                <w:color w:val="auto"/>
              </w:rPr>
              <w:t>(3,328)</w:t>
            </w:r>
          </w:p>
        </w:tc>
        <w:tc>
          <w:tcPr>
            <w:tcW w:w="8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1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AFFO applicable to common shareholders</w:t>
            </w: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100,316</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97,473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7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7"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2016, filed with SEC on February 23, 2017. As of March 31, 2017, there has been no material change to these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 As of March 31, 2017, we had cash and cash equivalents of $68.7 million and $500 million of undrawn borrowing capacity under the Revolving Credit Facility.</w:t>
      </w:r>
    </w:p>
    <w:p>
      <w:pPr>
        <w:spacing w:after="0" w:line="56"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Cash provided by operating activities was $128.2 million for the three months ended March 31, 2017, which was driven by favorable changes in working capital, primarily attributable to our leasing activities.</w:t>
      </w:r>
    </w:p>
    <w:p>
      <w:pPr>
        <w:spacing w:after="0" w:line="56"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Cash used in investing activities was $86.5 million for the three months ended March 31, 2017, which was driven by the acquisition of NMS ($62.6 million) and capital expenditures ($23.9 million).</w:t>
      </w:r>
    </w:p>
    <w:p>
      <w:pPr>
        <w:spacing w:after="0" w:line="5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Cash used in financing activities was $145.0 million for the three months ended March 31, 2017, which was driven by dividend payments ($94.1 million), deferred financing costs related to the term loan repricing ($24.4 million), contingent consideration payments ($18.8 million), and principal payments related to the Term Loan Facility ($5.3 million).</w:t>
      </w:r>
    </w:p>
    <w:p>
      <w:pPr>
        <w:spacing w:after="0" w:line="69"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On February 9, 2017, we completed a second repricing of our Term Loan Facility. The repricing (i) decreased the interest rate margin by an additional 50 basis points to LIBOR plus 3.00% per annum with a minimum LIBOR rate of 1.0% and (ii) will, together with the repricing in October 2016, reduce our cash interest costs by $10 million annually. Our interest rate swap agreements are unaffected by this repricing and effectively fix the interest rate on our Term Loan Facility at 5.1%.</w:t>
      </w:r>
    </w:p>
    <w:p>
      <w:pPr>
        <w:spacing w:after="0" w:line="3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On April 24, 2017, we, along with CSL Capital and Uniti Fiber Holdings Inc., announced the pricing of an offering of $200 million aggregate principal amount of 7.125% senior notes due 2024. The notes will be jointly and severally issued by Uniti Group, Inc., CSL Capital and Uniti Fiber Holdings Inc. at an issue price of 100.500%, plus accrued interest from December 15, 2016. Proceeds from the offering will be used to fund a portion of the cash consideration payable in connection with the previously announced acquisition of Southern Light. The indenture governing these notes contains a mandatory redemption feature, whereby we will be required to redeem the notes at issue price plus accrued interest if the Southern Light acquisition is not completed by October 14, 2017.</w:t>
      </w:r>
    </w:p>
    <w:p>
      <w:pPr>
        <w:spacing w:after="0" w:line="6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On April 25, 2017, we issued 19.5 million shares of our common stock, generating proceeds of approximately $518 million, before underwriter discounts and transaction costs. The Company intends to use the proceeds from this offering to fund a portion of the cash consideration payable in connection with the previously announced acquisitions of Southern Light and Hunt.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2017, we amended the Credit Agreement to increase the commitments under our Revolving Credit Facility to $750 million.</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March 31, 2017,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In addition, our UPREIT structure, once in place, will also enable us to acquire properties by issuing to sellers, as a form of consideration, limited partnership interests in our operating partnership.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intend to issue limited partnership interests as part of the acquisition consideration for our pending acquisitions of Hunt and Southern Light.</w:t>
      </w:r>
    </w:p>
    <w:p>
      <w:pPr>
        <w:spacing w:after="0" w:line="7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anticipate our cash on hand and borrowing availability under our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including, without limitation the ATM Program.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we had contractual obligations and commitments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78"/>
              <w:spacing w:after="0" w:line="126" w:lineRule="exact"/>
              <w:rPr>
                <w:sz w:val="20"/>
                <w:szCs w:val="20"/>
                <w:color w:val="auto"/>
              </w:rPr>
            </w:pPr>
            <w:r>
              <w:rPr>
                <w:rFonts w:ascii="Arial" w:cs="Arial" w:eastAsia="Arial" w:hAnsi="Arial"/>
                <w:sz w:val="14"/>
                <w:szCs w:val="14"/>
                <w:b w:val="1"/>
                <w:bCs w:val="1"/>
                <w:color w:val="auto"/>
                <w:w w:val="85"/>
              </w:rPr>
              <w:t>Less than 1</w:t>
            </w:r>
          </w:p>
        </w:tc>
        <w:tc>
          <w:tcPr>
            <w:tcW w:w="1080" w:type="dxa"/>
            <w:vAlign w:val="bottom"/>
            <w:gridSpan w:val="3"/>
          </w:tcPr>
          <w:p>
            <w:pPr>
              <w:jc w:val="right"/>
              <w:ind w:right="71"/>
              <w:spacing w:after="0" w:line="126"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98"/>
              <w:spacing w:after="0" w:line="126"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More than</w:t>
            </w:r>
          </w:p>
        </w:tc>
        <w:tc>
          <w:tcPr>
            <w:tcW w:w="200" w:type="dxa"/>
            <w:vAlign w:val="bottom"/>
          </w:tcPr>
          <w:p>
            <w:pPr>
              <w:spacing w:after="0"/>
              <w:rPr>
                <w:sz w:val="10"/>
                <w:szCs w:val="10"/>
                <w:color w:val="auto"/>
              </w:rPr>
            </w:pPr>
          </w:p>
        </w:tc>
        <w:tc>
          <w:tcPr>
            <w:tcW w:w="7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(millions)</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Years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14"/>
                <w:szCs w:val="14"/>
                <w:color w:val="auto"/>
              </w:rPr>
              <w:t>(a)</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80" w:type="dxa"/>
            <w:vAlign w:val="bottom"/>
            <w:gridSpan w:val="3"/>
            <w:shd w:val="clear" w:color="auto" w:fill="CFF0FC"/>
          </w:tcPr>
          <w:p>
            <w:pPr>
              <w:jc w:val="right"/>
              <w:ind w:right="65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80" w:type="dxa"/>
            <w:vAlign w:val="bottom"/>
            <w:gridSpan w:val="2"/>
          </w:tcPr>
          <w:p>
            <w:pPr>
              <w:spacing w:after="0"/>
              <w:rPr>
                <w:sz w:val="20"/>
                <w:szCs w:val="20"/>
                <w:color w:val="auto"/>
              </w:rPr>
            </w:pPr>
            <w:r>
              <w:rPr>
                <w:rFonts w:ascii="Arial" w:cs="Arial" w:eastAsia="Arial" w:hAnsi="Arial"/>
                <w:sz w:val="17"/>
                <w:szCs w:val="17"/>
                <w:color w:val="auto"/>
              </w:rPr>
              <w:t xml:space="preserve">Interest payments on long-term debt obligations </w:t>
            </w:r>
            <w:r>
              <w:rPr>
                <w:rFonts w:ascii="Arial" w:cs="Arial" w:eastAsia="Arial" w:hAnsi="Arial"/>
                <w:sz w:val="14"/>
                <w:szCs w:val="14"/>
                <w:color w:val="auto"/>
              </w:rPr>
              <w:t>(b)</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tcPr>
          <w:p>
            <w:pPr>
              <w:spacing w:after="0"/>
              <w:rPr>
                <w:sz w:val="20"/>
                <w:szCs w:val="20"/>
                <w:color w:val="auto"/>
              </w:rPr>
            </w:pPr>
            <w:r>
              <w:rPr>
                <w:rFonts w:ascii="Arial" w:cs="Arial" w:eastAsia="Arial" w:hAnsi="Arial"/>
                <w:sz w:val="17"/>
                <w:szCs w:val="17"/>
                <w:color w:val="auto"/>
              </w:rPr>
              <w:t>Capital Leases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 xml:space="preserve">Network deployment </w:t>
            </w:r>
            <w:r>
              <w:rPr>
                <w:rFonts w:ascii="Arial" w:cs="Arial" w:eastAsia="Arial" w:hAnsi="Arial"/>
                <w:sz w:val="14"/>
                <w:szCs w:val="14"/>
                <w:color w:val="auto"/>
              </w:rPr>
              <w:t>(c)</w:t>
            </w: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Total projected obligations and commitments </w:t>
            </w:r>
            <w:r>
              <w:rPr>
                <w:rFonts w:ascii="Arial" w:cs="Arial" w:eastAsia="Arial" w:hAnsi="Arial"/>
                <w:sz w:val="14"/>
                <w:szCs w:val="14"/>
                <w:b w:val="1"/>
                <w:bCs w:val="1"/>
                <w:color w:val="auto"/>
              </w:rPr>
              <w:t>(d)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344</w:t>
            </w:r>
          </w:p>
        </w:tc>
        <w:tc>
          <w:tcPr>
            <w:tcW w:w="1080" w:type="dxa"/>
            <w:vAlign w:val="bottom"/>
            <w:gridSpan w:val="3"/>
          </w:tcPr>
          <w:p>
            <w:pPr>
              <w:jc w:val="right"/>
              <w:ind w:right="651"/>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547</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hanging="517"/>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$158.9 million of unamortized discounts on long-term debt and deferred financing costs.</w:t>
      </w:r>
    </w:p>
    <w:p>
      <w:pPr>
        <w:spacing w:after="0" w:line="23" w:lineRule="exact"/>
        <w:rPr>
          <w:rFonts w:ascii="Arial" w:cs="Arial" w:eastAsia="Arial" w:hAnsi="Arial"/>
          <w:sz w:val="17"/>
          <w:szCs w:val="17"/>
          <w:color w:val="auto"/>
        </w:rPr>
      </w:pPr>
    </w:p>
    <w:p>
      <w:pPr>
        <w:ind w:left="520" w:hanging="517"/>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rates on our Term Loan Facility are based on our swap rates.</w:t>
      </w:r>
    </w:p>
    <w:p>
      <w:pPr>
        <w:spacing w:after="0" w:line="11" w:lineRule="exact"/>
        <w:rPr>
          <w:rFonts w:ascii="Arial" w:cs="Arial" w:eastAsia="Arial" w:hAnsi="Arial"/>
          <w:sz w:val="17"/>
          <w:szCs w:val="17"/>
          <w:color w:val="auto"/>
        </w:rPr>
      </w:pPr>
    </w:p>
    <w:p>
      <w:pPr>
        <w:ind w:left="520" w:right="340" w:hanging="517"/>
        <w:spacing w:after="0" w:line="253"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Network deployment purchase commitments are for success-based projects for which we have a signed customer contract before we commit resources to expand our network.</w:t>
      </w:r>
    </w:p>
    <w:p>
      <w:pPr>
        <w:spacing w:after="0" w:line="1" w:lineRule="exact"/>
        <w:rPr>
          <w:rFonts w:ascii="Arial" w:cs="Arial" w:eastAsia="Arial" w:hAnsi="Arial"/>
          <w:sz w:val="17"/>
          <w:szCs w:val="17"/>
          <w:color w:val="auto"/>
        </w:rPr>
      </w:pPr>
    </w:p>
    <w:p>
      <w:pPr>
        <w:ind w:left="520" w:hanging="517"/>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$1.5 million of derivative liability related to interest rate swaps maturing on October 24, 2022.</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6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On April 14, 2017, we paid, to shareholders of record as of the close of business on March 31, 2017, a cash dividend on our common stock of $0.60 per share for the period from January 1, 2017 through March 31, 2017.</w:t>
      </w:r>
    </w:p>
    <w:p>
      <w:pPr>
        <w:spacing w:after="0" w:line="56"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On January 13, 2017, we paid, to shareholders of record as of the close of business on December 30, 2016, a cash dividend on our common stock of $0.60 per share for the period from October 1, 2016 through December 31, 2016.</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We anticipate incurring total capital expenditures related to the Uniti Fiber business of $70 million to $85 million during 2017, driven by network deployment. As of March 31, 2017, we have incurred approximately $14.5 million of such expenditures.</w:t>
      </w:r>
    </w:p>
    <w:p>
      <w:pPr>
        <w:spacing w:after="0" w:line="56"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We anticipate incurring total capital expenditures related to the Uniti Towers business of $25 million to $30 million during 2017, driven by network deployment. As of March 31, 2017, we have incurred approximately $9.7 million of such expenditures.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We do not anticipate incurring significant capital expenditures on an annual basis in connection with corporate assets or operating our Consumer CLEC Business.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Guidance</w:t>
      </w:r>
    </w:p>
    <w:p>
      <w:pPr>
        <w:spacing w:after="0" w:line="121"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New accounting rules and disclosures can impact our reported results and comparability of our financial statements. These matters are described in our Annual Report on Form 10-K for the year ended December 31, 2016, filed with the SEC on February 23, 2017.</w:t>
      </w:r>
    </w:p>
    <w:p>
      <w:pPr>
        <w:spacing w:after="0" w:line="15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In January 2017, the FASB issued Accounting Standards Update (“ASU”) No. 2017-04, </w:t>
      </w:r>
      <w:r>
        <w:rPr>
          <w:rFonts w:ascii="Arial" w:cs="Arial" w:eastAsia="Arial" w:hAnsi="Arial"/>
          <w:sz w:val="16"/>
          <w:szCs w:val="16"/>
          <w:i w:val="1"/>
          <w:iCs w:val="1"/>
          <w:color w:val="auto"/>
        </w:rPr>
        <w:t>Intangibles - Goodwill and Other (Topic 350): Simplifying the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Goodwill Impairment</w:t>
      </w:r>
      <w:r>
        <w:rPr>
          <w:rFonts w:ascii="Arial" w:cs="Arial" w:eastAsia="Arial" w:hAnsi="Arial"/>
          <w:sz w:val="16"/>
          <w:szCs w:val="16"/>
          <w:color w:val="auto"/>
        </w:rPr>
        <w:t>" ("ASU 2017-04”), which removes the requirement to perform a hypothetical purchase price allocation to measure goodwill impairment.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w:t>
      </w:r>
      <w:r>
        <w:rPr>
          <w:rFonts w:ascii="Arial" w:cs="Arial" w:eastAsia="Arial" w:hAnsi="Arial"/>
          <w:sz w:val="16"/>
          <w:szCs w:val="16"/>
          <w:color w:val="2F2F2F"/>
        </w:rPr>
        <w:t>We adopted ASU 2017-04</w:t>
      </w:r>
      <w:r>
        <w:rPr>
          <w:rFonts w:ascii="Arial" w:cs="Arial" w:eastAsia="Arial" w:hAnsi="Arial"/>
          <w:sz w:val="16"/>
          <w:szCs w:val="16"/>
          <w:color w:val="auto"/>
        </w:rPr>
        <w:t xml:space="preserve"> </w:t>
      </w:r>
      <w:r>
        <w:rPr>
          <w:rFonts w:ascii="Arial" w:cs="Arial" w:eastAsia="Arial" w:hAnsi="Arial"/>
          <w:sz w:val="16"/>
          <w:szCs w:val="16"/>
          <w:color w:val="2F2F2F"/>
        </w:rPr>
        <w:t>effective January 1, 2017, and there was no material impact on our financial position, results of operations or cash flows.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160"/>
        <w:spacing w:after="0" w:line="278" w:lineRule="auto"/>
        <w:rPr>
          <w:rFonts w:ascii="Arial" w:cs="Arial" w:eastAsia="Arial" w:hAnsi="Arial"/>
          <w:sz w:val="16"/>
          <w:szCs w:val="16"/>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adopted ASU 2017-01 effective January 1, 2017, with prospective application. As a result of the adoption of ASU 2017-01, the Company’s acquisition of Network Management Holdings LTD (“NMS”) (</w:t>
      </w:r>
      <w:hyperlink w:anchor="page11">
        <w:r>
          <w:rPr>
            <w:rFonts w:ascii="Arial" w:cs="Arial" w:eastAsia="Arial" w:hAnsi="Arial"/>
            <w:sz w:val="16"/>
            <w:szCs w:val="16"/>
            <w:u w:val="single" w:color="auto"/>
            <w:color w:val="auto"/>
          </w:rPr>
          <w:t>see Note 3</w:t>
        </w:r>
      </w:hyperlink>
      <w:r>
        <w:rPr>
          <w:rFonts w:ascii="Arial" w:cs="Arial" w:eastAsia="Arial" w:hAnsi="Arial"/>
          <w:sz w:val="16"/>
          <w:szCs w:val="16"/>
          <w:color w:val="auto"/>
        </w:rPr>
        <w:t>) was determined to be an asset acquisition. Transaction cost associated with our real property interest investments are now capitalized as opposed to be recorded as an expense prior to adoption.</w:t>
      </w:r>
    </w:p>
    <w:p>
      <w:pPr>
        <w:spacing w:after="0" w:line="6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The Company’s implementation efforts include reviewing revenue contracts and the identification of revenue within scope of the guidance. While the Company currently has not identified any material changes in the timing of revenue recognition, the evaluation is ongoing and we are in the process of determining the method of adoption.</w:t>
      </w:r>
    </w:p>
    <w:p>
      <w:pPr>
        <w:spacing w:after="0" w:line="66"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w:t>
      </w:r>
      <w:r>
        <w:rPr>
          <w:rFonts w:ascii="Arial" w:cs="Arial" w:eastAsia="Arial" w:hAnsi="Arial"/>
          <w:sz w:val="15"/>
          <w:szCs w:val="15"/>
          <w:color w:val="2F2F2F"/>
        </w:rPr>
        <w:t>hich sets out the principles for the recognition, measurement, presentation and disclosure</w:t>
      </w:r>
      <w:r>
        <w:rPr>
          <w:rFonts w:ascii="Arial" w:cs="Arial" w:eastAsia="Arial" w:hAnsi="Arial"/>
          <w:sz w:val="15"/>
          <w:szCs w:val="15"/>
          <w:color w:val="auto"/>
        </w:rPr>
        <w:t xml:space="preserve"> </w:t>
      </w:r>
      <w:r>
        <w:rPr>
          <w:rFonts w:ascii="Arial" w:cs="Arial" w:eastAsia="Arial" w:hAnsi="Arial"/>
          <w:sz w:val="15"/>
          <w:szCs w:val="15"/>
          <w:color w:val="2F2F2F"/>
        </w:rPr>
        <w:t xml:space="preserve">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Arial" w:cs="Arial" w:eastAsia="Arial" w:hAnsi="Arial"/>
          <w:sz w:val="15"/>
          <w:szCs w:val="15"/>
          <w:color w:val="000000"/>
        </w:rPr>
        <w:t>whether lease</w:t>
      </w:r>
      <w:r>
        <w:rPr>
          <w:rFonts w:ascii="Arial" w:cs="Arial" w:eastAsia="Arial" w:hAnsi="Arial"/>
          <w:sz w:val="15"/>
          <w:szCs w:val="15"/>
          <w:color w:val="2F2F2F"/>
        </w:rPr>
        <w:t xml:space="preserve"> </w:t>
      </w:r>
      <w:r>
        <w:rPr>
          <w:rFonts w:ascii="Arial" w:cs="Arial" w:eastAsia="Arial" w:hAnsi="Arial"/>
          <w:sz w:val="15"/>
          <w:szCs w:val="15"/>
          <w:color w:val="000000"/>
        </w:rPr>
        <w:t xml:space="preserve">expense is recognized </w:t>
      </w:r>
      <w:r>
        <w:rPr>
          <w:rFonts w:ascii="Arial" w:cs="Arial" w:eastAsia="Arial" w:hAnsi="Arial"/>
          <w:sz w:val="15"/>
          <w:szCs w:val="15"/>
          <w:color w:val="2F2F2F"/>
        </w:rPr>
        <w:t>based on an effective interest method</w:t>
      </w:r>
      <w:r>
        <w:rPr>
          <w:rFonts w:ascii="Arial" w:cs="Arial" w:eastAsia="Arial" w:hAnsi="Arial"/>
          <w:sz w:val="15"/>
          <w:szCs w:val="15"/>
          <w:color w:val="000000"/>
        </w:rPr>
        <w:t xml:space="preserve"> or </w:t>
      </w:r>
      <w:r>
        <w:rPr>
          <w:rFonts w:ascii="Arial" w:cs="Arial" w:eastAsia="Arial" w:hAnsi="Arial"/>
          <w:sz w:val="15"/>
          <w:szCs w:val="15"/>
          <w:color w:val="2F2F2F"/>
        </w:rPr>
        <w:t>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w:t>
      </w:r>
      <w:r>
        <w:rPr>
          <w:rFonts w:ascii="Arial" w:cs="Arial" w:eastAsia="Arial" w:hAnsi="Arial"/>
          <w:sz w:val="15"/>
          <w:szCs w:val="15"/>
          <w:color w:val="000000"/>
        </w:rPr>
        <w:t>es to the recognition of operating lease expense in its Consolidated Statements of Income</w:t>
      </w:r>
      <w:r>
        <w:rPr>
          <w:rFonts w:ascii="Arial" w:cs="Arial" w:eastAsia="Arial" w:hAnsi="Arial"/>
          <w:sz w:val="15"/>
          <w:szCs w:val="15"/>
          <w:color w:val="2F2F2F"/>
        </w:rPr>
        <w:t>.</w:t>
      </w:r>
    </w:p>
    <w:p>
      <w:pPr>
        <w:spacing w:after="0" w:line="15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evaluating the impacts the adoption of this accounting standard will have on our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Quarterly Report on Form 10-Q, we do not have any off-balance sheet arrangements.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There have been no material changes from the information reported under Item 7A of our Annual Report on Form 10-K for the year ended December 31, 2016, filed with the SEC on February 23,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59"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March 31, 2017. Based on this evaluation, our principal executive officer and principal financial officer concluded that our disclosure controls and procedures were effective as of March 31, 2017.</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5" w:lineRule="exact"/>
        <w:rPr>
          <w:sz w:val="20"/>
          <w:szCs w:val="20"/>
          <w:color w:val="auto"/>
        </w:rPr>
      </w:pPr>
    </w:p>
    <w:p>
      <w:pPr>
        <w:ind w:right="240"/>
        <w:spacing w:after="0" w:line="315"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There have been no material changes to the risk factors affecting our business that were discussed in Part I, “Item 1A. Risk Factors” in our Annual Report on Form 10-K for the year ended December 31, 2016 filed with the SEC on February 23,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1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2"/>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Total Number of Shares</w:t>
            </w:r>
          </w:p>
        </w:tc>
        <w:tc>
          <w:tcPr>
            <w:tcW w:w="100" w:type="dxa"/>
            <w:vAlign w:val="bottom"/>
          </w:tcPr>
          <w:p>
            <w:pPr>
              <w:spacing w:after="0"/>
              <w:rPr>
                <w:sz w:val="11"/>
                <w:szCs w:val="11"/>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Maximum Number of Shares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Average Price Paid per</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Purchased as Part of</w:t>
            </w: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Publicly Announced Plans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that May Yet Be Purchased</w:t>
            </w:r>
          </w:p>
        </w:tc>
        <w:tc>
          <w:tcPr>
            <w:tcW w:w="0" w:type="dxa"/>
            <w:vAlign w:val="bottom"/>
          </w:tcPr>
          <w:p>
            <w:pPr>
              <w:spacing w:after="0"/>
              <w:rPr>
                <w:sz w:val="1"/>
                <w:szCs w:val="1"/>
                <w:color w:val="auto"/>
              </w:rPr>
            </w:pPr>
          </w:p>
        </w:tc>
      </w:tr>
      <w:tr>
        <w:trPr>
          <w:trHeight w:val="16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Under the Plans or 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40" w:type="dxa"/>
            <w:vAlign w:val="bottom"/>
            <w:gridSpan w:val="2"/>
          </w:tcPr>
          <w:p>
            <w:pPr>
              <w:spacing w:after="0"/>
              <w:rPr>
                <w:sz w:val="20"/>
                <w:szCs w:val="20"/>
                <w:color w:val="auto"/>
              </w:rPr>
            </w:pPr>
            <w:r>
              <w:rPr>
                <w:rFonts w:ascii="Arial" w:cs="Arial" w:eastAsia="Arial" w:hAnsi="Arial"/>
                <w:sz w:val="17"/>
                <w:szCs w:val="17"/>
                <w:color w:val="auto"/>
              </w:rPr>
              <w:t>January 1, 2017 to January 31, 2017</w:t>
            </w:r>
          </w:p>
        </w:tc>
        <w:tc>
          <w:tcPr>
            <w:tcW w:w="960" w:type="dxa"/>
            <w:vAlign w:val="bottom"/>
          </w:tcPr>
          <w:p>
            <w:pPr>
              <w:jc w:val="right"/>
              <w:spacing w:after="0"/>
              <w:rPr>
                <w:sz w:val="20"/>
                <w:szCs w:val="20"/>
                <w:color w:val="auto"/>
              </w:rPr>
            </w:pPr>
            <w:r>
              <w:rPr>
                <w:rFonts w:ascii="Arial" w:cs="Arial" w:eastAsia="Arial" w:hAnsi="Arial"/>
                <w:sz w:val="17"/>
                <w:szCs w:val="17"/>
                <w:color w:val="auto"/>
              </w:rPr>
              <w:t>522</w:t>
            </w:r>
          </w:p>
        </w:tc>
        <w:tc>
          <w:tcPr>
            <w:tcW w:w="400" w:type="dxa"/>
            <w:vAlign w:val="bottom"/>
            <w:gridSpan w:val="2"/>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26.27</w:t>
            </w:r>
          </w:p>
        </w:tc>
        <w:tc>
          <w:tcPr>
            <w:tcW w:w="100" w:type="dxa"/>
            <w:vAlign w:val="bottom"/>
          </w:tcPr>
          <w:p>
            <w:pPr>
              <w:spacing w:after="0"/>
              <w:rPr>
                <w:sz w:val="18"/>
                <w:szCs w:val="18"/>
                <w:color w:val="auto"/>
              </w:rPr>
            </w:pPr>
          </w:p>
        </w:tc>
        <w:tc>
          <w:tcPr>
            <w:tcW w:w="1680" w:type="dxa"/>
            <w:vAlign w:val="bottom"/>
          </w:tcPr>
          <w:p>
            <w:pPr>
              <w:ind w:left="1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8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February 1, 2017 to February 29, 2017</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13,940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28.97</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ind w:left="1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March 1, 2017 to March 31, 2017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8,081</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26.02</w:t>
            </w:r>
          </w:p>
        </w:tc>
        <w:tc>
          <w:tcPr>
            <w:tcW w:w="10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gridSpan w:val="2"/>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22,543</w:t>
            </w:r>
          </w:p>
        </w:tc>
        <w:tc>
          <w:tcPr>
            <w:tcW w:w="400" w:type="dxa"/>
            <w:vAlign w:val="bottom"/>
            <w:tcBorders>
              <w:bottom w:val="single" w:sz="8" w:color="CFF0FC"/>
            </w:tcBorders>
            <w:gridSpan w:val="2"/>
            <w:shd w:val="clear" w:color="auto" w:fill="CFF0FC"/>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CFF0FC"/>
            </w:tcBorders>
            <w:gridSpan w:val="2"/>
            <w:shd w:val="clear" w:color="auto" w:fill="CFF0FC"/>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380" w:right="820" w:hanging="377"/>
        <w:spacing w:after="0" w:line="283"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average price paid per share is the weighted-average of the fair market prices at which we calculated the number of shares withheld to cover tax withholdings for the employees.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10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179"/>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0100" w:type="dxa"/>
            <w:vAlign w:val="bottom"/>
          </w:tcPr>
          <w:p>
            <w:pPr>
              <w:spacing w:after="0"/>
              <w:rPr>
                <w:sz w:val="15"/>
                <w:szCs w:val="15"/>
                <w:color w:val="auto"/>
              </w:rPr>
            </w:pPr>
          </w:p>
        </w:tc>
      </w:tr>
      <w:tr>
        <w:trPr>
          <w:trHeight w:val="271"/>
        </w:trPr>
        <w:tc>
          <w:tcPr>
            <w:tcW w:w="980" w:type="dxa"/>
            <w:vAlign w:val="bottom"/>
          </w:tcPr>
          <w:p>
            <w:pPr>
              <w:spacing w:after="0"/>
              <w:rPr>
                <w:sz w:val="20"/>
                <w:szCs w:val="20"/>
                <w:color w:val="auto"/>
              </w:rPr>
            </w:pPr>
            <w:r>
              <w:rPr>
                <w:rFonts w:ascii="Arial" w:cs="Arial" w:eastAsia="Arial" w:hAnsi="Arial"/>
                <w:sz w:val="17"/>
                <w:szCs w:val="17"/>
                <w:color w:val="auto"/>
              </w:rPr>
              <w:t>2.1</w:t>
            </w:r>
          </w:p>
        </w:tc>
        <w:tc>
          <w:tcPr>
            <w:tcW w:w="10100" w:type="dxa"/>
            <w:vAlign w:val="bottom"/>
          </w:tcPr>
          <w:p>
            <w:pPr>
              <w:ind w:left="240"/>
              <w:spacing w:after="0"/>
              <w:rPr>
                <w:sz w:val="20"/>
                <w:szCs w:val="20"/>
                <w:color w:val="auto"/>
              </w:rPr>
            </w:pPr>
            <w:r>
              <w:rPr>
                <w:rFonts w:ascii="Arial" w:cs="Arial" w:eastAsia="Arial" w:hAnsi="Arial"/>
                <w:sz w:val="17"/>
                <w:szCs w:val="17"/>
                <w:color w:val="auto"/>
                <w:w w:val="93"/>
              </w:rPr>
              <w:t>Membership Interests Purchase Agreement, dated April 7, 2017, by and among Uniti Group Inc., Uniti Fiber Holdings Inc. and SLF Holdings,</w:t>
            </w:r>
          </w:p>
        </w:tc>
      </w:tr>
      <w:tr>
        <w:trPr>
          <w:trHeight w:val="207"/>
        </w:trPr>
        <w:tc>
          <w:tcPr>
            <w:tcW w:w="980" w:type="dxa"/>
            <w:vAlign w:val="bottom"/>
          </w:tcPr>
          <w:p>
            <w:pPr>
              <w:spacing w:after="0"/>
              <w:rPr>
                <w:sz w:val="17"/>
                <w:szCs w:val="17"/>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w w:val="93"/>
              </w:rPr>
              <w:t>LLC (incorporated by reference to Exhibit 2.1 to the Company’s Current Report on Form 8-K dated as of April 7, 2017 and filed with the SEC</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as of April 11, 2017 (File No. 001-36708))**</w:t>
            </w:r>
          </w:p>
        </w:tc>
      </w:tr>
      <w:tr>
        <w:trPr>
          <w:trHeight w:val="336"/>
        </w:trPr>
        <w:tc>
          <w:tcPr>
            <w:tcW w:w="980" w:type="dxa"/>
            <w:vAlign w:val="bottom"/>
          </w:tcPr>
          <w:p>
            <w:pPr>
              <w:spacing w:after="0"/>
              <w:rPr>
                <w:sz w:val="20"/>
                <w:szCs w:val="20"/>
                <w:color w:val="auto"/>
              </w:rPr>
            </w:pPr>
            <w:r>
              <w:rPr>
                <w:rFonts w:ascii="Arial" w:cs="Arial" w:eastAsia="Arial" w:hAnsi="Arial"/>
                <w:sz w:val="17"/>
                <w:szCs w:val="17"/>
                <w:color w:val="auto"/>
              </w:rPr>
              <w:t>3.1</w:t>
            </w:r>
          </w:p>
        </w:tc>
        <w:tc>
          <w:tcPr>
            <w:tcW w:w="10100" w:type="dxa"/>
            <w:vAlign w:val="bottom"/>
          </w:tcPr>
          <w:p>
            <w:pPr>
              <w:ind w:left="240"/>
              <w:spacing w:after="0"/>
              <w:rPr>
                <w:sz w:val="20"/>
                <w:szCs w:val="20"/>
                <w:color w:val="auto"/>
              </w:rPr>
            </w:pPr>
            <w:r>
              <w:rPr>
                <w:rFonts w:ascii="Arial" w:cs="Arial" w:eastAsia="Arial" w:hAnsi="Arial"/>
                <w:sz w:val="17"/>
                <w:szCs w:val="17"/>
                <w:color w:val="auto"/>
                <w:w w:val="92"/>
              </w:rPr>
              <w:t>Articles of Amendment and Restatement of Communications Sales &amp; Leasing, Inc. (incorporated by reference to Exhibit 3.1 to the Company’s</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Current Report on Form 8-K dated and filed with the SEC as of April 10, 2015 (File No. 001-36708))</w:t>
            </w:r>
          </w:p>
        </w:tc>
      </w:tr>
      <w:tr>
        <w:trPr>
          <w:trHeight w:val="336"/>
        </w:trPr>
        <w:tc>
          <w:tcPr>
            <w:tcW w:w="980" w:type="dxa"/>
            <w:vAlign w:val="bottom"/>
          </w:tcPr>
          <w:p>
            <w:pPr>
              <w:spacing w:after="0"/>
              <w:rPr>
                <w:sz w:val="20"/>
                <w:szCs w:val="20"/>
                <w:color w:val="auto"/>
              </w:rPr>
            </w:pPr>
            <w:r>
              <w:rPr>
                <w:rFonts w:ascii="Arial" w:cs="Arial" w:eastAsia="Arial" w:hAnsi="Arial"/>
                <w:sz w:val="17"/>
                <w:szCs w:val="17"/>
                <w:color w:val="auto"/>
              </w:rPr>
              <w:t>3.2</w:t>
            </w:r>
          </w:p>
        </w:tc>
        <w:tc>
          <w:tcPr>
            <w:tcW w:w="10100" w:type="dxa"/>
            <w:vAlign w:val="bottom"/>
          </w:tcPr>
          <w:p>
            <w:pPr>
              <w:ind w:left="240"/>
              <w:spacing w:after="0"/>
              <w:rPr>
                <w:sz w:val="20"/>
                <w:szCs w:val="20"/>
                <w:color w:val="auto"/>
              </w:rPr>
            </w:pPr>
            <w:r>
              <w:rPr>
                <w:rFonts w:ascii="Arial" w:cs="Arial" w:eastAsia="Arial" w:hAnsi="Arial"/>
                <w:sz w:val="17"/>
                <w:szCs w:val="17"/>
                <w:color w:val="auto"/>
                <w:w w:val="93"/>
              </w:rPr>
              <w:t>Articles of Amendment of Communications Sales &amp; Leasing, Inc. (incorporated by reference to Exhibit 3.1 to the Company’s Current Report</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on Form 8-K dated as of February 22, 2017 and filed with the SEC as of February 28, 2017 (File No. 001-36708))</w:t>
            </w:r>
          </w:p>
        </w:tc>
      </w:tr>
      <w:tr>
        <w:trPr>
          <w:trHeight w:val="336"/>
        </w:trPr>
        <w:tc>
          <w:tcPr>
            <w:tcW w:w="980" w:type="dxa"/>
            <w:vAlign w:val="bottom"/>
          </w:tcPr>
          <w:p>
            <w:pPr>
              <w:spacing w:after="0"/>
              <w:rPr>
                <w:sz w:val="20"/>
                <w:szCs w:val="20"/>
                <w:color w:val="auto"/>
              </w:rPr>
            </w:pPr>
            <w:r>
              <w:rPr>
                <w:rFonts w:ascii="Arial" w:cs="Arial" w:eastAsia="Arial" w:hAnsi="Arial"/>
                <w:sz w:val="17"/>
                <w:szCs w:val="17"/>
                <w:color w:val="auto"/>
              </w:rPr>
              <w:t>3.3</w:t>
            </w:r>
          </w:p>
        </w:tc>
        <w:tc>
          <w:tcPr>
            <w:tcW w:w="10100" w:type="dxa"/>
            <w:vAlign w:val="bottom"/>
          </w:tcPr>
          <w:p>
            <w:pPr>
              <w:ind w:left="240"/>
              <w:spacing w:after="0"/>
              <w:rPr>
                <w:sz w:val="20"/>
                <w:szCs w:val="20"/>
                <w:color w:val="auto"/>
              </w:rPr>
            </w:pPr>
            <w:r>
              <w:rPr>
                <w:rFonts w:ascii="Arial" w:cs="Arial" w:eastAsia="Arial" w:hAnsi="Arial"/>
                <w:sz w:val="17"/>
                <w:szCs w:val="17"/>
                <w:color w:val="auto"/>
                <w:w w:val="96"/>
              </w:rPr>
              <w:t>Amended and Restated Bylaws of Uniti Group Inc., as amended May 1, 2017 (incorporated by reference to Exhibit 3.1 to the Company’s</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Current Report on Form 8-K dated as of May 1, 2017 and filed with the SEC as of May 2, 2017 (File No. 001-36708))</w:t>
            </w:r>
          </w:p>
        </w:tc>
      </w:tr>
      <w:tr>
        <w:trPr>
          <w:trHeight w:val="349"/>
        </w:trPr>
        <w:tc>
          <w:tcPr>
            <w:tcW w:w="980" w:type="dxa"/>
            <w:vAlign w:val="bottom"/>
          </w:tcPr>
          <w:p>
            <w:pPr>
              <w:spacing w:after="0"/>
              <w:rPr>
                <w:sz w:val="20"/>
                <w:szCs w:val="20"/>
                <w:color w:val="auto"/>
              </w:rPr>
            </w:pPr>
            <w:r>
              <w:rPr>
                <w:rFonts w:ascii="Arial" w:cs="Arial" w:eastAsia="Arial" w:hAnsi="Arial"/>
                <w:sz w:val="17"/>
                <w:szCs w:val="17"/>
                <w:color w:val="auto"/>
              </w:rPr>
              <w:t>10.1*</w:t>
            </w:r>
          </w:p>
        </w:tc>
        <w:tc>
          <w:tcPr>
            <w:tcW w:w="10100" w:type="dxa"/>
            <w:vAlign w:val="bottom"/>
          </w:tcPr>
          <w:p>
            <w:pPr>
              <w:ind w:left="240"/>
              <w:spacing w:after="0"/>
              <w:rPr>
                <w:sz w:val="20"/>
                <w:szCs w:val="20"/>
                <w:color w:val="auto"/>
              </w:rPr>
            </w:pPr>
            <w:r>
              <w:rPr>
                <w:rFonts w:ascii="Arial" w:cs="Arial" w:eastAsia="Arial" w:hAnsi="Arial"/>
                <w:sz w:val="17"/>
                <w:szCs w:val="17"/>
                <w:color w:val="auto"/>
              </w:rPr>
              <w:t>Communications Sales &amp; Leasing, Inc. 2016 Short Term Incentive Plan***</w:t>
            </w:r>
          </w:p>
        </w:tc>
      </w:tr>
      <w:tr>
        <w:trPr>
          <w:trHeight w:val="375"/>
        </w:trPr>
        <w:tc>
          <w:tcPr>
            <w:tcW w:w="980" w:type="dxa"/>
            <w:vAlign w:val="bottom"/>
          </w:tcPr>
          <w:p>
            <w:pPr>
              <w:spacing w:after="0"/>
              <w:rPr>
                <w:sz w:val="20"/>
                <w:szCs w:val="20"/>
                <w:color w:val="auto"/>
              </w:rPr>
            </w:pPr>
            <w:r>
              <w:rPr>
                <w:rFonts w:ascii="Arial" w:cs="Arial" w:eastAsia="Arial" w:hAnsi="Arial"/>
                <w:sz w:val="17"/>
                <w:szCs w:val="17"/>
                <w:color w:val="auto"/>
              </w:rPr>
              <w:t>10.2*</w:t>
            </w:r>
          </w:p>
        </w:tc>
        <w:tc>
          <w:tcPr>
            <w:tcW w:w="10100" w:type="dxa"/>
            <w:vAlign w:val="bottom"/>
          </w:tcPr>
          <w:p>
            <w:pPr>
              <w:ind w:left="240"/>
              <w:spacing w:after="0"/>
              <w:rPr>
                <w:sz w:val="20"/>
                <w:szCs w:val="20"/>
                <w:color w:val="auto"/>
              </w:rPr>
            </w:pPr>
            <w:r>
              <w:rPr>
                <w:rFonts w:ascii="Arial" w:cs="Arial" w:eastAsia="Arial" w:hAnsi="Arial"/>
                <w:sz w:val="17"/>
                <w:szCs w:val="17"/>
                <w:color w:val="auto"/>
              </w:rPr>
              <w:t>Communications Sales &amp; Leasing, Inc. 2017 Short Term Incentive Plan****</w:t>
            </w:r>
          </w:p>
        </w:tc>
      </w:tr>
      <w:tr>
        <w:trPr>
          <w:trHeight w:val="362"/>
        </w:trPr>
        <w:tc>
          <w:tcPr>
            <w:tcW w:w="980" w:type="dxa"/>
            <w:vAlign w:val="bottom"/>
          </w:tcPr>
          <w:p>
            <w:pPr>
              <w:spacing w:after="0"/>
              <w:rPr>
                <w:sz w:val="20"/>
                <w:szCs w:val="20"/>
                <w:color w:val="auto"/>
              </w:rPr>
            </w:pPr>
            <w:r>
              <w:rPr>
                <w:rFonts w:ascii="Arial" w:cs="Arial" w:eastAsia="Arial" w:hAnsi="Arial"/>
                <w:sz w:val="17"/>
                <w:szCs w:val="17"/>
                <w:color w:val="auto"/>
              </w:rPr>
              <w:t>10.3</w:t>
            </w:r>
          </w:p>
        </w:tc>
        <w:tc>
          <w:tcPr>
            <w:tcW w:w="10100" w:type="dxa"/>
            <w:vAlign w:val="bottom"/>
          </w:tcPr>
          <w:p>
            <w:pPr>
              <w:ind w:left="240"/>
              <w:spacing w:after="0"/>
              <w:rPr>
                <w:sz w:val="20"/>
                <w:szCs w:val="20"/>
                <w:color w:val="auto"/>
              </w:rPr>
            </w:pPr>
            <w:r>
              <w:rPr>
                <w:rFonts w:ascii="Arial" w:cs="Arial" w:eastAsia="Arial" w:hAnsi="Arial"/>
                <w:sz w:val="17"/>
                <w:szCs w:val="17"/>
                <w:color w:val="auto"/>
                <w:w w:val="95"/>
              </w:rPr>
              <w:t>Amendment No. 2 to the Credit Agreement, dated as of February 9, 2017 by and among Communications Sales &amp; Leasing, Inc. and CSL</w:t>
            </w:r>
          </w:p>
        </w:tc>
      </w:tr>
      <w:tr>
        <w:trPr>
          <w:trHeight w:val="207"/>
        </w:trPr>
        <w:tc>
          <w:tcPr>
            <w:tcW w:w="980" w:type="dxa"/>
            <w:vAlign w:val="bottom"/>
          </w:tcPr>
          <w:p>
            <w:pPr>
              <w:spacing w:after="0"/>
              <w:rPr>
                <w:sz w:val="17"/>
                <w:szCs w:val="17"/>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w w:val="94"/>
              </w:rPr>
              <w:t>Capital, LLC, as borrowers, the guarantors party thereto, the lenders party thereto, and Bank of America, N.A., as administrative agent and</w:t>
            </w:r>
          </w:p>
        </w:tc>
      </w:tr>
      <w:tr>
        <w:trPr>
          <w:trHeight w:val="207"/>
        </w:trPr>
        <w:tc>
          <w:tcPr>
            <w:tcW w:w="980" w:type="dxa"/>
            <w:vAlign w:val="bottom"/>
          </w:tcPr>
          <w:p>
            <w:pPr>
              <w:spacing w:after="0"/>
              <w:rPr>
                <w:sz w:val="17"/>
                <w:szCs w:val="17"/>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w w:val="94"/>
              </w:rPr>
              <w:t>collateral agent (incorporated by reference to Exhibit 10.1 to the Company’s Current Report on Form 8-K dated and filed with the SEC as of</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February 9, 2017 (File No. 001-36708))</w:t>
            </w:r>
          </w:p>
        </w:tc>
      </w:tr>
      <w:tr>
        <w:trPr>
          <w:trHeight w:val="336"/>
        </w:trPr>
        <w:tc>
          <w:tcPr>
            <w:tcW w:w="980" w:type="dxa"/>
            <w:vAlign w:val="bottom"/>
          </w:tcPr>
          <w:p>
            <w:pPr>
              <w:spacing w:after="0"/>
              <w:rPr>
                <w:sz w:val="20"/>
                <w:szCs w:val="20"/>
                <w:color w:val="auto"/>
              </w:rPr>
            </w:pPr>
            <w:r>
              <w:rPr>
                <w:rFonts w:ascii="Arial" w:cs="Arial" w:eastAsia="Arial" w:hAnsi="Arial"/>
                <w:sz w:val="17"/>
                <w:szCs w:val="17"/>
                <w:color w:val="auto"/>
              </w:rPr>
              <w:t>10.4</w:t>
            </w:r>
          </w:p>
        </w:tc>
        <w:tc>
          <w:tcPr>
            <w:tcW w:w="10100" w:type="dxa"/>
            <w:vAlign w:val="bottom"/>
          </w:tcPr>
          <w:p>
            <w:pPr>
              <w:ind w:left="240"/>
              <w:spacing w:after="0"/>
              <w:rPr>
                <w:sz w:val="20"/>
                <w:szCs w:val="20"/>
                <w:color w:val="auto"/>
              </w:rPr>
            </w:pPr>
            <w:r>
              <w:rPr>
                <w:rFonts w:ascii="Arial" w:cs="Arial" w:eastAsia="Arial" w:hAnsi="Arial"/>
                <w:sz w:val="17"/>
                <w:szCs w:val="17"/>
                <w:color w:val="auto"/>
                <w:w w:val="94"/>
              </w:rPr>
              <w:t>Amendment No. 3 to the Credit Agreement, dated as of April 28, 2017 by and among Uniti Group Inc. and CSL Capital, LLC, as borrowers,</w:t>
            </w:r>
          </w:p>
        </w:tc>
      </w:tr>
      <w:tr>
        <w:trPr>
          <w:trHeight w:val="207"/>
        </w:trPr>
        <w:tc>
          <w:tcPr>
            <w:tcW w:w="980" w:type="dxa"/>
            <w:vAlign w:val="bottom"/>
          </w:tcPr>
          <w:p>
            <w:pPr>
              <w:spacing w:after="0"/>
              <w:rPr>
                <w:sz w:val="17"/>
                <w:szCs w:val="17"/>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w w:val="93"/>
              </w:rPr>
              <w:t>the guarantors party thereto, the lenders party thereto, and Bank of America, N.A., as administrative agent and collateral agent (incorporated</w:t>
            </w:r>
          </w:p>
        </w:tc>
      </w:tr>
      <w:tr>
        <w:trPr>
          <w:trHeight w:val="207"/>
        </w:trPr>
        <w:tc>
          <w:tcPr>
            <w:tcW w:w="980" w:type="dxa"/>
            <w:vAlign w:val="bottom"/>
          </w:tcPr>
          <w:p>
            <w:pPr>
              <w:spacing w:after="0"/>
              <w:rPr>
                <w:sz w:val="17"/>
                <w:szCs w:val="17"/>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w w:val="92"/>
              </w:rPr>
              <w:t>by reference to Exhibit 10.1 to the Company’s Current Report on Form 8-K dated as of May 1, 2017 and filed with the SEC as of May 2, 2017</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(File No. 001-36708))</w:t>
            </w:r>
          </w:p>
        </w:tc>
      </w:tr>
      <w:tr>
        <w:trPr>
          <w:trHeight w:val="349"/>
        </w:trPr>
        <w:tc>
          <w:tcPr>
            <w:tcW w:w="980" w:type="dxa"/>
            <w:vAlign w:val="bottom"/>
          </w:tcPr>
          <w:p>
            <w:pPr>
              <w:spacing w:after="0"/>
              <w:rPr>
                <w:sz w:val="20"/>
                <w:szCs w:val="20"/>
                <w:color w:val="auto"/>
              </w:rPr>
            </w:pPr>
            <w:r>
              <w:rPr>
                <w:rFonts w:ascii="Arial" w:cs="Arial" w:eastAsia="Arial" w:hAnsi="Arial"/>
                <w:sz w:val="17"/>
                <w:szCs w:val="17"/>
                <w:color w:val="auto"/>
              </w:rPr>
              <w:t>21.1*</w:t>
            </w:r>
          </w:p>
        </w:tc>
        <w:tc>
          <w:tcPr>
            <w:tcW w:w="10100" w:type="dxa"/>
            <w:vAlign w:val="bottom"/>
          </w:tcPr>
          <w:p>
            <w:pPr>
              <w:ind w:left="240"/>
              <w:spacing w:after="0"/>
              <w:rPr>
                <w:sz w:val="20"/>
                <w:szCs w:val="20"/>
                <w:color w:val="auto"/>
              </w:rPr>
            </w:pPr>
            <w:r>
              <w:rPr>
                <w:rFonts w:ascii="Arial" w:cs="Arial" w:eastAsia="Arial" w:hAnsi="Arial"/>
                <w:sz w:val="17"/>
                <w:szCs w:val="17"/>
                <w:color w:val="auto"/>
              </w:rPr>
              <w:t>List of Subsidiaries of Uniti Group Inc.</w:t>
            </w:r>
          </w:p>
        </w:tc>
      </w:tr>
      <w:tr>
        <w:trPr>
          <w:trHeight w:val="336"/>
        </w:trPr>
        <w:tc>
          <w:tcPr>
            <w:tcW w:w="980" w:type="dxa"/>
            <w:vAlign w:val="bottom"/>
          </w:tcPr>
          <w:p>
            <w:pPr>
              <w:spacing w:after="0"/>
              <w:rPr>
                <w:sz w:val="20"/>
                <w:szCs w:val="20"/>
                <w:color w:val="auto"/>
              </w:rPr>
            </w:pPr>
            <w:r>
              <w:rPr>
                <w:rFonts w:ascii="Arial" w:cs="Arial" w:eastAsia="Arial" w:hAnsi="Arial"/>
                <w:sz w:val="17"/>
                <w:szCs w:val="17"/>
                <w:color w:val="auto"/>
              </w:rPr>
              <w:t>31.1*</w:t>
            </w:r>
          </w:p>
        </w:tc>
        <w:tc>
          <w:tcPr>
            <w:tcW w:w="10100" w:type="dxa"/>
            <w:vAlign w:val="bottom"/>
          </w:tcPr>
          <w:p>
            <w:pPr>
              <w:ind w:left="240"/>
              <w:spacing w:after="0"/>
              <w:rPr>
                <w:sz w:val="20"/>
                <w:szCs w:val="20"/>
                <w:color w:val="auto"/>
              </w:rPr>
            </w:pPr>
            <w:r>
              <w:rPr>
                <w:rFonts w:ascii="Arial" w:cs="Arial" w:eastAsia="Arial" w:hAnsi="Arial"/>
                <w:sz w:val="17"/>
                <w:szCs w:val="17"/>
                <w:color w:val="auto"/>
                <w:w w:val="92"/>
              </w:rPr>
              <w:t>Certification of Principal Executive Officer Pursuant to Rules 13a-14(a) and 15d-14(a) under the Securities Exchange Act of 1934, as Adopted</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10"/>
        </w:trPr>
        <w:tc>
          <w:tcPr>
            <w:tcW w:w="980" w:type="dxa"/>
            <w:vAlign w:val="bottom"/>
          </w:tcPr>
          <w:p>
            <w:pPr>
              <w:spacing w:after="0"/>
              <w:rPr>
                <w:sz w:val="20"/>
                <w:szCs w:val="20"/>
                <w:color w:val="auto"/>
              </w:rPr>
            </w:pPr>
            <w:r>
              <w:rPr>
                <w:rFonts w:ascii="Arial" w:cs="Arial" w:eastAsia="Arial" w:hAnsi="Arial"/>
                <w:sz w:val="17"/>
                <w:szCs w:val="17"/>
                <w:color w:val="auto"/>
              </w:rPr>
              <w:t>31.2*</w:t>
            </w:r>
          </w:p>
        </w:tc>
        <w:tc>
          <w:tcPr>
            <w:tcW w:w="10100" w:type="dxa"/>
            <w:vAlign w:val="bottom"/>
          </w:tcPr>
          <w:p>
            <w:pPr>
              <w:ind w:left="240"/>
              <w:spacing w:after="0"/>
              <w:rPr>
                <w:sz w:val="20"/>
                <w:szCs w:val="20"/>
                <w:color w:val="auto"/>
              </w:rPr>
            </w:pPr>
            <w:r>
              <w:rPr>
                <w:rFonts w:ascii="Arial" w:cs="Arial" w:eastAsia="Arial" w:hAnsi="Arial"/>
                <w:sz w:val="17"/>
                <w:szCs w:val="17"/>
                <w:color w:val="auto"/>
                <w:w w:val="92"/>
              </w:rPr>
              <w:t>Certification of Principal Financial Officer Pursuant to Rules 13a-14(a) and 15d-14(a) under the Securities Exchange Act of 1934, as Adopted</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10"/>
        </w:trPr>
        <w:tc>
          <w:tcPr>
            <w:tcW w:w="980" w:type="dxa"/>
            <w:vAlign w:val="bottom"/>
          </w:tcPr>
          <w:p>
            <w:pPr>
              <w:spacing w:after="0"/>
              <w:rPr>
                <w:sz w:val="20"/>
                <w:szCs w:val="20"/>
                <w:color w:val="auto"/>
              </w:rPr>
            </w:pPr>
            <w:r>
              <w:rPr>
                <w:rFonts w:ascii="Arial" w:cs="Arial" w:eastAsia="Arial" w:hAnsi="Arial"/>
                <w:sz w:val="17"/>
                <w:szCs w:val="17"/>
                <w:color w:val="auto"/>
              </w:rPr>
              <w:t>32.1*</w:t>
            </w:r>
          </w:p>
        </w:tc>
        <w:tc>
          <w:tcPr>
            <w:tcW w:w="10100" w:type="dxa"/>
            <w:vAlign w:val="bottom"/>
          </w:tcPr>
          <w:p>
            <w:pPr>
              <w:ind w:left="240"/>
              <w:spacing w:after="0"/>
              <w:rPr>
                <w:sz w:val="20"/>
                <w:szCs w:val="20"/>
                <w:color w:val="auto"/>
              </w:rPr>
            </w:pPr>
            <w:r>
              <w:rPr>
                <w:rFonts w:ascii="Arial" w:cs="Arial" w:eastAsia="Arial" w:hAnsi="Arial"/>
                <w:sz w:val="17"/>
                <w:szCs w:val="17"/>
                <w:color w:val="auto"/>
                <w:w w:val="94"/>
              </w:rPr>
              <w:t>Certification of Principal Executive Officer Pursuant to 18 U.S.C. Section 1350, as Adopted Pursuant to Section 906 of the Sarbanes-Oxley</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Act of 2002.</w:t>
            </w:r>
          </w:p>
        </w:tc>
      </w:tr>
      <w:tr>
        <w:trPr>
          <w:trHeight w:val="310"/>
        </w:trPr>
        <w:tc>
          <w:tcPr>
            <w:tcW w:w="980" w:type="dxa"/>
            <w:vAlign w:val="bottom"/>
          </w:tcPr>
          <w:p>
            <w:pPr>
              <w:spacing w:after="0"/>
              <w:rPr>
                <w:sz w:val="20"/>
                <w:szCs w:val="20"/>
                <w:color w:val="auto"/>
              </w:rPr>
            </w:pPr>
            <w:r>
              <w:rPr>
                <w:rFonts w:ascii="Arial" w:cs="Arial" w:eastAsia="Arial" w:hAnsi="Arial"/>
                <w:sz w:val="17"/>
                <w:szCs w:val="17"/>
                <w:color w:val="auto"/>
              </w:rPr>
              <w:t>32.2*</w:t>
            </w:r>
          </w:p>
        </w:tc>
        <w:tc>
          <w:tcPr>
            <w:tcW w:w="10100" w:type="dxa"/>
            <w:vAlign w:val="bottom"/>
          </w:tcPr>
          <w:p>
            <w:pPr>
              <w:ind w:left="240"/>
              <w:spacing w:after="0"/>
              <w:rPr>
                <w:sz w:val="20"/>
                <w:szCs w:val="20"/>
                <w:color w:val="auto"/>
              </w:rPr>
            </w:pPr>
            <w:r>
              <w:rPr>
                <w:rFonts w:ascii="Arial" w:cs="Arial" w:eastAsia="Arial" w:hAnsi="Arial"/>
                <w:sz w:val="17"/>
                <w:szCs w:val="17"/>
                <w:color w:val="auto"/>
                <w:w w:val="92"/>
              </w:rPr>
              <w:t>Certification of Principal Financial Officer Pursuant to 18 U.S.C. Section 1350, as Adopted Pursuant to Section 906 of the Sarbanes-Oxley Act</w:t>
            </w:r>
          </w:p>
        </w:tc>
      </w:tr>
      <w:tr>
        <w:trPr>
          <w:trHeight w:val="219"/>
        </w:trPr>
        <w:tc>
          <w:tcPr>
            <w:tcW w:w="980" w:type="dxa"/>
            <w:vAlign w:val="bottom"/>
          </w:tcPr>
          <w:p>
            <w:pPr>
              <w:spacing w:after="0"/>
              <w:rPr>
                <w:sz w:val="19"/>
                <w:szCs w:val="19"/>
                <w:color w:val="auto"/>
              </w:rPr>
            </w:pPr>
          </w:p>
        </w:tc>
        <w:tc>
          <w:tcPr>
            <w:tcW w:w="10100" w:type="dxa"/>
            <w:vAlign w:val="bottom"/>
          </w:tcPr>
          <w:p>
            <w:pPr>
              <w:ind w:left="240"/>
              <w:spacing w:after="0"/>
              <w:rPr>
                <w:sz w:val="20"/>
                <w:szCs w:val="20"/>
                <w:color w:val="auto"/>
              </w:rPr>
            </w:pPr>
            <w:r>
              <w:rPr>
                <w:rFonts w:ascii="Arial" w:cs="Arial" w:eastAsia="Arial" w:hAnsi="Arial"/>
                <w:sz w:val="17"/>
                <w:szCs w:val="17"/>
                <w:color w:val="auto"/>
              </w:rPr>
              <w:t>of 2002.</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Instance Document</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Taxonomy Extension Schema Document</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Taxonomy Extension Definition Linkbase Document</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Taxonomy Extension Label Linkbase Document</w:t>
            </w:r>
          </w:p>
        </w:tc>
      </w:tr>
      <w:tr>
        <w:trPr>
          <w:trHeight w:val="323"/>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10100" w:type="dxa"/>
            <w:vAlign w:val="bottom"/>
          </w:tcPr>
          <w:p>
            <w:pPr>
              <w:ind w:left="24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968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8" w:lineRule="exact"/>
        <w:rPr>
          <w:sz w:val="20"/>
          <w:szCs w:val="20"/>
          <w:color w:val="auto"/>
        </w:rPr>
      </w:pPr>
    </w:p>
    <w:p>
      <w:pPr>
        <w:ind w:left="520" w:hanging="517"/>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0" w:lineRule="exact"/>
        <w:rPr>
          <w:sz w:val="20"/>
          <w:szCs w:val="20"/>
          <w:color w:val="auto"/>
        </w:rPr>
      </w:pPr>
    </w:p>
    <w:p>
      <w:pPr>
        <w:ind w:left="520" w:hanging="517"/>
        <w:spacing w:after="0" w:line="283"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Schedules to the agreement have been omitted pursuant to Section 601(b)(2) of Regulation S-K. The Company agrees to furnish supplementally a copy of any omitted schedule upon the request of the Securities and Exchange Commission.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57" w:lineRule="exact"/>
        <w:rPr>
          <w:sz w:val="20"/>
          <w:szCs w:val="20"/>
          <w:color w:val="auto"/>
        </w:rPr>
      </w:pPr>
    </w:p>
    <w:p>
      <w:pPr>
        <w:ind w:left="520" w:hanging="517"/>
        <w:spacing w:after="0" w:line="29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exhibit was originally included as Exhibit 10.4 to the Quarterly Report on Form 10-Q filed on May 12, 2016 with confidential treatment granted on a portion of the exhibit. The confidential treatment order expired on April 30, 2017, and the full version of the exhibit is filed herewith.</w:t>
      </w:r>
    </w:p>
    <w:p>
      <w:pPr>
        <w:spacing w:after="0" w:line="1" w:lineRule="exact"/>
        <w:rPr>
          <w:rFonts w:ascii="Arial" w:cs="Arial" w:eastAsia="Arial" w:hAnsi="Arial"/>
          <w:sz w:val="16"/>
          <w:szCs w:val="16"/>
          <w:color w:val="auto"/>
        </w:rPr>
      </w:pPr>
    </w:p>
    <w:p>
      <w:pPr>
        <w:ind w:left="520" w:right="180" w:hanging="517"/>
        <w:spacing w:after="0" w:line="283"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portions of this exhibit have been omitted pursuant to a request for confidential treatment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140"/>
          </w:cols>
          <w:pgMar w:left="240" w:top="127" w:right="51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UNITI GROUP INC.</w:t>
            </w:r>
          </w:p>
        </w:tc>
      </w:tr>
      <w:tr>
        <w:trPr>
          <w:trHeight w:val="452"/>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4, 2017</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A. Wallace</w:t>
            </w:r>
          </w:p>
        </w:tc>
      </w:tr>
      <w:tr>
        <w:trPr>
          <w:trHeight w:val="194"/>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4" w:lineRule="exact"/>
              <w:rPr>
                <w:sz w:val="20"/>
                <w:szCs w:val="20"/>
                <w:color w:val="auto"/>
              </w:rPr>
            </w:pPr>
            <w:r>
              <w:rPr>
                <w:rFonts w:ascii="Arial" w:cs="Arial" w:eastAsia="Arial" w:hAnsi="Arial"/>
                <w:sz w:val="17"/>
                <w:szCs w:val="17"/>
                <w:b w:val="1"/>
                <w:bCs w:val="1"/>
                <w:color w:val="auto"/>
              </w:rPr>
              <w:t>Mark A. Wallace</w:t>
            </w:r>
          </w:p>
        </w:tc>
      </w:tr>
      <w:tr>
        <w:trPr>
          <w:trHeight w:val="207"/>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Executive Vice President – Chief Financial Officer and Treasurer</w:t>
            </w:r>
          </w:p>
        </w:tc>
      </w:t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(Principal Financial Officer)</w:t>
            </w:r>
          </w:p>
        </w:tc>
      </w:tr>
      <w:tr>
        <w:trPr>
          <w:trHeight w:val="439"/>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4, 2017</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Blake Schuhmacher</w:t>
            </w:r>
          </w:p>
        </w:tc>
      </w:tr>
      <w:tr>
        <w:trPr>
          <w:trHeight w:val="201"/>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Blake Schuhmacher</w:t>
            </w:r>
          </w:p>
        </w:tc>
      </w:tr>
    </w:tbl>
    <w:p>
      <w:pPr>
        <w:ind w:left="5620"/>
        <w:spacing w:after="0"/>
        <w:rPr>
          <w:sz w:val="20"/>
          <w:szCs w:val="20"/>
          <w:color w:val="auto"/>
        </w:rPr>
      </w:pPr>
      <w:r>
        <w:rPr>
          <w:rFonts w:ascii="Arial" w:cs="Arial" w:eastAsia="Arial" w:hAnsi="Arial"/>
          <w:sz w:val="17"/>
          <w:szCs w:val="17"/>
          <w:b w:val="1"/>
          <w:bCs w:val="1"/>
          <w:color w:val="auto"/>
        </w:rPr>
        <w:t>Vice President – Chief Accounting Officer</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0140" w:type="dxa"/>
            <w:vAlign w:val="bottom"/>
          </w:tcPr>
          <w:p>
            <w:pPr>
              <w:ind w:left="4140"/>
              <w:spacing w:after="0"/>
              <w:rPr>
                <w:sz w:val="20"/>
                <w:szCs w:val="20"/>
                <w:color w:val="auto"/>
              </w:rPr>
            </w:pPr>
            <w:r>
              <w:rPr>
                <w:rFonts w:ascii="Arial" w:cs="Arial" w:eastAsia="Arial" w:hAnsi="Arial"/>
                <w:sz w:val="17"/>
                <w:szCs w:val="17"/>
                <w:b w:val="1"/>
                <w:bCs w:val="1"/>
                <w:color w:val="auto"/>
              </w:rPr>
              <w:t>Exhibit Index</w:t>
            </w:r>
          </w:p>
        </w:tc>
      </w:tr>
      <w:tr>
        <w:trPr>
          <w:trHeight w:val="142"/>
        </w:trPr>
        <w:tc>
          <w:tcPr>
            <w:tcW w:w="940" w:type="dxa"/>
            <w:vAlign w:val="bottom"/>
          </w:tcPr>
          <w:p>
            <w:pPr>
              <w:spacing w:after="0" w:line="142" w:lineRule="exact"/>
              <w:rPr>
                <w:sz w:val="20"/>
                <w:szCs w:val="20"/>
                <w:color w:val="auto"/>
              </w:rPr>
            </w:pPr>
            <w:r>
              <w:rPr>
                <w:rFonts w:ascii="Arial" w:cs="Arial" w:eastAsia="Arial" w:hAnsi="Arial"/>
                <w:sz w:val="14"/>
                <w:szCs w:val="14"/>
                <w:b w:val="1"/>
                <w:bCs w:val="1"/>
                <w:color w:val="auto"/>
              </w:rPr>
              <w:t>Exhibit</w:t>
            </w:r>
          </w:p>
        </w:tc>
        <w:tc>
          <w:tcPr>
            <w:tcW w:w="101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Description</w:t>
            </w:r>
          </w:p>
        </w:tc>
      </w:tr>
      <w:tr>
        <w:trPr>
          <w:trHeight w:val="179"/>
        </w:trPr>
        <w:tc>
          <w:tcPr>
            <w:tcW w:w="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140" w:type="dxa"/>
            <w:vAlign w:val="bottom"/>
          </w:tcPr>
          <w:p>
            <w:pPr>
              <w:spacing w:after="0"/>
              <w:rPr>
                <w:sz w:val="15"/>
                <w:szCs w:val="15"/>
                <w:color w:val="auto"/>
              </w:rPr>
            </w:pPr>
          </w:p>
        </w:tc>
      </w:tr>
      <w:tr>
        <w:trPr>
          <w:trHeight w:val="271"/>
        </w:trPr>
        <w:tc>
          <w:tcPr>
            <w:tcW w:w="940" w:type="dxa"/>
            <w:vAlign w:val="bottom"/>
          </w:tcPr>
          <w:p>
            <w:pPr>
              <w:spacing w:after="0"/>
              <w:rPr>
                <w:sz w:val="20"/>
                <w:szCs w:val="20"/>
                <w:color w:val="auto"/>
              </w:rPr>
            </w:pPr>
            <w:r>
              <w:rPr>
                <w:rFonts w:ascii="Arial" w:cs="Arial" w:eastAsia="Arial" w:hAnsi="Arial"/>
                <w:sz w:val="17"/>
                <w:szCs w:val="17"/>
                <w:color w:val="auto"/>
              </w:rPr>
              <w:t>2.1</w:t>
            </w:r>
          </w:p>
        </w:tc>
        <w:tc>
          <w:tcPr>
            <w:tcW w:w="10140" w:type="dxa"/>
            <w:vAlign w:val="bottom"/>
          </w:tcPr>
          <w:p>
            <w:pPr>
              <w:ind w:left="280"/>
              <w:spacing w:after="0"/>
              <w:rPr>
                <w:sz w:val="20"/>
                <w:szCs w:val="20"/>
                <w:color w:val="auto"/>
              </w:rPr>
            </w:pPr>
            <w:r>
              <w:rPr>
                <w:rFonts w:ascii="Arial" w:cs="Arial" w:eastAsia="Arial" w:hAnsi="Arial"/>
                <w:sz w:val="17"/>
                <w:szCs w:val="17"/>
                <w:color w:val="auto"/>
                <w:w w:val="93"/>
              </w:rPr>
              <w:t>Membership Interests Purchase Agreement, dated April 7, 2017, by and among Uniti Group Inc., Uniti Fiber Holdings Inc. and SLF Holdings,</w:t>
            </w:r>
          </w:p>
        </w:tc>
      </w:tr>
      <w:tr>
        <w:trPr>
          <w:trHeight w:val="207"/>
        </w:trPr>
        <w:tc>
          <w:tcPr>
            <w:tcW w:w="940" w:type="dxa"/>
            <w:vAlign w:val="bottom"/>
          </w:tcPr>
          <w:p>
            <w:pPr>
              <w:spacing w:after="0"/>
              <w:rPr>
                <w:sz w:val="17"/>
                <w:szCs w:val="17"/>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w w:val="93"/>
              </w:rPr>
              <w:t>LLC (incorporated by reference to Exhibit 2.1 to the Company’s Current Report on Form 8-K dated as of April 7, 2017 and filed with the SEC</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as of April 11, 2017 (File No. 001-36708))**</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3.1</w:t>
            </w:r>
          </w:p>
        </w:tc>
        <w:tc>
          <w:tcPr>
            <w:tcW w:w="10140" w:type="dxa"/>
            <w:vAlign w:val="bottom"/>
          </w:tcPr>
          <w:p>
            <w:pPr>
              <w:ind w:left="280"/>
              <w:spacing w:after="0"/>
              <w:rPr>
                <w:sz w:val="20"/>
                <w:szCs w:val="20"/>
                <w:color w:val="auto"/>
              </w:rPr>
            </w:pPr>
            <w:r>
              <w:rPr>
                <w:rFonts w:ascii="Arial" w:cs="Arial" w:eastAsia="Arial" w:hAnsi="Arial"/>
                <w:sz w:val="17"/>
                <w:szCs w:val="17"/>
                <w:color w:val="auto"/>
                <w:w w:val="92"/>
              </w:rPr>
              <w:t>Articles of Amendment and Restatement of Communications Sales &amp; Leasing, Inc. (incorporated by reference to Exhibit 3.1 to the Company’s</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Current Report on Form 8-K dated and filed with the SEC as of April 10, 2015 (File No. 001-36708))</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3.2</w:t>
            </w:r>
          </w:p>
        </w:tc>
        <w:tc>
          <w:tcPr>
            <w:tcW w:w="10140" w:type="dxa"/>
            <w:vAlign w:val="bottom"/>
          </w:tcPr>
          <w:p>
            <w:pPr>
              <w:ind w:left="280"/>
              <w:spacing w:after="0"/>
              <w:rPr>
                <w:sz w:val="20"/>
                <w:szCs w:val="20"/>
                <w:color w:val="auto"/>
              </w:rPr>
            </w:pPr>
            <w:r>
              <w:rPr>
                <w:rFonts w:ascii="Arial" w:cs="Arial" w:eastAsia="Arial" w:hAnsi="Arial"/>
                <w:sz w:val="17"/>
                <w:szCs w:val="17"/>
                <w:color w:val="auto"/>
                <w:w w:val="93"/>
              </w:rPr>
              <w:t>Articles of Amendment of Communications Sales &amp; Leasing, Inc. (incorporated by reference to Exhibit 3.1 to the Company’s Current Report</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on Form 8-K dated as of February 22, 2017 and filed with the SEC as of February 28, 2017 (File No. 001-36708))</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3.3</w:t>
            </w:r>
          </w:p>
        </w:tc>
        <w:tc>
          <w:tcPr>
            <w:tcW w:w="10140" w:type="dxa"/>
            <w:vAlign w:val="bottom"/>
          </w:tcPr>
          <w:p>
            <w:pPr>
              <w:ind w:left="280"/>
              <w:spacing w:after="0"/>
              <w:rPr>
                <w:sz w:val="20"/>
                <w:szCs w:val="20"/>
                <w:color w:val="auto"/>
              </w:rPr>
            </w:pPr>
            <w:r>
              <w:rPr>
                <w:rFonts w:ascii="Arial" w:cs="Arial" w:eastAsia="Arial" w:hAnsi="Arial"/>
                <w:sz w:val="17"/>
                <w:szCs w:val="17"/>
                <w:color w:val="auto"/>
                <w:w w:val="96"/>
              </w:rPr>
              <w:t>Amended and Restated Bylaws of Uniti Group Inc., as amended May 1, 2017 (incorporated by reference to Exhibit 3.1 to the Company’s</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Current Report on Form 8-K dated as of May 1, 2017 and filed with the SEC as of May 2, 2017 (File No. 001-36708))</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w:t>
            </w:r>
          </w:p>
        </w:tc>
        <w:tc>
          <w:tcPr>
            <w:tcW w:w="10140" w:type="dxa"/>
            <w:vAlign w:val="bottom"/>
          </w:tcPr>
          <w:p>
            <w:pPr>
              <w:ind w:left="280"/>
              <w:spacing w:after="0"/>
              <w:rPr>
                <w:sz w:val="20"/>
                <w:szCs w:val="20"/>
                <w:color w:val="auto"/>
              </w:rPr>
            </w:pPr>
            <w:r>
              <w:rPr>
                <w:rFonts w:ascii="Arial" w:cs="Arial" w:eastAsia="Arial" w:hAnsi="Arial"/>
                <w:sz w:val="17"/>
                <w:szCs w:val="17"/>
                <w:color w:val="auto"/>
              </w:rPr>
              <w:t>Communications Sales &amp; Leasing, Inc. 2016 Short Term Incentive Plan***</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10.2*</w:t>
            </w:r>
          </w:p>
        </w:tc>
        <w:tc>
          <w:tcPr>
            <w:tcW w:w="10140" w:type="dxa"/>
            <w:vAlign w:val="bottom"/>
          </w:tcPr>
          <w:p>
            <w:pPr>
              <w:ind w:left="280"/>
              <w:spacing w:after="0"/>
              <w:rPr>
                <w:sz w:val="20"/>
                <w:szCs w:val="20"/>
                <w:color w:val="auto"/>
              </w:rPr>
            </w:pPr>
            <w:r>
              <w:rPr>
                <w:rFonts w:ascii="Arial" w:cs="Arial" w:eastAsia="Arial" w:hAnsi="Arial"/>
                <w:sz w:val="17"/>
                <w:szCs w:val="17"/>
                <w:color w:val="auto"/>
              </w:rPr>
              <w:t>Communications Sales &amp; Leasing, Inc. 2017 Short Term Incentive Plan****</w:t>
            </w:r>
          </w:p>
        </w:tc>
      </w:tr>
      <w:tr>
        <w:trPr>
          <w:trHeight w:val="401"/>
        </w:trPr>
        <w:tc>
          <w:tcPr>
            <w:tcW w:w="940" w:type="dxa"/>
            <w:vAlign w:val="bottom"/>
          </w:tcPr>
          <w:p>
            <w:pPr>
              <w:spacing w:after="0"/>
              <w:rPr>
                <w:sz w:val="20"/>
                <w:szCs w:val="20"/>
                <w:color w:val="auto"/>
              </w:rPr>
            </w:pPr>
            <w:r>
              <w:rPr>
                <w:rFonts w:ascii="Arial" w:cs="Arial" w:eastAsia="Arial" w:hAnsi="Arial"/>
                <w:sz w:val="17"/>
                <w:szCs w:val="17"/>
                <w:color w:val="auto"/>
              </w:rPr>
              <w:t>10.3</w:t>
            </w:r>
          </w:p>
        </w:tc>
        <w:tc>
          <w:tcPr>
            <w:tcW w:w="10140" w:type="dxa"/>
            <w:vAlign w:val="bottom"/>
          </w:tcPr>
          <w:p>
            <w:pPr>
              <w:ind w:left="280"/>
              <w:spacing w:after="0"/>
              <w:rPr>
                <w:sz w:val="20"/>
                <w:szCs w:val="20"/>
                <w:color w:val="auto"/>
              </w:rPr>
            </w:pPr>
            <w:r>
              <w:rPr>
                <w:rFonts w:ascii="Arial" w:cs="Arial" w:eastAsia="Arial" w:hAnsi="Arial"/>
                <w:sz w:val="17"/>
                <w:szCs w:val="17"/>
                <w:color w:val="auto"/>
                <w:w w:val="95"/>
              </w:rPr>
              <w:t>Amendment No. 2 to the Credit Agreement, dated as of February 9, 2017 by and among Communications Sales &amp; Leasing, Inc. and CSL</w:t>
            </w:r>
          </w:p>
        </w:tc>
      </w:tr>
      <w:tr>
        <w:trPr>
          <w:trHeight w:val="207"/>
        </w:trPr>
        <w:tc>
          <w:tcPr>
            <w:tcW w:w="940" w:type="dxa"/>
            <w:vAlign w:val="bottom"/>
          </w:tcPr>
          <w:p>
            <w:pPr>
              <w:spacing w:after="0"/>
              <w:rPr>
                <w:sz w:val="17"/>
                <w:szCs w:val="17"/>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w w:val="94"/>
              </w:rPr>
              <w:t>Capital, LLC, as borrowers, the guarantors party thereto, the lenders party thereto, and Bank of America, N.A., as administrative agent and</w:t>
            </w:r>
          </w:p>
        </w:tc>
      </w:tr>
      <w:tr>
        <w:trPr>
          <w:trHeight w:val="207"/>
        </w:trPr>
        <w:tc>
          <w:tcPr>
            <w:tcW w:w="940" w:type="dxa"/>
            <w:vAlign w:val="bottom"/>
          </w:tcPr>
          <w:p>
            <w:pPr>
              <w:spacing w:after="0"/>
              <w:rPr>
                <w:sz w:val="17"/>
                <w:szCs w:val="17"/>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w w:val="94"/>
              </w:rPr>
              <w:t>collateral agent (incorporated by reference to Exhibit 10.1 to the Company’s Current Report on Form 8-K dated and filed with the SEC as of</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February 9, 2017 (File No. 001-36708))</w:t>
            </w:r>
          </w:p>
        </w:tc>
      </w:tr>
      <w:tr>
        <w:trPr>
          <w:trHeight w:val="401"/>
        </w:trPr>
        <w:tc>
          <w:tcPr>
            <w:tcW w:w="940" w:type="dxa"/>
            <w:vAlign w:val="bottom"/>
          </w:tcPr>
          <w:p>
            <w:pPr>
              <w:spacing w:after="0"/>
              <w:rPr>
                <w:sz w:val="20"/>
                <w:szCs w:val="20"/>
                <w:color w:val="auto"/>
              </w:rPr>
            </w:pPr>
            <w:r>
              <w:rPr>
                <w:rFonts w:ascii="Arial" w:cs="Arial" w:eastAsia="Arial" w:hAnsi="Arial"/>
                <w:sz w:val="17"/>
                <w:szCs w:val="17"/>
                <w:color w:val="auto"/>
              </w:rPr>
              <w:t>10.4</w:t>
            </w:r>
          </w:p>
        </w:tc>
        <w:tc>
          <w:tcPr>
            <w:tcW w:w="10140" w:type="dxa"/>
            <w:vAlign w:val="bottom"/>
          </w:tcPr>
          <w:p>
            <w:pPr>
              <w:ind w:left="280"/>
              <w:spacing w:after="0"/>
              <w:rPr>
                <w:sz w:val="20"/>
                <w:szCs w:val="20"/>
                <w:color w:val="auto"/>
              </w:rPr>
            </w:pPr>
            <w:r>
              <w:rPr>
                <w:rFonts w:ascii="Arial" w:cs="Arial" w:eastAsia="Arial" w:hAnsi="Arial"/>
                <w:sz w:val="17"/>
                <w:szCs w:val="17"/>
                <w:color w:val="auto"/>
                <w:w w:val="94"/>
              </w:rPr>
              <w:t>Amendment No. 3 to the Credit Agreement, dated as of April 28, 2017 by and among Uniti Group Inc. and CSL Capital, LLC, as borrowers,</w:t>
            </w:r>
          </w:p>
        </w:tc>
      </w:tr>
      <w:tr>
        <w:trPr>
          <w:trHeight w:val="207"/>
        </w:trPr>
        <w:tc>
          <w:tcPr>
            <w:tcW w:w="940" w:type="dxa"/>
            <w:vAlign w:val="bottom"/>
          </w:tcPr>
          <w:p>
            <w:pPr>
              <w:spacing w:after="0"/>
              <w:rPr>
                <w:sz w:val="17"/>
                <w:szCs w:val="17"/>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w w:val="93"/>
              </w:rPr>
              <w:t>the guarantors party thereto, the lenders party thereto, and Bank of America, N.A., as administrative agent and collateral agent (incorporated</w:t>
            </w:r>
          </w:p>
        </w:tc>
      </w:tr>
      <w:tr>
        <w:trPr>
          <w:trHeight w:val="207"/>
        </w:trPr>
        <w:tc>
          <w:tcPr>
            <w:tcW w:w="940" w:type="dxa"/>
            <w:vAlign w:val="bottom"/>
          </w:tcPr>
          <w:p>
            <w:pPr>
              <w:spacing w:after="0"/>
              <w:rPr>
                <w:sz w:val="17"/>
                <w:szCs w:val="17"/>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w w:val="92"/>
              </w:rPr>
              <w:t>by reference to Exhibit 10.1 to the Company’s Current Report on Form 8-K dated as of May 1, 2017 and filed with the SEC as of May 2, 2017</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(File No. 001-36708))</w:t>
            </w:r>
          </w:p>
        </w:tc>
      </w:tr>
      <w:tr>
        <w:trPr>
          <w:trHeight w:val="413"/>
        </w:trPr>
        <w:tc>
          <w:tcPr>
            <w:tcW w:w="940" w:type="dxa"/>
            <w:vAlign w:val="bottom"/>
          </w:tcPr>
          <w:p>
            <w:pPr>
              <w:spacing w:after="0"/>
              <w:rPr>
                <w:sz w:val="20"/>
                <w:szCs w:val="20"/>
                <w:color w:val="auto"/>
              </w:rPr>
            </w:pPr>
            <w:r>
              <w:rPr>
                <w:rFonts w:ascii="Arial" w:cs="Arial" w:eastAsia="Arial" w:hAnsi="Arial"/>
                <w:sz w:val="17"/>
                <w:szCs w:val="17"/>
                <w:color w:val="auto"/>
              </w:rPr>
              <w:t>21.1*</w:t>
            </w:r>
          </w:p>
        </w:tc>
        <w:tc>
          <w:tcPr>
            <w:tcW w:w="10140" w:type="dxa"/>
            <w:vAlign w:val="bottom"/>
          </w:tcPr>
          <w:p>
            <w:pPr>
              <w:ind w:left="280"/>
              <w:spacing w:after="0"/>
              <w:rPr>
                <w:sz w:val="20"/>
                <w:szCs w:val="20"/>
                <w:color w:val="auto"/>
              </w:rPr>
            </w:pPr>
            <w:r>
              <w:rPr>
                <w:rFonts w:ascii="Arial" w:cs="Arial" w:eastAsia="Arial" w:hAnsi="Arial"/>
                <w:sz w:val="17"/>
                <w:szCs w:val="17"/>
                <w:color w:val="auto"/>
              </w:rPr>
              <w:t>List of Subsidiaries of Uniti Group Inc.</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31.1*</w:t>
            </w:r>
          </w:p>
        </w:tc>
        <w:tc>
          <w:tcPr>
            <w:tcW w:w="10140" w:type="dxa"/>
            <w:vAlign w:val="bottom"/>
          </w:tcPr>
          <w:p>
            <w:pPr>
              <w:ind w:left="280"/>
              <w:spacing w:after="0"/>
              <w:rPr>
                <w:sz w:val="20"/>
                <w:szCs w:val="20"/>
                <w:color w:val="auto"/>
              </w:rPr>
            </w:pPr>
            <w:r>
              <w:rPr>
                <w:rFonts w:ascii="Arial" w:cs="Arial" w:eastAsia="Arial" w:hAnsi="Arial"/>
                <w:sz w:val="17"/>
                <w:szCs w:val="17"/>
                <w:color w:val="auto"/>
                <w:w w:val="92"/>
              </w:rPr>
              <w:t>Certification of Principal Executive Officer Pursuant to Rules 13a-14(a) and 15d-14(a) under the Securities Exchange Act of 1934, as Adopted</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31.2*</w:t>
            </w:r>
          </w:p>
        </w:tc>
        <w:tc>
          <w:tcPr>
            <w:tcW w:w="10140" w:type="dxa"/>
            <w:vAlign w:val="bottom"/>
          </w:tcPr>
          <w:p>
            <w:pPr>
              <w:ind w:left="280"/>
              <w:spacing w:after="0"/>
              <w:rPr>
                <w:sz w:val="20"/>
                <w:szCs w:val="20"/>
                <w:color w:val="auto"/>
              </w:rPr>
            </w:pPr>
            <w:r>
              <w:rPr>
                <w:rFonts w:ascii="Arial" w:cs="Arial" w:eastAsia="Arial" w:hAnsi="Arial"/>
                <w:sz w:val="17"/>
                <w:szCs w:val="17"/>
                <w:color w:val="auto"/>
                <w:w w:val="92"/>
              </w:rPr>
              <w:t>Certification of Principal Financial Officer Pursuant to Rules 13a-14(a) and 15d-14(a) under the Securities Exchange Act of 1934, as Adopted</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32.1*</w:t>
            </w:r>
          </w:p>
        </w:tc>
        <w:tc>
          <w:tcPr>
            <w:tcW w:w="10140" w:type="dxa"/>
            <w:vAlign w:val="bottom"/>
          </w:tcPr>
          <w:p>
            <w:pPr>
              <w:ind w:left="280"/>
              <w:spacing w:after="0"/>
              <w:rPr>
                <w:sz w:val="20"/>
                <w:szCs w:val="20"/>
                <w:color w:val="auto"/>
              </w:rPr>
            </w:pPr>
            <w:r>
              <w:rPr>
                <w:rFonts w:ascii="Arial" w:cs="Arial" w:eastAsia="Arial" w:hAnsi="Arial"/>
                <w:sz w:val="17"/>
                <w:szCs w:val="17"/>
                <w:color w:val="auto"/>
                <w:w w:val="94"/>
              </w:rPr>
              <w:t>Certification of Principal Executive Officer Pursuant to 18 U.S.C. Section 1350, as Adopted Pursuant to Section 906 of the Sarbanes-Oxley</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Act of 2002</w:t>
            </w:r>
          </w:p>
        </w:tc>
      </w:tr>
      <w:tr>
        <w:trPr>
          <w:trHeight w:val="310"/>
        </w:trPr>
        <w:tc>
          <w:tcPr>
            <w:tcW w:w="940" w:type="dxa"/>
            <w:vAlign w:val="bottom"/>
          </w:tcPr>
          <w:p>
            <w:pPr>
              <w:spacing w:after="0"/>
              <w:rPr>
                <w:sz w:val="20"/>
                <w:szCs w:val="20"/>
                <w:color w:val="auto"/>
              </w:rPr>
            </w:pPr>
            <w:r>
              <w:rPr>
                <w:rFonts w:ascii="Arial" w:cs="Arial" w:eastAsia="Arial" w:hAnsi="Arial"/>
                <w:sz w:val="17"/>
                <w:szCs w:val="17"/>
                <w:color w:val="auto"/>
              </w:rPr>
              <w:t>32.2*</w:t>
            </w:r>
          </w:p>
        </w:tc>
        <w:tc>
          <w:tcPr>
            <w:tcW w:w="10140" w:type="dxa"/>
            <w:vAlign w:val="bottom"/>
          </w:tcPr>
          <w:p>
            <w:pPr>
              <w:ind w:left="280"/>
              <w:spacing w:after="0"/>
              <w:rPr>
                <w:sz w:val="20"/>
                <w:szCs w:val="20"/>
                <w:color w:val="auto"/>
              </w:rPr>
            </w:pPr>
            <w:r>
              <w:rPr>
                <w:rFonts w:ascii="Arial" w:cs="Arial" w:eastAsia="Arial" w:hAnsi="Arial"/>
                <w:sz w:val="17"/>
                <w:szCs w:val="17"/>
                <w:color w:val="auto"/>
                <w:w w:val="92"/>
              </w:rPr>
              <w:t>Certification of Principal Financial Officer Pursuant to 18 U.S.C. Section 1350, as Adopted Pursuant to Section 906 of the Sarbanes-Oxley Act</w:t>
            </w:r>
          </w:p>
        </w:tc>
      </w:tr>
      <w:tr>
        <w:trPr>
          <w:trHeight w:val="219"/>
        </w:trPr>
        <w:tc>
          <w:tcPr>
            <w:tcW w:w="940" w:type="dxa"/>
            <w:vAlign w:val="bottom"/>
          </w:tcPr>
          <w:p>
            <w:pPr>
              <w:spacing w:after="0"/>
              <w:rPr>
                <w:sz w:val="19"/>
                <w:szCs w:val="19"/>
                <w:color w:val="auto"/>
              </w:rPr>
            </w:pPr>
          </w:p>
        </w:tc>
        <w:tc>
          <w:tcPr>
            <w:tcW w:w="10140" w:type="dxa"/>
            <w:vAlign w:val="bottom"/>
          </w:tcPr>
          <w:p>
            <w:pPr>
              <w:ind w:left="280"/>
              <w:spacing w:after="0"/>
              <w:rPr>
                <w:sz w:val="20"/>
                <w:szCs w:val="20"/>
                <w:color w:val="auto"/>
              </w:rPr>
            </w:pPr>
            <w:r>
              <w:rPr>
                <w:rFonts w:ascii="Arial" w:cs="Arial" w:eastAsia="Arial" w:hAnsi="Arial"/>
                <w:sz w:val="17"/>
                <w:szCs w:val="17"/>
                <w:color w:val="auto"/>
              </w:rPr>
              <w:t>of 2002</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101.INS</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Instance Document</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101.SCH</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Taxonomy Extension Schema Document</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101.CAL</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101.DEF</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Taxonomy Extension Definition Linkbase Document</w:t>
            </w:r>
          </w:p>
        </w:tc>
      </w:tr>
      <w:tr>
        <w:trPr>
          <w:trHeight w:val="323"/>
        </w:trPr>
        <w:tc>
          <w:tcPr>
            <w:tcW w:w="940" w:type="dxa"/>
            <w:vAlign w:val="bottom"/>
          </w:tcPr>
          <w:p>
            <w:pPr>
              <w:spacing w:after="0"/>
              <w:rPr>
                <w:sz w:val="20"/>
                <w:szCs w:val="20"/>
                <w:color w:val="auto"/>
              </w:rPr>
            </w:pPr>
            <w:r>
              <w:rPr>
                <w:rFonts w:ascii="Arial" w:cs="Arial" w:eastAsia="Arial" w:hAnsi="Arial"/>
                <w:sz w:val="17"/>
                <w:szCs w:val="17"/>
                <w:color w:val="auto"/>
              </w:rPr>
              <w:t>101.LAB</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Taxonomy Extension Label Linkbase Document</w:t>
            </w:r>
          </w:p>
        </w:tc>
      </w:tr>
      <w:tr>
        <w:trPr>
          <w:trHeight w:val="349"/>
        </w:trPr>
        <w:tc>
          <w:tcPr>
            <w:tcW w:w="940" w:type="dxa"/>
            <w:vAlign w:val="bottom"/>
          </w:tcPr>
          <w:p>
            <w:pPr>
              <w:spacing w:after="0"/>
              <w:rPr>
                <w:sz w:val="20"/>
                <w:szCs w:val="20"/>
                <w:color w:val="auto"/>
              </w:rPr>
            </w:pPr>
            <w:r>
              <w:rPr>
                <w:rFonts w:ascii="Arial" w:cs="Arial" w:eastAsia="Arial" w:hAnsi="Arial"/>
                <w:sz w:val="17"/>
                <w:szCs w:val="17"/>
                <w:color w:val="auto"/>
              </w:rPr>
              <w:t>101.PRE</w:t>
            </w:r>
          </w:p>
        </w:tc>
        <w:tc>
          <w:tcPr>
            <w:tcW w:w="10140" w:type="dxa"/>
            <w:vAlign w:val="bottom"/>
          </w:tcPr>
          <w:p>
            <w:pPr>
              <w:ind w:left="28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968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5" w:lineRule="exact"/>
        <w:rPr>
          <w:sz w:val="20"/>
          <w:szCs w:val="20"/>
          <w:color w:val="auto"/>
        </w:rPr>
      </w:pPr>
    </w:p>
    <w:p>
      <w:pPr>
        <w:ind w:left="520" w:hanging="517"/>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0" w:lineRule="exact"/>
        <w:rPr>
          <w:sz w:val="20"/>
          <w:szCs w:val="20"/>
          <w:color w:val="auto"/>
        </w:rPr>
      </w:pPr>
    </w:p>
    <w:p>
      <w:pPr>
        <w:ind w:left="520" w:hanging="517"/>
        <w:spacing w:after="0" w:line="283"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Schedules to the agreement have been omitted pursuant to Section 601(b)(2) of Regulation S-K. The Company agrees to furnish supplementally a copy of any omitted schedule upon the request of the Securities and Exchange Commission.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57" w:lineRule="exact"/>
        <w:rPr>
          <w:sz w:val="20"/>
          <w:szCs w:val="20"/>
          <w:color w:val="auto"/>
        </w:rPr>
      </w:pPr>
    </w:p>
    <w:p>
      <w:pPr>
        <w:ind w:left="520" w:hanging="517"/>
        <w:spacing w:after="0" w:line="29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exhibit was originally included as Exhibit 10.4 to the Quarterly Report on Form 10-Q filed on May 12, 2016 with confidential treatment granted on a portion of the exhibit. The confidential treatment order expired on April 30, 2017, and the full version of the exhibit is filed herewith.</w:t>
      </w:r>
    </w:p>
    <w:p>
      <w:pPr>
        <w:spacing w:after="0" w:line="1" w:lineRule="exact"/>
        <w:rPr>
          <w:rFonts w:ascii="Arial" w:cs="Arial" w:eastAsia="Arial" w:hAnsi="Arial"/>
          <w:sz w:val="16"/>
          <w:szCs w:val="16"/>
          <w:color w:val="auto"/>
        </w:rPr>
      </w:pPr>
    </w:p>
    <w:p>
      <w:pPr>
        <w:ind w:left="520" w:right="180" w:hanging="517"/>
        <w:spacing w:after="0" w:line="283"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portions of this exhibit have been omitted pursuant to a request for confidential treatment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140"/>
          </w:cols>
          <w:pgMar w:left="240" w:top="127" w:right="519" w:bottom="1440" w:gutter="0" w:footer="0" w:header="0"/>
        </w:sectPr>
      </w:pPr>
    </w:p>
    <w:bookmarkStart w:id="47" w:name="page48"/>
    <w:bookmarkEnd w:id="47"/>
    <w:p>
      <w:pPr>
        <w:jc w:val="right"/>
        <w:spacing w:after="0"/>
        <w:rPr>
          <w:sz w:val="20"/>
          <w:szCs w:val="20"/>
          <w:color w:val="auto"/>
        </w:rPr>
      </w:pPr>
      <w:r>
        <w:rPr>
          <w:rFonts w:ascii="Arial" w:cs="Arial" w:eastAsia="Arial" w:hAnsi="Arial"/>
          <w:sz w:val="19"/>
          <w:szCs w:val="19"/>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2016 SHORT TERM INCENTIVE PLAN</w:t>
      </w:r>
    </w:p>
    <w:p>
      <w:pPr>
        <w:spacing w:after="0" w:line="205" w:lineRule="exact"/>
        <w:rPr>
          <w:sz w:val="20"/>
          <w:szCs w:val="20"/>
          <w:color w:val="auto"/>
        </w:rPr>
      </w:pPr>
    </w:p>
    <w:p>
      <w:pPr>
        <w:ind w:right="440" w:firstLine="878"/>
        <w:spacing w:after="0" w:line="265" w:lineRule="auto"/>
        <w:rPr>
          <w:sz w:val="20"/>
          <w:szCs w:val="20"/>
          <w:color w:val="auto"/>
        </w:rPr>
      </w:pPr>
      <w:r>
        <w:rPr>
          <w:rFonts w:ascii="Arial" w:cs="Arial" w:eastAsia="Arial" w:hAnsi="Arial"/>
          <w:sz w:val="19"/>
          <w:szCs w:val="19"/>
          <w:color w:val="auto"/>
        </w:rPr>
        <w:t>As of February 29, 2016 (the “</w:t>
      </w:r>
      <w:r>
        <w:rPr>
          <w:rFonts w:ascii="Arial" w:cs="Arial" w:eastAsia="Arial" w:hAnsi="Arial"/>
          <w:sz w:val="19"/>
          <w:szCs w:val="19"/>
          <w:u w:val="single" w:color="auto"/>
          <w:color w:val="auto"/>
        </w:rPr>
        <w:t>Effective Date</w:t>
      </w:r>
      <w:r>
        <w:rPr>
          <w:rFonts w:ascii="Arial" w:cs="Arial" w:eastAsia="Arial" w:hAnsi="Arial"/>
          <w:sz w:val="19"/>
          <w:szCs w:val="19"/>
          <w:color w:val="auto"/>
        </w:rPr>
        <w:t>”), Communications Sales &amp; Leasing,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adopts this 2016 Short Term Plan (this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64" w:lineRule="exact"/>
        <w:rPr>
          <w:sz w:val="20"/>
          <w:szCs w:val="20"/>
          <w:color w:val="auto"/>
        </w:rPr>
      </w:pPr>
    </w:p>
    <w:p>
      <w:pPr>
        <w:ind w:right="120" w:firstLine="878"/>
        <w:spacing w:after="0" w:line="288" w:lineRule="auto"/>
        <w:rPr>
          <w:sz w:val="20"/>
          <w:szCs w:val="20"/>
          <w:color w:val="auto"/>
        </w:rPr>
      </w:pPr>
      <w:r>
        <w:rPr>
          <w:rFonts w:ascii="Arial" w:cs="Arial" w:eastAsia="Arial" w:hAnsi="Arial"/>
          <w:sz w:val="17"/>
          <w:szCs w:val="17"/>
          <w:color w:val="auto"/>
        </w:rPr>
        <w:t>WHEREAS, the Board of Directors of the Corporation deems it in the best interest of the Corporation that the Corporation reward certain executives of the Corporation with a short-term incentive program (annual cash bonuses) in order to motivate the Corporation’s executive officers to achieve performance goals that reinforce the Corporation’s annual business plan, to assist the Corporation in attracting and retaining qualified executives and to promote the alignment of the executive officers’ interests with those of the Corporation’s stockholders; and</w:t>
      </w:r>
    </w:p>
    <w:p>
      <w:pPr>
        <w:spacing w:after="0" w:line="147" w:lineRule="exact"/>
        <w:rPr>
          <w:sz w:val="20"/>
          <w:szCs w:val="20"/>
          <w:color w:val="auto"/>
        </w:rPr>
      </w:pPr>
    </w:p>
    <w:p>
      <w:pPr>
        <w:ind w:right="940" w:firstLine="878"/>
        <w:spacing w:after="0" w:line="265" w:lineRule="auto"/>
        <w:rPr>
          <w:sz w:val="20"/>
          <w:szCs w:val="20"/>
          <w:color w:val="auto"/>
        </w:rPr>
      </w:pPr>
      <w:r>
        <w:rPr>
          <w:rFonts w:ascii="Arial" w:cs="Arial" w:eastAsia="Arial" w:hAnsi="Arial"/>
          <w:sz w:val="19"/>
          <w:szCs w:val="19"/>
          <w:color w:val="auto"/>
        </w:rPr>
        <w:t xml:space="preserve">WHEREAS, the Board of Directors approved on February 29, 2016 the terms of this Plan,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which is incorporated by reference in its entirety.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BE IT RESOLVED:</w:t>
      </w:r>
    </w:p>
    <w:p>
      <w:pPr>
        <w:spacing w:after="0" w:line="197" w:lineRule="exact"/>
        <w:rPr>
          <w:sz w:val="20"/>
          <w:szCs w:val="20"/>
          <w:color w:val="auto"/>
        </w:rPr>
      </w:pPr>
    </w:p>
    <w:p>
      <w:pPr>
        <w:ind w:right="60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ectPr>
          <w:pgSz w:w="11900" w:h="16838" w:orient="portrait"/>
          <w:cols w:equalWidth="0" w:num="1">
            <w:col w:w="11420"/>
          </w:cols>
          <w:pgMar w:left="240" w:top="118" w:right="239" w:bottom="1440" w:gutter="0" w:footer="0" w:header="0"/>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means any Short-Term Cash Bonus granted under this Plan.</w:t>
      </w:r>
    </w:p>
    <w:p>
      <w:pPr>
        <w:spacing w:after="0" w:line="200" w:lineRule="exact"/>
        <w:rPr>
          <w:sz w:val="20"/>
          <w:szCs w:val="20"/>
          <w:color w:val="auto"/>
        </w:rPr>
      </w:pPr>
    </w:p>
    <w:p>
      <w:pPr>
        <w:sectPr>
          <w:pgSz w:w="11900" w:h="16838" w:orient="portrait"/>
          <w:cols w:equalWidth="0" w:num="2">
            <w:col w:w="3060" w:space="720"/>
            <w:col w:w="7640"/>
          </w:cols>
          <w:pgMar w:left="240" w:top="118" w:right="239" w:bottom="1440" w:gutter="0" w:footer="0" w:header="0"/>
          <w:type w:val="continuous"/>
        </w:sectPr>
      </w:pPr>
    </w:p>
    <w:p>
      <w:pPr>
        <w:spacing w:after="0" w:line="2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the Corporation.</w:t>
      </w:r>
    </w:p>
    <w:p>
      <w:pPr>
        <w:spacing w:after="0" w:line="205" w:lineRule="exact"/>
        <w:rPr>
          <w:sz w:val="20"/>
          <w:szCs w:val="20"/>
          <w:color w:val="auto"/>
        </w:rPr>
      </w:pPr>
    </w:p>
    <w:p>
      <w:pPr>
        <w:sectPr>
          <w:pgSz w:w="11900" w:h="16838" w:orient="portrait"/>
          <w:cols w:equalWidth="0" w:num="2">
            <w:col w:w="3120" w:space="720"/>
            <w:col w:w="7580"/>
          </w:cols>
          <w:pgMar w:left="240" w:top="118" w:right="23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205" w:lineRule="exact"/>
        <w:rPr>
          <w:sz w:val="20"/>
          <w:szCs w:val="20"/>
          <w:color w:val="auto"/>
        </w:rPr>
      </w:pPr>
    </w:p>
    <w:p>
      <w:pPr>
        <w:sectPr>
          <w:pgSz w:w="11900" w:h="16838" w:orient="portrait"/>
          <w:cols w:equalWidth="0" w:num="2">
            <w:col w:w="3060" w:space="720"/>
            <w:col w:w="7640"/>
          </w:cols>
          <w:pgMar w:left="240" w:top="118" w:right="239" w:bottom="1440" w:gutter="0" w:footer="0" w:header="0"/>
          <w:type w:val="continuous"/>
        </w:sectPr>
      </w:pPr>
    </w:p>
    <w:p>
      <w:pPr>
        <w:spacing w:after="0" w:line="32"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(d)</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administer this Plan.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which has been appointed to</w:t>
      </w:r>
    </w:p>
    <w:p>
      <w:pPr>
        <w:spacing w:after="0" w:line="435" w:lineRule="exact"/>
        <w:rPr>
          <w:sz w:val="20"/>
          <w:szCs w:val="20"/>
          <w:color w:val="auto"/>
        </w:rPr>
      </w:pPr>
    </w:p>
    <w:p>
      <w:pPr>
        <w:sectPr>
          <w:pgSz w:w="11900" w:h="16838" w:orient="portrait"/>
          <w:cols w:equalWidth="0" w:num="2">
            <w:col w:w="3080" w:space="720"/>
            <w:col w:w="7620"/>
          </w:cols>
          <w:pgMar w:left="240" w:top="118" w:right="239" w:bottom="1440" w:gutter="0" w:footer="0" w:header="0"/>
          <w:type w:val="continuous"/>
        </w:sectPr>
      </w:pPr>
    </w:p>
    <w:p>
      <w:pPr>
        <w:spacing w:after="0" w:line="10"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(e)</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direct or indirect subsidiary thereof.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Corporation</w:t>
      </w:r>
      <w:r>
        <w:rPr>
          <w:rFonts w:ascii="Arial" w:cs="Arial" w:eastAsia="Arial" w:hAnsi="Arial"/>
          <w:sz w:val="17"/>
          <w:szCs w:val="17"/>
          <w:color w:val="auto"/>
        </w:rPr>
        <w:t>” means Communications Sales &amp; Leasing, Inc., a Maryland corporation, and any</w:t>
      </w:r>
    </w:p>
    <w:p>
      <w:pPr>
        <w:spacing w:after="0" w:line="435" w:lineRule="exact"/>
        <w:rPr>
          <w:sz w:val="20"/>
          <w:szCs w:val="20"/>
          <w:color w:val="auto"/>
        </w:rPr>
      </w:pPr>
    </w:p>
    <w:p>
      <w:pPr>
        <w:sectPr>
          <w:pgSz w:w="11900" w:h="16838" w:orient="portrait"/>
          <w:cols w:equalWidth="0" w:num="2">
            <w:col w:w="3600" w:space="180"/>
            <w:col w:w="7640"/>
          </w:cols>
          <w:pgMar w:left="240" w:top="118" w:right="239" w:bottom="1440" w:gutter="0" w:footer="0" w:header="0"/>
          <w:type w:val="continuous"/>
        </w:sectPr>
      </w:pPr>
    </w:p>
    <w:p>
      <w:pPr>
        <w:spacing w:after="0" w:line="10"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Section 3 of this Plan.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Executive</w:t>
      </w:r>
      <w:r>
        <w:rPr>
          <w:rFonts w:ascii="Arial" w:cs="Arial" w:eastAsia="Arial" w:hAnsi="Arial"/>
          <w:sz w:val="17"/>
          <w:szCs w:val="17"/>
          <w:color w:val="auto"/>
        </w:rPr>
        <w:t>” means an executive officer of the Corporation holding the positions set forth in</w:t>
      </w:r>
    </w:p>
    <w:p>
      <w:pPr>
        <w:spacing w:after="0" w:line="435" w:lineRule="exact"/>
        <w:rPr>
          <w:sz w:val="20"/>
          <w:szCs w:val="20"/>
          <w:color w:val="auto"/>
        </w:rPr>
      </w:pPr>
    </w:p>
    <w:p>
      <w:pPr>
        <w:sectPr>
          <w:pgSz w:w="11900" w:h="16838" w:orient="portrait"/>
          <w:cols w:equalWidth="0" w:num="2">
            <w:col w:w="3040" w:space="720"/>
            <w:col w:w="7660"/>
          </w:cols>
          <w:pgMar w:left="240" w:top="118" w:right="239" w:bottom="1440" w:gutter="0" w:footer="0" w:header="0"/>
          <w:type w:val="continuous"/>
        </w:sectPr>
      </w:pPr>
    </w:p>
    <w:p>
      <w:pPr>
        <w:spacing w:after="0" w:line="10" w:lineRule="exact"/>
        <w:rPr>
          <w:sz w:val="20"/>
          <w:szCs w:val="20"/>
          <w:color w:val="auto"/>
        </w:rPr>
      </w:pPr>
    </w:p>
    <w:p>
      <w:pPr>
        <w:ind w:left="880" w:right="400" w:firstLine="811"/>
        <w:spacing w:after="0" w:line="239" w:lineRule="exact"/>
        <w:rPr>
          <w:sz w:val="20"/>
          <w:szCs w:val="20"/>
          <w:color w:val="auto"/>
        </w:rPr>
      </w:pPr>
      <w:r>
        <w:rPr>
          <w:rFonts w:ascii="Arial" w:cs="Arial" w:eastAsia="Arial" w:hAnsi="Arial"/>
          <w:sz w:val="21"/>
          <w:szCs w:val="21"/>
          <w:color w:val="auto"/>
        </w:rPr>
        <w:t xml:space="preserve">(g) </w:t>
      </w: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individual who is an employee of the Corporation who is reported on the</w:t>
      </w:r>
      <w:r>
        <w:rPr>
          <w:rFonts w:ascii="Arial" w:cs="Arial" w:eastAsia="Arial" w:hAnsi="Arial"/>
          <w:sz w:val="21"/>
          <w:szCs w:val="21"/>
          <w:color w:val="auto"/>
        </w:rPr>
        <w:t xml:space="preserve"> </w:t>
      </w:r>
      <w:r>
        <w:rPr>
          <w:rFonts w:ascii="Arial" w:cs="Arial" w:eastAsia="Arial" w:hAnsi="Arial"/>
          <w:sz w:val="18"/>
          <w:szCs w:val="18"/>
          <w:color w:val="auto"/>
        </w:rPr>
        <w:t>payroll records as a common</w:t>
      </w:r>
      <w:r>
        <w:rPr>
          <w:rFonts w:ascii="MS PGothic" w:cs="MS PGothic" w:eastAsia="MS PGothic" w:hAnsi="MS PGothic"/>
          <w:sz w:val="18"/>
          <w:szCs w:val="18"/>
          <w:color w:val="auto"/>
        </w:rPr>
        <w:t>‑</w:t>
      </w:r>
      <w:r>
        <w:rPr>
          <w:rFonts w:ascii="Arial" w:cs="Arial" w:eastAsia="Arial" w:hAnsi="Arial"/>
          <w:sz w:val="18"/>
          <w:szCs w:val="18"/>
          <w:color w:val="auto"/>
        </w:rPr>
        <w:t>law employee.</w:t>
      </w:r>
    </w:p>
    <w:p>
      <w:pPr>
        <w:sectPr>
          <w:pgSz w:w="11900" w:h="16838" w:orient="portrait"/>
          <w:cols w:equalWidth="0" w:num="1">
            <w:col w:w="11420"/>
          </w:cols>
          <w:pgMar w:left="240" w:top="118" w:right="239" w:bottom="1440" w:gutter="0" w:footer="0" w:header="0"/>
          <w:type w:val="continuous"/>
        </w:sectPr>
      </w:pPr>
    </w:p>
    <w:p>
      <w:pPr>
        <w:spacing w:after="0" w:line="182"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2016 Short Term Plan of the Corporation.</w:t>
      </w:r>
    </w:p>
    <w:p>
      <w:pPr>
        <w:spacing w:after="0" w:line="205" w:lineRule="exact"/>
        <w:rPr>
          <w:sz w:val="20"/>
          <w:szCs w:val="20"/>
          <w:color w:val="auto"/>
        </w:rPr>
      </w:pPr>
    </w:p>
    <w:p>
      <w:pPr>
        <w:sectPr>
          <w:pgSz w:w="11900" w:h="16838" w:orient="portrait"/>
          <w:cols w:equalWidth="0" w:num="2">
            <w:col w:w="3120" w:space="720"/>
            <w:col w:w="7580"/>
          </w:cols>
          <w:pgMar w:left="240" w:top="118" w:right="239" w:bottom="1440" w:gutter="0" w:footer="0" w:header="0"/>
          <w:type w:val="continuous"/>
        </w:sectPr>
      </w:pPr>
    </w:p>
    <w:p>
      <w:pPr>
        <w:spacing w:after="0" w:line="2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pursuant to Section 4 of this Plan.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Executive</w:t>
      </w:r>
    </w:p>
    <w:p>
      <w:pPr>
        <w:spacing w:after="0" w:line="435" w:lineRule="exact"/>
        <w:rPr>
          <w:sz w:val="20"/>
          <w:szCs w:val="20"/>
          <w:color w:val="auto"/>
        </w:rPr>
      </w:pPr>
    </w:p>
    <w:p>
      <w:pPr>
        <w:sectPr>
          <w:pgSz w:w="11900" w:h="16838" w:orient="portrait"/>
          <w:cols w:equalWidth="0" w:num="2">
            <w:col w:w="3440" w:space="300"/>
            <w:col w:w="7680"/>
          </w:cols>
          <w:pgMar w:left="240" w:top="118" w:right="239" w:bottom="1440" w:gutter="0" w:footer="0" w:header="0"/>
          <w:type w:val="continuous"/>
        </w:sectPr>
      </w:pPr>
    </w:p>
    <w:p>
      <w:pPr>
        <w:spacing w:after="0" w:line="10" w:lineRule="exact"/>
        <w:rPr>
          <w:sz w:val="20"/>
          <w:szCs w:val="20"/>
          <w:color w:val="auto"/>
        </w:rPr>
      </w:pPr>
    </w:p>
    <w:p>
      <w:pPr>
        <w:ind w:left="1700"/>
        <w:spacing w:after="0"/>
        <w:tabs>
          <w:tab w:leader="none" w:pos="372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 corporation at least 50% of the total combined voting power of all classes of</w:t>
      </w:r>
    </w:p>
    <w:p>
      <w:pPr>
        <w:sectPr>
          <w:pgSz w:w="11900" w:h="16838" w:orient="portrait"/>
          <w:cols w:equalWidth="0" w:num="1">
            <w:col w:w="11420"/>
          </w:cols>
          <w:pgMar w:left="240" w:top="118" w:right="2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which is owned by the Corporation, either directly or through one or more other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127635</wp:posOffset>
            </wp:positionV>
            <wp:extent cx="729424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8" w:name="page49"/>
    <w:bookmarkEnd w:id="48"/>
    <w:p>
      <w:pPr>
        <w:ind w:left="880"/>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17"/>
          <w:szCs w:val="17"/>
          <w:b w:val="1"/>
          <w:bCs w:val="1"/>
          <w:color w:val="auto"/>
        </w:rPr>
        <w:t>Administration</w:t>
      </w:r>
      <w:r>
        <w:rPr>
          <w:rFonts w:ascii="Arial" w:cs="Arial" w:eastAsia="Arial" w:hAnsi="Arial"/>
          <w:sz w:val="17"/>
          <w:szCs w:val="17"/>
          <w:color w:val="auto"/>
        </w:rPr>
        <w:t>. This Plan will be administered by the Committee. In addition to any other powers granted to the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Committee, the Committee will have the following powers:</w:t>
      </w:r>
    </w:p>
    <w:p>
      <w:pPr>
        <w:sectPr>
          <w:pgSz w:w="11900" w:h="16838" w:orient="portrait"/>
          <w:cols w:equalWidth="0" w:num="1">
            <w:col w:w="11400"/>
          </w:cols>
          <w:pgMar w:left="240" w:top="114" w:right="259" w:bottom="1440" w:gutter="0" w:footer="0" w:header="0"/>
        </w:sectPr>
      </w:pPr>
    </w:p>
    <w:p>
      <w:pPr>
        <w:spacing w:after="0" w:line="187"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(a)</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Plan to Eligible Executives;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w:t>
      </w:r>
    </w:p>
    <w:p>
      <w:pPr>
        <w:spacing w:after="0" w:line="435" w:lineRule="exact"/>
        <w:rPr>
          <w:sz w:val="20"/>
          <w:szCs w:val="20"/>
          <w:color w:val="auto"/>
        </w:rPr>
      </w:pPr>
    </w:p>
    <w:p>
      <w:pPr>
        <w:sectPr>
          <w:pgSz w:w="11900" w:h="16838" w:orient="portrait"/>
          <w:cols w:equalWidth="0" w:num="2">
            <w:col w:w="3060" w:space="720"/>
            <w:col w:w="7620"/>
          </w:cols>
          <w:pgMar w:left="240" w:top="114" w:right="259" w:bottom="1440" w:gutter="0" w:footer="0" w:header="0"/>
          <w:type w:val="continuous"/>
        </w:sectPr>
      </w:pPr>
    </w:p>
    <w:p>
      <w:pPr>
        <w:spacing w:after="0" w:line="10" w:lineRule="exact"/>
        <w:rPr>
          <w:sz w:val="20"/>
          <w:szCs w:val="20"/>
          <w:color w:val="auto"/>
        </w:rPr>
      </w:pPr>
    </w:p>
    <w:p>
      <w:pPr>
        <w:ind w:left="880" w:right="280" w:firstLine="811"/>
        <w:spacing w:after="0" w:line="239" w:lineRule="exact"/>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to determine whether the performance metrics required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w:t>
      </w:r>
      <w:r>
        <w:rPr>
          <w:rFonts w:ascii="Arial" w:cs="Arial" w:eastAsia="Arial" w:hAnsi="Arial"/>
          <w:sz w:val="21"/>
          <w:szCs w:val="21"/>
          <w:color w:val="auto"/>
        </w:rPr>
        <w:t xml:space="preserve"> </w:t>
      </w:r>
      <w:r>
        <w:rPr>
          <w:rFonts w:ascii="Arial" w:cs="Arial" w:eastAsia="Arial" w:hAnsi="Arial"/>
          <w:sz w:val="18"/>
          <w:szCs w:val="18"/>
          <w:color w:val="auto"/>
        </w:rPr>
        <w:t>have been satisfied and to what extent they have been satisfied;</w:t>
      </w:r>
    </w:p>
    <w:p>
      <w:pPr>
        <w:sectPr>
          <w:pgSz w:w="11900" w:h="16838" w:orient="portrait"/>
          <w:cols w:equalWidth="0" w:num="1">
            <w:col w:w="11400"/>
          </w:cols>
          <w:pgMar w:left="240" w:top="114" w:right="25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construe and interpret this Plan;</w:t>
      </w:r>
    </w:p>
    <w:p>
      <w:pPr>
        <w:spacing w:after="0" w:line="200" w:lineRule="exact"/>
        <w:rPr>
          <w:sz w:val="20"/>
          <w:szCs w:val="20"/>
          <w:color w:val="auto"/>
        </w:rPr>
      </w:pPr>
    </w:p>
    <w:p>
      <w:pPr>
        <w:sectPr>
          <w:pgSz w:w="11900" w:h="16838" w:orient="portrait"/>
          <w:cols w:equalWidth="0" w:num="2">
            <w:col w:w="3060" w:space="720"/>
            <w:col w:w="7620"/>
          </w:cols>
          <w:pgMar w:left="240" w:top="114" w:right="259" w:bottom="1440" w:gutter="0" w:footer="0" w:header="0"/>
          <w:type w:val="continuous"/>
        </w:sectPr>
      </w:pPr>
    </w:p>
    <w:p>
      <w:pPr>
        <w:spacing w:after="0" w:line="26" w:lineRule="exact"/>
        <w:rPr>
          <w:sz w:val="20"/>
          <w:szCs w:val="20"/>
          <w:color w:val="auto"/>
        </w:rPr>
      </w:pPr>
    </w:p>
    <w:p>
      <w:pPr>
        <w:ind w:left="1700"/>
        <w:spacing w:after="0" w:line="219" w:lineRule="exact"/>
        <w:tabs>
          <w:tab w:leader="none" w:pos="37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to require, at the time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Bonuses are to be paid, the making of any</w:t>
      </w:r>
    </w:p>
    <w:p>
      <w:pPr>
        <w:sectPr>
          <w:pgSz w:w="11900" w:h="16838" w:orient="portrait"/>
          <w:cols w:equalWidth="0" w:num="1">
            <w:col w:w="11400"/>
          </w:cols>
          <w:pgMar w:left="240" w:top="114" w:right="259" w:bottom="1440" w:gutter="0" w:footer="0" w:header="0"/>
          <w:type w:val="continuous"/>
        </w:sectPr>
      </w:pPr>
    </w:p>
    <w:p>
      <w:pPr>
        <w:spacing w:after="0" w:line="46" w:lineRule="exact"/>
        <w:rPr>
          <w:sz w:val="20"/>
          <w:szCs w:val="20"/>
          <w:color w:val="auto"/>
        </w:rPr>
      </w:pPr>
    </w:p>
    <w:p>
      <w:pPr>
        <w:ind w:left="880" w:right="560"/>
        <w:spacing w:after="0" w:line="237" w:lineRule="auto"/>
        <w:rPr>
          <w:sz w:val="20"/>
          <w:szCs w:val="20"/>
          <w:color w:val="auto"/>
        </w:rPr>
      </w:pPr>
      <w:r>
        <w:rPr>
          <w:rFonts w:ascii="Arial" w:cs="Arial" w:eastAsia="Arial" w:hAnsi="Arial"/>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400"/>
          </w:cols>
          <w:pgMar w:left="240" w:top="114" w:right="259" w:bottom="1440" w:gutter="0" w:footer="0" w:header="0"/>
          <w:type w:val="continuous"/>
        </w:sectPr>
      </w:pPr>
    </w:p>
    <w:p>
      <w:pPr>
        <w:spacing w:after="0" w:line="18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provide for satisfaction of an Eligible Executive’s tax liabilities arising in connection with this</w:t>
      </w:r>
    </w:p>
    <w:p>
      <w:pPr>
        <w:spacing w:after="0" w:line="51" w:lineRule="exact"/>
        <w:rPr>
          <w:sz w:val="20"/>
          <w:szCs w:val="20"/>
          <w:color w:val="auto"/>
        </w:rPr>
      </w:pPr>
    </w:p>
    <w:p>
      <w:pPr>
        <w:sectPr>
          <w:pgSz w:w="11900" w:h="16838" w:orient="portrait"/>
          <w:cols w:equalWidth="0" w:num="2">
            <w:col w:w="3060" w:space="720"/>
            <w:col w:w="7620"/>
          </w:cols>
          <w:pgMar w:left="240" w:top="114" w:right="25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Plan; and</w:t>
      </w:r>
    </w:p>
    <w:p>
      <w:pPr>
        <w:sectPr>
          <w:pgSz w:w="11900" w:h="16838" w:orient="portrait"/>
          <w:cols w:equalWidth="0" w:num="1">
            <w:col w:w="11400"/>
          </w:cols>
          <w:pgMar w:left="240" w:top="114" w:right="259" w:bottom="1440" w:gutter="0" w:footer="0" w:header="0"/>
          <w:type w:val="continuous"/>
        </w:sectPr>
      </w:pPr>
    </w:p>
    <w:p>
      <w:pPr>
        <w:spacing w:after="0" w:line="199"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administration of this Plan.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to make all other determinations and take all other actions necessary or advisable for the</w:t>
      </w:r>
    </w:p>
    <w:p>
      <w:pPr>
        <w:spacing w:after="0" w:line="435" w:lineRule="exact"/>
        <w:rPr>
          <w:sz w:val="20"/>
          <w:szCs w:val="20"/>
          <w:color w:val="auto"/>
        </w:rPr>
      </w:pPr>
    </w:p>
    <w:p>
      <w:pPr>
        <w:sectPr>
          <w:pgSz w:w="11900" w:h="16838" w:orient="portrait"/>
          <w:cols w:equalWidth="0" w:num="2">
            <w:col w:w="3040" w:space="720"/>
            <w:col w:w="7640"/>
          </w:cols>
          <w:pgMar w:left="240" w:top="114" w:right="259" w:bottom="1440" w:gutter="0" w:footer="0" w:header="0"/>
          <w:type w:val="continuous"/>
        </w:sectPr>
      </w:pPr>
    </w:p>
    <w:p>
      <w:pPr>
        <w:spacing w:after="0" w:line="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197" w:lineRule="exact"/>
        <w:rPr>
          <w:sz w:val="20"/>
          <w:szCs w:val="20"/>
          <w:color w:val="auto"/>
        </w:rPr>
      </w:pPr>
    </w:p>
    <w:p>
      <w:pPr>
        <w:ind w:right="200" w:firstLine="878"/>
        <w:spacing w:after="0" w:line="242" w:lineRule="exact"/>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18"/>
          <w:szCs w:val="18"/>
          <w:b w:val="1"/>
          <w:bCs w:val="1"/>
          <w:color w:val="auto"/>
        </w:rPr>
        <w:t>Eligibility</w:t>
      </w:r>
      <w:r>
        <w:rPr>
          <w:rFonts w:ascii="Arial" w:cs="Arial" w:eastAsia="Arial" w:hAnsi="Arial"/>
          <w:sz w:val="18"/>
          <w:szCs w:val="18"/>
          <w:color w:val="auto"/>
        </w:rPr>
        <w:t>. The individuals holding the following executive officer positions of the Corporation on the Effective Date shall</w:t>
      </w:r>
      <w:r>
        <w:rPr>
          <w:rFonts w:ascii="Arial" w:cs="Arial" w:eastAsia="Arial" w:hAnsi="Arial"/>
          <w:sz w:val="21"/>
          <w:szCs w:val="21"/>
          <w:b w:val="1"/>
          <w:bCs w:val="1"/>
          <w:color w:val="auto"/>
        </w:rPr>
        <w:t xml:space="preserve"> </w:t>
      </w:r>
      <w:r>
        <w:rPr>
          <w:rFonts w:ascii="Arial" w:cs="Arial" w:eastAsia="Arial" w:hAnsi="Arial"/>
          <w:sz w:val="18"/>
          <w:szCs w:val="18"/>
          <w:color w:val="auto"/>
        </w:rPr>
        <w:t>be eligible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under this Plan:</w:t>
      </w:r>
    </w:p>
    <w:p>
      <w:pPr>
        <w:sectPr>
          <w:pgSz w:w="11900" w:h="16838" w:orient="portrait"/>
          <w:cols w:equalWidth="0" w:num="1">
            <w:col w:w="11400"/>
          </w:cols>
          <w:pgMar w:left="240" w:top="114" w:right="25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3060" w:space="720"/>
            <w:col w:w="7620"/>
          </w:cols>
          <w:pgMar w:left="240" w:top="114" w:right="25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 and</w:t>
      </w:r>
    </w:p>
    <w:p>
      <w:pPr>
        <w:spacing w:after="0" w:line="205" w:lineRule="exact"/>
        <w:rPr>
          <w:sz w:val="20"/>
          <w:szCs w:val="20"/>
          <w:color w:val="auto"/>
        </w:rPr>
      </w:pPr>
    </w:p>
    <w:p>
      <w:pPr>
        <w:sectPr>
          <w:pgSz w:w="11900" w:h="16838" w:orient="portrait"/>
          <w:cols w:equalWidth="0" w:num="2">
            <w:col w:w="3080" w:space="720"/>
            <w:col w:w="7600"/>
          </w:cols>
          <w:pgMar w:left="240" w:top="114" w:right="25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General Counsel.</w:t>
      </w:r>
    </w:p>
    <w:p>
      <w:pPr>
        <w:spacing w:after="0" w:line="205" w:lineRule="exact"/>
        <w:rPr>
          <w:sz w:val="20"/>
          <w:szCs w:val="20"/>
          <w:color w:val="auto"/>
        </w:rPr>
      </w:pPr>
    </w:p>
    <w:p>
      <w:pPr>
        <w:sectPr>
          <w:pgSz w:w="11900" w:h="16838" w:orient="portrait"/>
          <w:cols w:equalWidth="0" w:num="2">
            <w:col w:w="3060" w:space="720"/>
            <w:col w:w="7620"/>
          </w:cols>
          <w:pgMar w:left="240" w:top="114" w:right="259" w:bottom="1440" w:gutter="0" w:footer="0" w:header="0"/>
          <w:type w:val="continuous"/>
        </w:sectPr>
      </w:pPr>
    </w:p>
    <w:p>
      <w:pPr>
        <w:spacing w:after="0" w:line="26" w:lineRule="exact"/>
        <w:rPr>
          <w:sz w:val="20"/>
          <w:szCs w:val="20"/>
          <w:color w:val="auto"/>
        </w:rPr>
      </w:pPr>
    </w:p>
    <w:p>
      <w:pPr>
        <w:ind w:right="260" w:firstLine="878"/>
        <w:spacing w:after="0" w:line="234" w:lineRule="exact"/>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18"/>
          <w:szCs w:val="18"/>
          <w:b w:val="1"/>
          <w:bCs w:val="1"/>
          <w:color w:val="auto"/>
        </w:rPr>
        <w:t>Short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Bonuses</w:t>
      </w:r>
      <w:r>
        <w:rPr>
          <w:rFonts w:ascii="Arial" w:cs="Arial" w:eastAsia="Arial" w:hAnsi="Arial"/>
          <w:sz w:val="18"/>
          <w:szCs w:val="18"/>
          <w:color w:val="auto"/>
        </w:rPr>
        <w:t>.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shall be awarded to the Eligible Executives as set forth in</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this Section 4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Plan. Short-Term Incentive Bonuses shall be payable in cash upon the attainment of the criteria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the Committee shall determine, in its sole discretion.</w:t>
      </w:r>
    </w:p>
    <w:p>
      <w:pPr>
        <w:spacing w:after="0" w:line="177" w:lineRule="exact"/>
        <w:rPr>
          <w:sz w:val="20"/>
          <w:szCs w:val="20"/>
          <w:color w:val="auto"/>
        </w:rPr>
      </w:pPr>
    </w:p>
    <w:p>
      <w:pPr>
        <w:ind w:firstLine="878"/>
        <w:spacing w:after="0" w:line="226" w:lineRule="exact"/>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The Board may amend or terminate this Plan in any respect at any time. Board approval must</w:t>
      </w:r>
      <w:r>
        <w:rPr>
          <w:rFonts w:ascii="Arial" w:cs="Arial" w:eastAsia="Arial" w:hAnsi="Arial"/>
          <w:sz w:val="20"/>
          <w:szCs w:val="20"/>
          <w:b w:val="1"/>
          <w:bCs w:val="1"/>
          <w:color w:val="auto"/>
        </w:rPr>
        <w:t xml:space="preserve"> </w:t>
      </w:r>
      <w:r>
        <w:rPr>
          <w:rFonts w:ascii="Arial" w:cs="Arial" w:eastAsia="Arial" w:hAnsi="Arial"/>
          <w:sz w:val="17"/>
          <w:szCs w:val="17"/>
          <w:color w:val="auto"/>
        </w:rPr>
        <w:t>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Executive approval if the amendment or termination would adversely affect the holder’s rights under any outstanding grants or Awards. The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 provisions may be wholly or partially amended or otherwise modified, suspended or terminated at any time or from time to time by the Committee or the Board. To the extent required by Section 162(m) of the Code with respect to bonus Awards that the Committee determines should qualify as performance</w:t>
      </w:r>
      <w:r>
        <w:rPr>
          <w:rFonts w:ascii="MS PGothic" w:cs="MS PGothic" w:eastAsia="MS PGothic" w:hAnsi="MS PGothic"/>
          <w:sz w:val="17"/>
          <w:szCs w:val="17"/>
          <w:color w:val="auto"/>
        </w:rPr>
        <w:t>‑</w:t>
      </w:r>
      <w:r>
        <w:rPr>
          <w:rFonts w:ascii="Arial" w:cs="Arial" w:eastAsia="Arial" w:hAnsi="Arial"/>
          <w:sz w:val="17"/>
          <w:szCs w:val="17"/>
          <w:color w:val="auto"/>
        </w:rPr>
        <w:t>based compensation as described in Section 162(m)(4)(C), no action may</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49" w:name="page50"/>
    <w:bookmarkEnd w:id="49"/>
    <w:p>
      <w:pPr>
        <w:ind w:right="340"/>
        <w:spacing w:after="0" w:line="264" w:lineRule="auto"/>
        <w:rPr>
          <w:sz w:val="20"/>
          <w:szCs w:val="20"/>
          <w:color w:val="auto"/>
        </w:rPr>
      </w:pPr>
      <w:r>
        <w:rPr>
          <w:rFonts w:ascii="Arial" w:cs="Arial" w:eastAsia="Arial" w:hAnsi="Arial"/>
          <w:sz w:val="19"/>
          <w:szCs w:val="19"/>
          <w:color w:val="auto"/>
        </w:rPr>
        <w:t>modify the performance criteria or bonus potentials after the commencement of the measurement period with respect to which such bonus Awards relate.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17"/>
          <w:szCs w:val="17"/>
          <w:b w:val="1"/>
          <w:bCs w:val="1"/>
          <w:color w:val="auto"/>
        </w:rPr>
        <w:t>Effectiveness of this Plan</w:t>
      </w:r>
      <w:r>
        <w:rPr>
          <w:rFonts w:ascii="Arial" w:cs="Arial" w:eastAsia="Arial" w:hAnsi="Arial"/>
          <w:sz w:val="17"/>
          <w:szCs w:val="17"/>
          <w:color w:val="auto"/>
        </w:rPr>
        <w:t>. This Plan is effective as of the Effective Date which is the date of adoption of this Plan by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Board.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18"/>
          <w:szCs w:val="18"/>
          <w:b w:val="1"/>
          <w:bCs w:val="1"/>
          <w:color w:val="auto"/>
        </w:rPr>
        <w:t>Term of this Plan</w:t>
      </w:r>
      <w:r>
        <w:rPr>
          <w:rFonts w:ascii="Arial" w:cs="Arial" w:eastAsia="Arial" w:hAnsi="Arial"/>
          <w:sz w:val="18"/>
          <w:szCs w:val="18"/>
          <w:color w:val="auto"/>
        </w:rPr>
        <w:t>. This Plan will terminate on the date all benefits anticipated by this Plan have been paid.</w:t>
      </w:r>
    </w:p>
    <w:p>
      <w:pPr>
        <w:spacing w:after="0" w:line="198" w:lineRule="exact"/>
        <w:rPr>
          <w:sz w:val="20"/>
          <w:szCs w:val="20"/>
          <w:color w:val="auto"/>
        </w:rPr>
      </w:pPr>
    </w:p>
    <w:p>
      <w:pPr>
        <w:ind w:right="40" w:firstLine="878"/>
        <w:spacing w:after="0" w:line="251"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18"/>
          <w:szCs w:val="18"/>
          <w:b w:val="1"/>
          <w:bCs w:val="1"/>
          <w:color w:val="auto"/>
        </w:rPr>
        <w:t>Indemnification of Committee</w:t>
      </w:r>
      <w:r>
        <w:rPr>
          <w:rFonts w:ascii="Arial" w:cs="Arial" w:eastAsia="Arial" w:hAnsi="Arial"/>
          <w:sz w:val="18"/>
          <w:szCs w:val="18"/>
          <w:color w:val="auto"/>
        </w:rPr>
        <w:t>. In addition to such other rights of indemnification as they may have as directors of the</w:t>
      </w:r>
      <w:r>
        <w:rPr>
          <w:rFonts w:ascii="Arial" w:cs="Arial" w:eastAsia="Arial" w:hAnsi="Arial"/>
          <w:sz w:val="21"/>
          <w:szCs w:val="21"/>
          <w:b w:val="1"/>
          <w:bCs w:val="1"/>
          <w:color w:val="auto"/>
        </w:rPr>
        <w:t xml:space="preserve"> </w:t>
      </w:r>
      <w:r>
        <w:rPr>
          <w:rFonts w:ascii="Arial" w:cs="Arial" w:eastAsia="Arial" w:hAnsi="Arial"/>
          <w:sz w:val="18"/>
          <w:szCs w:val="18"/>
          <w:color w:val="auto"/>
        </w:rPr>
        <w:t>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ectPr>
          <w:pgSz w:w="11900" w:h="16838" w:orient="portrait"/>
          <w:cols w:equalWidth="0" w:num="1">
            <w:col w:w="11420"/>
          </w:cols>
          <w:pgMar w:left="240" w:top="124" w:right="239" w:bottom="1440" w:gutter="0" w:footer="0" w:header="0"/>
        </w:sectPr>
      </w:pP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Section 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Provisions</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1740" w:space="100"/>
            <w:col w:w="9580"/>
          </w:cols>
          <w:pgMar w:left="240" w:top="124" w:right="239" w:bottom="1440" w:gutter="0" w:footer="0" w:header="0"/>
          <w:type w:val="continuous"/>
        </w:sectPr>
      </w:pPr>
    </w:p>
    <w:p>
      <w:pPr>
        <w:spacing w:after="0" w:line="38" w:lineRule="exact"/>
        <w:rPr>
          <w:sz w:val="20"/>
          <w:szCs w:val="20"/>
          <w:color w:val="auto"/>
        </w:rPr>
      </w:pPr>
    </w:p>
    <w:p>
      <w:pPr>
        <w:ind w:left="1700"/>
        <w:spacing w:after="0"/>
        <w:tabs>
          <w:tab w:leader="none" w:pos="37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The establishment of this Plan will not confer upon any Eligible Executive or Employee, any legal</w:t>
      </w:r>
    </w:p>
    <w:p>
      <w:pPr>
        <w:sectPr>
          <w:pgSz w:w="11900" w:h="16838" w:orient="portrait"/>
          <w:cols w:equalWidth="0" w:num="1">
            <w:col w:w="11420"/>
          </w:cols>
          <w:pgMar w:left="240" w:top="124" w:right="239" w:bottom="1440" w:gutter="0" w:footer="0" w:header="0"/>
          <w:type w:val="continuous"/>
        </w:sectPr>
      </w:pPr>
    </w:p>
    <w:p>
      <w:pPr>
        <w:spacing w:after="0" w:line="46" w:lineRule="exact"/>
        <w:rPr>
          <w:sz w:val="20"/>
          <w:szCs w:val="20"/>
          <w:color w:val="auto"/>
        </w:rPr>
      </w:pPr>
    </w:p>
    <w:p>
      <w:pPr>
        <w:ind w:left="880" w:right="440"/>
        <w:spacing w:after="0" w:line="237" w:lineRule="auto"/>
        <w:rPr>
          <w:sz w:val="20"/>
          <w:szCs w:val="20"/>
          <w:color w:val="auto"/>
        </w:rPr>
      </w:pPr>
      <w:r>
        <w:rPr>
          <w:rFonts w:ascii="Arial" w:cs="Arial" w:eastAsia="Arial" w:hAnsi="Arial"/>
          <w:sz w:val="19"/>
          <w:szCs w:val="19"/>
          <w:color w:val="auto"/>
        </w:rPr>
        <w:t>or equitable right against the Corporation, any Subsidiary or the Committee, except as expressly provided in this Plan or employment agreement of the Eligible Executive, if any.</w:t>
      </w:r>
    </w:p>
    <w:p>
      <w:pPr>
        <w:spacing w:after="0" w:line="183" w:lineRule="exact"/>
        <w:rPr>
          <w:sz w:val="20"/>
          <w:szCs w:val="20"/>
          <w:color w:val="auto"/>
        </w:rPr>
      </w:pPr>
    </w:p>
    <w:p>
      <w:pPr>
        <w:jc w:val="both"/>
        <w:ind w:left="880" w:firstLine="811"/>
        <w:spacing w:after="0" w:line="262" w:lineRule="auto"/>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This Plan does not constitute inducement or consideration for the employment of any Employee, nor</w:t>
      </w:r>
      <w:r>
        <w:rPr>
          <w:rFonts w:ascii="Arial" w:cs="Arial" w:eastAsia="Arial" w:hAnsi="Arial"/>
          <w:sz w:val="21"/>
          <w:szCs w:val="21"/>
          <w:color w:val="auto"/>
        </w:rPr>
        <w:t xml:space="preserve"> </w:t>
      </w:r>
      <w:r>
        <w:rPr>
          <w:rFonts w:ascii="Arial" w:cs="Arial" w:eastAsia="Arial" w:hAnsi="Arial"/>
          <w:sz w:val="18"/>
          <w:szCs w:val="18"/>
          <w:color w:val="auto"/>
        </w:rPr>
        <w:t>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63" w:lineRule="exact"/>
        <w:rPr>
          <w:sz w:val="20"/>
          <w:szCs w:val="20"/>
          <w:color w:val="auto"/>
        </w:rPr>
      </w:pPr>
    </w:p>
    <w:p>
      <w:pPr>
        <w:ind w:left="880" w:right="20" w:firstLine="811"/>
        <w:spacing w:after="0" w:line="274" w:lineRule="auto"/>
        <w:rPr>
          <w:sz w:val="20"/>
          <w:szCs w:val="20"/>
          <w:color w:val="auto"/>
        </w:rPr>
      </w:pPr>
      <w:r>
        <w:rPr>
          <w:rFonts w:ascii="Arial" w:cs="Arial" w:eastAsia="Arial" w:hAnsi="Arial"/>
          <w:sz w:val="21"/>
          <w:szCs w:val="21"/>
          <w:color w:val="auto"/>
        </w:rPr>
        <w:t xml:space="preserve">(c) </w:t>
      </w:r>
      <w:r>
        <w:rPr>
          <w:rFonts w:ascii="Arial" w:cs="Arial" w:eastAsia="Arial" w:hAnsi="Arial"/>
          <w:sz w:val="18"/>
          <w:szCs w:val="18"/>
          <w:color w:val="auto"/>
        </w:rPr>
        <w:t>The interests of any Employee under this Plan are not subject to the claims of creditors and may not,</w:t>
      </w:r>
      <w:r>
        <w:rPr>
          <w:rFonts w:ascii="Arial" w:cs="Arial" w:eastAsia="Arial" w:hAnsi="Arial"/>
          <w:sz w:val="21"/>
          <w:szCs w:val="21"/>
          <w:color w:val="auto"/>
        </w:rPr>
        <w:t xml:space="preserve"> </w:t>
      </w:r>
      <w:r>
        <w:rPr>
          <w:rFonts w:ascii="Arial" w:cs="Arial" w:eastAsia="Arial" w:hAnsi="Arial"/>
          <w:sz w:val="18"/>
          <w:szCs w:val="18"/>
          <w:color w:val="auto"/>
        </w:rPr>
        <w:t>in any way, be assigned, alienated or encumbered except as otherwise provided herein.</w:t>
      </w:r>
    </w:p>
    <w:p>
      <w:pPr>
        <w:spacing w:after="0" w:line="141" w:lineRule="exact"/>
        <w:rPr>
          <w:sz w:val="20"/>
          <w:szCs w:val="20"/>
          <w:color w:val="auto"/>
        </w:rPr>
      </w:pPr>
    </w:p>
    <w:p>
      <w:pPr>
        <w:ind w:left="1700"/>
        <w:spacing w:after="0"/>
        <w:tabs>
          <w:tab w:leader="none" w:pos="378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19"/>
          <w:szCs w:val="19"/>
          <w:color w:val="auto"/>
        </w:rPr>
        <w:t>The Corporation may withhold any federal, state or local taxes required with respect to any</w:t>
      </w:r>
    </w:p>
    <w:p>
      <w:pPr>
        <w:spacing w:after="0" w:line="17" w:lineRule="exact"/>
        <w:rPr>
          <w:sz w:val="20"/>
          <w:szCs w:val="20"/>
          <w:color w:val="auto"/>
        </w:rPr>
      </w:pPr>
    </w:p>
    <w:p>
      <w:pPr>
        <w:ind w:left="880" w:right="100"/>
        <w:spacing w:after="0" w:line="244" w:lineRule="auto"/>
        <w:rPr>
          <w:sz w:val="20"/>
          <w:szCs w:val="20"/>
          <w:color w:val="auto"/>
        </w:rPr>
      </w:pPr>
      <w:r>
        <w:rPr>
          <w:rFonts w:ascii="Arial" w:cs="Arial" w:eastAsia="Arial" w:hAnsi="Arial"/>
          <w:sz w:val="19"/>
          <w:szCs w:val="19"/>
          <w:color w:val="auto"/>
        </w:rPr>
        <w:t>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79" w:lineRule="exact"/>
        <w:rPr>
          <w:sz w:val="20"/>
          <w:szCs w:val="20"/>
          <w:color w:val="auto"/>
        </w:rPr>
      </w:pPr>
    </w:p>
    <w:p>
      <w:pPr>
        <w:ind w:left="880" w:right="500" w:firstLine="811"/>
        <w:spacing w:after="0" w:line="262" w:lineRule="auto"/>
        <w:rPr>
          <w:sz w:val="20"/>
          <w:szCs w:val="20"/>
          <w:color w:val="auto"/>
        </w:rPr>
      </w:pPr>
      <w:r>
        <w:rPr>
          <w:rFonts w:ascii="Arial" w:cs="Arial" w:eastAsia="Arial" w:hAnsi="Arial"/>
          <w:sz w:val="21"/>
          <w:szCs w:val="21"/>
          <w:color w:val="auto"/>
        </w:rPr>
        <w:t xml:space="preserve">(e) </w:t>
      </w:r>
      <w:r>
        <w:rPr>
          <w:rFonts w:ascii="Arial" w:cs="Arial" w:eastAsia="Arial" w:hAnsi="Arial"/>
          <w:sz w:val="18"/>
          <w:szCs w:val="18"/>
          <w:color w:val="auto"/>
        </w:rPr>
        <w:t>Notwithstanding anything contained herein to the contrary, this Plan shall be administered and</w:t>
      </w:r>
      <w:r>
        <w:rPr>
          <w:rFonts w:ascii="Arial" w:cs="Arial" w:eastAsia="Arial" w:hAnsi="Arial"/>
          <w:sz w:val="21"/>
          <w:szCs w:val="21"/>
          <w:color w:val="auto"/>
        </w:rPr>
        <w:t xml:space="preserve"> </w:t>
      </w:r>
      <w:r>
        <w:rPr>
          <w:rFonts w:ascii="Arial" w:cs="Arial" w:eastAsia="Arial" w:hAnsi="Arial"/>
          <w:sz w:val="18"/>
          <w:szCs w:val="18"/>
          <w:color w:val="auto"/>
        </w:rPr>
        <w:t>operated in accordance with any applicable laws and regulations, including, but not limited to, Section 409A of the Code. The Corporation reserves the right to amend this Plan at any time in order for this Plan to comply with any such laws and regulations.</w:t>
      </w:r>
    </w:p>
    <w:p>
      <w:pPr>
        <w:spacing w:after="0" w:line="163" w:lineRule="exact"/>
        <w:rPr>
          <w:sz w:val="20"/>
          <w:szCs w:val="20"/>
          <w:color w:val="auto"/>
        </w:rPr>
      </w:pPr>
    </w:p>
    <w:p>
      <w:pPr>
        <w:ind w:left="1700"/>
        <w:spacing w:after="0"/>
        <w:tabs>
          <w:tab w:leader="none" w:pos="374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7"/>
          <w:szCs w:val="17"/>
          <w:color w:val="auto"/>
        </w:rPr>
        <w:t>This Plan will be governed, construed and administered in accordance with the laws of Delaware.</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50" w:name="page51"/>
    <w:bookmarkEnd w:id="50"/>
    <w:p>
      <w:pPr>
        <w:ind w:left="880" w:firstLine="811"/>
        <w:spacing w:after="0" w:line="272" w:lineRule="auto"/>
        <w:rPr>
          <w:sz w:val="20"/>
          <w:szCs w:val="20"/>
          <w:color w:val="auto"/>
        </w:rPr>
      </w:pPr>
      <w:r>
        <w:rPr>
          <w:rFonts w:ascii="Arial" w:cs="Arial" w:eastAsia="Arial" w:hAnsi="Arial"/>
          <w:sz w:val="21"/>
          <w:szCs w:val="21"/>
          <w:color w:val="auto"/>
        </w:rPr>
        <w:t xml:space="preserve">(g) </w:t>
      </w:r>
      <w:r>
        <w:rPr>
          <w:rFonts w:ascii="Arial" w:cs="Arial" w:eastAsia="Arial" w:hAnsi="Arial"/>
          <w:sz w:val="18"/>
          <w:szCs w:val="18"/>
          <w:color w:val="auto"/>
        </w:rPr>
        <w:t>If any provision of this Plan is held invalid or unenforceable, its invalidity or unenforceability shall</w:t>
      </w:r>
      <w:r>
        <w:rPr>
          <w:rFonts w:ascii="Arial" w:cs="Arial" w:eastAsia="Arial" w:hAnsi="Arial"/>
          <w:sz w:val="21"/>
          <w:szCs w:val="21"/>
          <w:color w:val="auto"/>
        </w:rPr>
        <w:t xml:space="preserve"> </w:t>
      </w:r>
      <w:r>
        <w:rPr>
          <w:rFonts w:ascii="Arial" w:cs="Arial" w:eastAsia="Arial" w:hAnsi="Arial"/>
          <w:sz w:val="18"/>
          <w:szCs w:val="18"/>
          <w:color w:val="auto"/>
        </w:rPr>
        <w:t>not affect any other provisions of this Plan, and this Plan shall be construed and enforced as if such provision had not been included.</w:t>
      </w:r>
    </w:p>
    <w:p>
      <w:pPr>
        <w:spacing w:after="0" w:line="154" w:lineRule="exact"/>
        <w:rPr>
          <w:sz w:val="20"/>
          <w:szCs w:val="20"/>
          <w:color w:val="auto"/>
        </w:rPr>
      </w:pPr>
    </w:p>
    <w:p>
      <w:pPr>
        <w:ind w:right="18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Board.</w:t>
      </w: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COMMUNICATIONS SALES &amp; LEASING, INC.</w:t>
      </w:r>
    </w:p>
    <w:p>
      <w:pPr>
        <w:spacing w:after="0" w:line="200" w:lineRule="exact"/>
        <w:rPr>
          <w:sz w:val="20"/>
          <w:szCs w:val="20"/>
          <w:color w:val="auto"/>
        </w:rPr>
      </w:pPr>
    </w:p>
    <w:p>
      <w:pPr>
        <w:spacing w:after="0" w:line="220"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79"/>
              </w:rPr>
              <w:t>/s/</w:t>
            </w:r>
          </w:p>
        </w:tc>
      </w:tr>
      <w:tr>
        <w:trPr>
          <w:trHeight w:val="200"/>
        </w:trPr>
        <w:tc>
          <w:tcPr>
            <w:tcW w:w="5400" w:type="dxa"/>
            <w:vAlign w:val="bottom"/>
            <w:gridSpan w:val="4"/>
          </w:tcPr>
          <w:p>
            <w:pPr>
              <w:spacing w:after="0" w:line="200" w:lineRule="exact"/>
              <w:rPr>
                <w:sz w:val="20"/>
                <w:szCs w:val="20"/>
                <w:color w:val="auto"/>
              </w:rPr>
            </w:pPr>
            <w:r>
              <w:rPr>
                <w:rFonts w:ascii="Arial" w:cs="Arial" w:eastAsia="Arial" w:hAnsi="Arial"/>
                <w:sz w:val="19"/>
                <w:szCs w:val="19"/>
                <w:color w:val="auto"/>
              </w:rPr>
              <w:t>Kenneth A. Gunderman</w:t>
            </w:r>
          </w:p>
        </w:tc>
      </w:tr>
      <w:tr>
        <w:trPr>
          <w:trHeight w:val="20"/>
        </w:trPr>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9"/>
                <w:szCs w:val="19"/>
                <w:color w:val="auto"/>
              </w:rPr>
              <w:t>Name:</w:t>
            </w:r>
          </w:p>
        </w:tc>
        <w:tc>
          <w:tcPr>
            <w:tcW w:w="4540" w:type="dxa"/>
            <w:vAlign w:val="bottom"/>
            <w:gridSpan w:val="3"/>
          </w:tcPr>
          <w:p>
            <w:pPr>
              <w:ind w:left="360"/>
              <w:spacing w:after="0"/>
              <w:rPr>
                <w:sz w:val="20"/>
                <w:szCs w:val="20"/>
                <w:color w:val="auto"/>
              </w:rPr>
            </w:pPr>
            <w:r>
              <w:rPr>
                <w:rFonts w:ascii="Arial" w:cs="Arial" w:eastAsia="Arial" w:hAnsi="Arial"/>
                <w:sz w:val="19"/>
                <w:szCs w:val="19"/>
                <w:color w:val="auto"/>
              </w:rPr>
              <w:t>Kenneth A. Gunderman</w:t>
            </w:r>
          </w:p>
        </w:tc>
      </w:tr>
      <w:tr>
        <w:trPr>
          <w:trHeight w:val="241"/>
        </w:trPr>
        <w:tc>
          <w:tcPr>
            <w:tcW w:w="860" w:type="dxa"/>
            <w:vAlign w:val="bottom"/>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3"/>
          </w:tcPr>
          <w:p>
            <w:pPr>
              <w:ind w:left="460"/>
              <w:spacing w:after="0"/>
              <w:rPr>
                <w:sz w:val="20"/>
                <w:szCs w:val="20"/>
                <w:color w:val="auto"/>
              </w:rPr>
            </w:pPr>
            <w:r>
              <w:rPr>
                <w:rFonts w:ascii="Arial" w:cs="Arial" w:eastAsia="Arial" w:hAnsi="Arial"/>
                <w:sz w:val="19"/>
                <w:szCs w:val="19"/>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00"/>
          </w:cols>
          <w:pgMar w:left="240" w:top="120"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4400" w:type="dxa"/>
            <w:vAlign w:val="bottom"/>
            <w:gridSpan w:val="4"/>
          </w:tcPr>
          <w:p>
            <w:pPr>
              <w:jc w:val="center"/>
              <w:ind w:right="940"/>
              <w:spacing w:after="0"/>
              <w:rPr>
                <w:sz w:val="20"/>
                <w:szCs w:val="20"/>
                <w:color w:val="auto"/>
              </w:rPr>
            </w:pPr>
            <w:r>
              <w:rPr>
                <w:rFonts w:ascii="Arial" w:cs="Arial" w:eastAsia="Arial" w:hAnsi="Arial"/>
                <w:sz w:val="19"/>
                <w:szCs w:val="19"/>
                <w:b w:val="1"/>
                <w:bCs w:val="1"/>
                <w:color w:val="auto"/>
                <w:w w:val="91"/>
              </w:rPr>
              <w:t>2016 Short Term Incentive Plan</w:t>
            </w:r>
          </w:p>
        </w:tc>
        <w:tc>
          <w:tcPr>
            <w:tcW w:w="2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20" w:type="dxa"/>
            <w:vAlign w:val="bottom"/>
            <w:gridSpan w:val="2"/>
          </w:tcPr>
          <w:p>
            <w:pPr>
              <w:spacing w:after="0"/>
              <w:rPr>
                <w:sz w:val="20"/>
                <w:szCs w:val="20"/>
                <w:color w:val="auto"/>
              </w:rPr>
            </w:pPr>
            <w:r>
              <w:rPr>
                <w:rFonts w:ascii="Arial" w:cs="Arial" w:eastAsia="Arial" w:hAnsi="Arial"/>
                <w:sz w:val="19"/>
                <w:szCs w:val="19"/>
                <w:color w:val="auto"/>
              </w:rPr>
              <w:t>A.</w:t>
            </w:r>
          </w:p>
        </w:tc>
        <w:tc>
          <w:tcPr>
            <w:tcW w:w="3160" w:type="dxa"/>
            <w:vAlign w:val="bottom"/>
            <w:gridSpan w:val="2"/>
          </w:tcPr>
          <w:p>
            <w:pPr>
              <w:ind w:left="40"/>
              <w:spacing w:after="0"/>
              <w:rPr>
                <w:sz w:val="20"/>
                <w:szCs w:val="20"/>
                <w:color w:val="auto"/>
              </w:rPr>
            </w:pPr>
            <w:r>
              <w:rPr>
                <w:rFonts w:ascii="Arial" w:cs="Arial" w:eastAsia="Arial" w:hAnsi="Arial"/>
                <w:sz w:val="19"/>
                <w:szCs w:val="19"/>
                <w:color w:val="auto"/>
              </w:rPr>
              <w:t>Vesting based on the following:</w:t>
            </w:r>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7040" w:type="dxa"/>
            <w:vAlign w:val="bottom"/>
            <w:tcBorders>
              <w:bottom w:val="single" w:sz="8" w:color="auto"/>
            </w:tcBorders>
            <w:gridSpan w:val="5"/>
          </w:tcPr>
          <w:p>
            <w:pPr>
              <w:ind w:left="300"/>
              <w:spacing w:after="0"/>
              <w:rPr>
                <w:sz w:val="20"/>
                <w:szCs w:val="20"/>
                <w:color w:val="auto"/>
              </w:rPr>
            </w:pPr>
            <w:r>
              <w:rPr>
                <w:rFonts w:ascii="Arial" w:cs="Arial" w:eastAsia="Arial" w:hAnsi="Arial"/>
                <w:sz w:val="19"/>
                <w:szCs w:val="19"/>
                <w:color w:val="auto"/>
              </w:rPr>
              <w:t>Stand Alone REIT Normalized AFFO</w:t>
            </w:r>
            <w:r>
              <w:rPr>
                <w:rFonts w:ascii="Arial" w:cs="Arial" w:eastAsia="Arial" w:hAnsi="Arial"/>
                <w:sz w:val="16"/>
                <w:szCs w:val="16"/>
                <w:color w:val="auto"/>
              </w:rPr>
              <w:t>(1)</w:t>
            </w:r>
            <w:r>
              <w:rPr>
                <w:rFonts w:ascii="Arial" w:cs="Arial" w:eastAsia="Arial" w:hAnsi="Arial"/>
                <w:sz w:val="19"/>
                <w:szCs w:val="19"/>
                <w:color w:val="auto"/>
              </w:rPr>
              <w:t xml:space="preserve"> for 2016 (50% weight):</w:t>
            </w:r>
          </w:p>
        </w:tc>
        <w:tc>
          <w:tcPr>
            <w:tcW w:w="26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52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ind w:left="460"/>
              <w:spacing w:after="0" w:line="213" w:lineRule="exact"/>
              <w:rPr>
                <w:sz w:val="20"/>
                <w:szCs w:val="20"/>
                <w:color w:val="auto"/>
              </w:rPr>
            </w:pPr>
            <w:r>
              <w:rPr>
                <w:rFonts w:ascii="Arial" w:cs="Arial" w:eastAsia="Arial" w:hAnsi="Arial"/>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40" w:type="dxa"/>
            <w:vAlign w:val="bottom"/>
            <w:tcBorders>
              <w:bottom w:val="single" w:sz="8" w:color="auto"/>
              <w:right w:val="single" w:sz="8" w:color="auto"/>
            </w:tcBorders>
            <w:shd w:val="clear" w:color="auto" w:fill="BFBFBF"/>
          </w:tcPr>
          <w:p>
            <w:pPr>
              <w:jc w:val="center"/>
              <w:ind w:right="545"/>
              <w:spacing w:after="0" w:line="213" w:lineRule="exact"/>
              <w:rPr>
                <w:sz w:val="20"/>
                <w:szCs w:val="20"/>
                <w:color w:val="auto"/>
              </w:rPr>
            </w:pPr>
            <w:r>
              <w:rPr>
                <w:rFonts w:ascii="Arial" w:cs="Arial" w:eastAsia="Arial" w:hAnsi="Arial"/>
                <w:sz w:val="19"/>
                <w:szCs w:val="19"/>
                <w:b w:val="1"/>
                <w:bCs w:val="1"/>
                <w:color w:val="auto"/>
                <w:w w:val="92"/>
              </w:rPr>
              <w:t>Target</w:t>
            </w:r>
          </w:p>
        </w:tc>
        <w:tc>
          <w:tcPr>
            <w:tcW w:w="480" w:type="dxa"/>
            <w:vAlign w:val="bottom"/>
            <w:tcBorders>
              <w:bottom w:val="single" w:sz="8" w:color="auto"/>
              <w:right w:val="single" w:sz="8" w:color="BFBFBF"/>
            </w:tcBorders>
            <w:shd w:val="clear" w:color="auto" w:fill="BFBFBF"/>
          </w:tcPr>
          <w:p>
            <w:pPr>
              <w:spacing w:after="0"/>
              <w:rPr>
                <w:sz w:val="18"/>
                <w:szCs w:val="18"/>
                <w:color w:val="auto"/>
              </w:rPr>
            </w:pPr>
          </w:p>
        </w:tc>
        <w:tc>
          <w:tcPr>
            <w:tcW w:w="400" w:type="dxa"/>
            <w:vAlign w:val="bottom"/>
            <w:tcBorders>
              <w:bottom w:val="single" w:sz="8" w:color="auto"/>
            </w:tcBorders>
            <w:shd w:val="clear" w:color="auto" w:fill="BFBFBF"/>
          </w:tcPr>
          <w:p>
            <w:pPr>
              <w:spacing w:after="0"/>
              <w:rPr>
                <w:sz w:val="18"/>
                <w:szCs w:val="18"/>
                <w:color w:val="auto"/>
              </w:rPr>
            </w:pPr>
          </w:p>
        </w:tc>
        <w:tc>
          <w:tcPr>
            <w:tcW w:w="2620" w:type="dxa"/>
            <w:vAlign w:val="bottom"/>
            <w:tcBorders>
              <w:bottom w:val="single" w:sz="8" w:color="auto"/>
              <w:right w:val="single" w:sz="8" w:color="auto"/>
            </w:tcBorders>
            <w:shd w:val="clear" w:color="auto" w:fill="BFBFBF"/>
          </w:tcPr>
          <w:p>
            <w:pPr>
              <w:jc w:val="center"/>
              <w:ind w:right="825"/>
              <w:spacing w:after="0" w:line="213" w:lineRule="exact"/>
              <w:rPr>
                <w:sz w:val="20"/>
                <w:szCs w:val="20"/>
                <w:color w:val="auto"/>
              </w:rPr>
            </w:pPr>
            <w:r>
              <w:rPr>
                <w:rFonts w:ascii="Arial" w:cs="Arial" w:eastAsia="Arial" w:hAnsi="Arial"/>
                <w:sz w:val="19"/>
                <w:szCs w:val="19"/>
                <w:b w:val="1"/>
                <w:bCs w:val="1"/>
                <w:color w:val="auto"/>
                <w:w w:val="89"/>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ind w:left="380"/>
              <w:spacing w:after="0" w:line="213" w:lineRule="exact"/>
              <w:rPr>
                <w:sz w:val="20"/>
                <w:szCs w:val="20"/>
                <w:color w:val="auto"/>
              </w:rPr>
            </w:pPr>
            <w:r>
              <w:rPr>
                <w:rFonts w:ascii="Arial" w:cs="Arial" w:eastAsia="Arial" w:hAnsi="Arial"/>
                <w:sz w:val="19"/>
                <w:szCs w:val="19"/>
                <w:color w:val="auto"/>
              </w:rPr>
              <w:t>$382 million</w:t>
            </w: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jc w:val="center"/>
              <w:ind w:right="545"/>
              <w:spacing w:after="0" w:line="213" w:lineRule="exact"/>
              <w:rPr>
                <w:sz w:val="20"/>
                <w:szCs w:val="20"/>
                <w:color w:val="auto"/>
              </w:rPr>
            </w:pPr>
            <w:r>
              <w:rPr>
                <w:rFonts w:ascii="Arial" w:cs="Arial" w:eastAsia="Arial" w:hAnsi="Arial"/>
                <w:sz w:val="19"/>
                <w:szCs w:val="19"/>
                <w:color w:val="auto"/>
                <w:w w:val="96"/>
              </w:rPr>
              <w:t>$385 million</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ind w:right="825"/>
              <w:spacing w:after="0" w:line="213" w:lineRule="exact"/>
              <w:rPr>
                <w:sz w:val="20"/>
                <w:szCs w:val="20"/>
                <w:color w:val="auto"/>
              </w:rPr>
            </w:pPr>
            <w:r>
              <w:rPr>
                <w:rFonts w:ascii="Arial" w:cs="Arial" w:eastAsia="Arial" w:hAnsi="Arial"/>
                <w:sz w:val="19"/>
                <w:szCs w:val="19"/>
                <w:color w:val="auto"/>
                <w:w w:val="96"/>
              </w:rPr>
              <w:t>$388 million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040" w:type="dxa"/>
            <w:vAlign w:val="bottom"/>
            <w:tcBorders>
              <w:bottom w:val="single" w:sz="8" w:color="auto"/>
            </w:tcBorders>
            <w:gridSpan w:val="5"/>
          </w:tcPr>
          <w:p>
            <w:pPr>
              <w:ind w:left="400"/>
              <w:spacing w:after="0"/>
              <w:rPr>
                <w:sz w:val="20"/>
                <w:szCs w:val="20"/>
                <w:color w:val="auto"/>
              </w:rPr>
            </w:pPr>
            <w:r>
              <w:rPr>
                <w:rFonts w:ascii="Arial" w:cs="Arial" w:eastAsia="Arial" w:hAnsi="Arial"/>
                <w:sz w:val="19"/>
                <w:szCs w:val="19"/>
                <w:color w:val="auto"/>
                <w:w w:val="95"/>
              </w:rPr>
              <w:t>Maintain Consolidated Financial Leverage</w:t>
            </w:r>
            <w:r>
              <w:rPr>
                <w:rFonts w:ascii="Arial" w:cs="Arial" w:eastAsia="Arial" w:hAnsi="Arial"/>
                <w:sz w:val="16"/>
                <w:szCs w:val="16"/>
                <w:color w:val="auto"/>
                <w:w w:val="95"/>
              </w:rPr>
              <w:t>(2)</w:t>
            </w:r>
            <w:r>
              <w:rPr>
                <w:rFonts w:ascii="Arial" w:cs="Arial" w:eastAsia="Arial" w:hAnsi="Arial"/>
                <w:sz w:val="19"/>
                <w:szCs w:val="19"/>
                <w:color w:val="auto"/>
                <w:w w:val="95"/>
              </w:rPr>
              <w:t xml:space="preserve"> average at 6.0x or less (25% weight):</w:t>
            </w:r>
          </w:p>
        </w:tc>
        <w:tc>
          <w:tcPr>
            <w:tcW w:w="26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52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ind w:left="460"/>
              <w:spacing w:after="0" w:line="213" w:lineRule="exact"/>
              <w:rPr>
                <w:sz w:val="20"/>
                <w:szCs w:val="20"/>
                <w:color w:val="auto"/>
              </w:rPr>
            </w:pPr>
            <w:r>
              <w:rPr>
                <w:rFonts w:ascii="Arial" w:cs="Arial" w:eastAsia="Arial" w:hAnsi="Arial"/>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40" w:type="dxa"/>
            <w:vAlign w:val="bottom"/>
            <w:tcBorders>
              <w:bottom w:val="single" w:sz="8" w:color="auto"/>
              <w:right w:val="single" w:sz="8" w:color="auto"/>
            </w:tcBorders>
            <w:shd w:val="clear" w:color="auto" w:fill="BFBFBF"/>
          </w:tcPr>
          <w:p>
            <w:pPr>
              <w:jc w:val="center"/>
              <w:ind w:right="545"/>
              <w:spacing w:after="0" w:line="213" w:lineRule="exact"/>
              <w:rPr>
                <w:sz w:val="20"/>
                <w:szCs w:val="20"/>
                <w:color w:val="auto"/>
              </w:rPr>
            </w:pPr>
            <w:r>
              <w:rPr>
                <w:rFonts w:ascii="Arial" w:cs="Arial" w:eastAsia="Arial" w:hAnsi="Arial"/>
                <w:sz w:val="19"/>
                <w:szCs w:val="19"/>
                <w:b w:val="1"/>
                <w:bCs w:val="1"/>
                <w:color w:val="auto"/>
                <w:w w:val="92"/>
              </w:rPr>
              <w:t>Target</w:t>
            </w:r>
          </w:p>
        </w:tc>
        <w:tc>
          <w:tcPr>
            <w:tcW w:w="480" w:type="dxa"/>
            <w:vAlign w:val="bottom"/>
            <w:tcBorders>
              <w:bottom w:val="single" w:sz="8" w:color="auto"/>
              <w:right w:val="single" w:sz="8" w:color="BFBFBF"/>
            </w:tcBorders>
            <w:shd w:val="clear" w:color="auto" w:fill="BFBFBF"/>
          </w:tcPr>
          <w:p>
            <w:pPr>
              <w:spacing w:after="0"/>
              <w:rPr>
                <w:sz w:val="18"/>
                <w:szCs w:val="18"/>
                <w:color w:val="auto"/>
              </w:rPr>
            </w:pPr>
          </w:p>
        </w:tc>
        <w:tc>
          <w:tcPr>
            <w:tcW w:w="400" w:type="dxa"/>
            <w:vAlign w:val="bottom"/>
            <w:tcBorders>
              <w:bottom w:val="single" w:sz="8" w:color="auto"/>
            </w:tcBorders>
            <w:shd w:val="clear" w:color="auto" w:fill="BFBFBF"/>
          </w:tcPr>
          <w:p>
            <w:pPr>
              <w:spacing w:after="0"/>
              <w:rPr>
                <w:sz w:val="18"/>
                <w:szCs w:val="18"/>
                <w:color w:val="auto"/>
              </w:rPr>
            </w:pPr>
          </w:p>
        </w:tc>
        <w:tc>
          <w:tcPr>
            <w:tcW w:w="2620" w:type="dxa"/>
            <w:vAlign w:val="bottom"/>
            <w:tcBorders>
              <w:bottom w:val="single" w:sz="8" w:color="auto"/>
              <w:right w:val="single" w:sz="8" w:color="auto"/>
            </w:tcBorders>
            <w:shd w:val="clear" w:color="auto" w:fill="BFBFBF"/>
          </w:tcPr>
          <w:p>
            <w:pPr>
              <w:jc w:val="center"/>
              <w:ind w:right="825"/>
              <w:spacing w:after="0" w:line="213" w:lineRule="exact"/>
              <w:rPr>
                <w:sz w:val="20"/>
                <w:szCs w:val="20"/>
                <w:color w:val="auto"/>
              </w:rPr>
            </w:pPr>
            <w:r>
              <w:rPr>
                <w:rFonts w:ascii="Arial" w:cs="Arial" w:eastAsia="Arial" w:hAnsi="Arial"/>
                <w:sz w:val="19"/>
                <w:szCs w:val="19"/>
                <w:b w:val="1"/>
                <w:bCs w:val="1"/>
                <w:color w:val="auto"/>
                <w:w w:val="89"/>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center"/>
              <w:ind w:right="805"/>
              <w:spacing w:after="0" w:line="213" w:lineRule="exact"/>
              <w:rPr>
                <w:sz w:val="20"/>
                <w:szCs w:val="20"/>
                <w:color w:val="auto"/>
              </w:rPr>
            </w:pPr>
            <w:r>
              <w:rPr>
                <w:rFonts w:ascii="Arial" w:cs="Arial" w:eastAsia="Arial" w:hAnsi="Arial"/>
                <w:sz w:val="19"/>
                <w:szCs w:val="19"/>
                <w:color w:val="auto"/>
                <w:w w:val="94"/>
              </w:rPr>
              <w:t>6.0x</w:t>
            </w: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jc w:val="center"/>
              <w:ind w:right="545"/>
              <w:spacing w:after="0" w:line="213" w:lineRule="exact"/>
              <w:rPr>
                <w:sz w:val="20"/>
                <w:szCs w:val="20"/>
                <w:color w:val="auto"/>
              </w:rPr>
            </w:pPr>
            <w:r>
              <w:rPr>
                <w:rFonts w:ascii="Arial" w:cs="Arial" w:eastAsia="Arial" w:hAnsi="Arial"/>
                <w:sz w:val="19"/>
                <w:szCs w:val="19"/>
                <w:color w:val="auto"/>
                <w:w w:val="94"/>
              </w:rPr>
              <w:t>5.8x</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ind w:right="825"/>
              <w:spacing w:after="0" w:line="213" w:lineRule="exact"/>
              <w:rPr>
                <w:sz w:val="20"/>
                <w:szCs w:val="20"/>
                <w:color w:val="auto"/>
              </w:rPr>
            </w:pPr>
            <w:r>
              <w:rPr>
                <w:rFonts w:ascii="Arial" w:cs="Arial" w:eastAsia="Arial" w:hAnsi="Arial"/>
                <w:sz w:val="19"/>
                <w:szCs w:val="19"/>
                <w:color w:val="auto"/>
                <w:w w:val="94"/>
              </w:rPr>
              <w:t>5.6x</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9"/>
                <w:szCs w:val="19"/>
                <w:color w:val="auto"/>
              </w:rPr>
              <w:t>3.</w:t>
            </w:r>
          </w:p>
        </w:tc>
        <w:tc>
          <w:tcPr>
            <w:tcW w:w="10080" w:type="dxa"/>
            <w:vAlign w:val="bottom"/>
            <w:gridSpan w:val="7"/>
          </w:tcPr>
          <w:p>
            <w:pPr>
              <w:ind w:left="400"/>
              <w:spacing w:after="0"/>
              <w:rPr>
                <w:sz w:val="20"/>
                <w:szCs w:val="20"/>
                <w:color w:val="auto"/>
              </w:rPr>
            </w:pPr>
            <w:r>
              <w:rPr>
                <w:rFonts w:ascii="Arial" w:cs="Arial" w:eastAsia="Arial" w:hAnsi="Arial"/>
                <w:sz w:val="19"/>
                <w:szCs w:val="19"/>
                <w:color w:val="auto"/>
                <w:w w:val="96"/>
              </w:rPr>
              <w:t>Diversification target for 4Q16 Annualized Adjusted EBITDA</w:t>
            </w:r>
            <w:r>
              <w:rPr>
                <w:rFonts w:ascii="Arial" w:cs="Arial" w:eastAsia="Arial" w:hAnsi="Arial"/>
                <w:sz w:val="16"/>
                <w:szCs w:val="16"/>
                <w:color w:val="auto"/>
                <w:w w:val="96"/>
              </w:rPr>
              <w:t>(3)</w:t>
            </w:r>
            <w:r>
              <w:rPr>
                <w:rFonts w:ascii="Arial" w:cs="Arial" w:eastAsia="Arial" w:hAnsi="Arial"/>
                <w:sz w:val="19"/>
                <w:szCs w:val="19"/>
                <w:color w:val="auto"/>
                <w:w w:val="96"/>
              </w:rPr>
              <w:t>, from Annualized Adjusted EBITDA achieved in 4Q15 of</w:t>
            </w: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w w:val="98"/>
              </w:rPr>
              <w:t>$664 million (25% weight):</w:t>
            </w:r>
          </w:p>
        </w:tc>
        <w:tc>
          <w:tcPr>
            <w:tcW w:w="5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52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ind w:left="460"/>
              <w:spacing w:after="0" w:line="213" w:lineRule="exact"/>
              <w:rPr>
                <w:sz w:val="20"/>
                <w:szCs w:val="20"/>
                <w:color w:val="auto"/>
              </w:rPr>
            </w:pPr>
            <w:r>
              <w:rPr>
                <w:rFonts w:ascii="Arial" w:cs="Arial" w:eastAsia="Arial" w:hAnsi="Arial"/>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40" w:type="dxa"/>
            <w:vAlign w:val="bottom"/>
            <w:tcBorders>
              <w:bottom w:val="single" w:sz="8" w:color="auto"/>
              <w:right w:val="single" w:sz="8" w:color="auto"/>
            </w:tcBorders>
            <w:shd w:val="clear" w:color="auto" w:fill="BFBFBF"/>
          </w:tcPr>
          <w:p>
            <w:pPr>
              <w:jc w:val="center"/>
              <w:ind w:right="545"/>
              <w:spacing w:after="0" w:line="213" w:lineRule="exact"/>
              <w:rPr>
                <w:sz w:val="20"/>
                <w:szCs w:val="20"/>
                <w:color w:val="auto"/>
              </w:rPr>
            </w:pPr>
            <w:r>
              <w:rPr>
                <w:rFonts w:ascii="Arial" w:cs="Arial" w:eastAsia="Arial" w:hAnsi="Arial"/>
                <w:sz w:val="19"/>
                <w:szCs w:val="19"/>
                <w:b w:val="1"/>
                <w:bCs w:val="1"/>
                <w:color w:val="auto"/>
                <w:w w:val="92"/>
              </w:rPr>
              <w:t>Target</w:t>
            </w:r>
          </w:p>
        </w:tc>
        <w:tc>
          <w:tcPr>
            <w:tcW w:w="480" w:type="dxa"/>
            <w:vAlign w:val="bottom"/>
            <w:tcBorders>
              <w:bottom w:val="single" w:sz="8" w:color="auto"/>
              <w:right w:val="single" w:sz="8" w:color="BFBFBF"/>
            </w:tcBorders>
            <w:shd w:val="clear" w:color="auto" w:fill="BFBFBF"/>
          </w:tcPr>
          <w:p>
            <w:pPr>
              <w:spacing w:after="0"/>
              <w:rPr>
                <w:sz w:val="18"/>
                <w:szCs w:val="18"/>
                <w:color w:val="auto"/>
              </w:rPr>
            </w:pPr>
          </w:p>
        </w:tc>
        <w:tc>
          <w:tcPr>
            <w:tcW w:w="400" w:type="dxa"/>
            <w:vAlign w:val="bottom"/>
            <w:tcBorders>
              <w:bottom w:val="single" w:sz="8" w:color="auto"/>
            </w:tcBorders>
            <w:shd w:val="clear" w:color="auto" w:fill="BFBFBF"/>
          </w:tcPr>
          <w:p>
            <w:pPr>
              <w:spacing w:after="0"/>
              <w:rPr>
                <w:sz w:val="18"/>
                <w:szCs w:val="18"/>
                <w:color w:val="auto"/>
              </w:rPr>
            </w:pPr>
          </w:p>
        </w:tc>
        <w:tc>
          <w:tcPr>
            <w:tcW w:w="2620" w:type="dxa"/>
            <w:vAlign w:val="bottom"/>
            <w:tcBorders>
              <w:bottom w:val="single" w:sz="8" w:color="auto"/>
              <w:right w:val="single" w:sz="8" w:color="auto"/>
            </w:tcBorders>
            <w:shd w:val="clear" w:color="auto" w:fill="BFBFBF"/>
          </w:tcPr>
          <w:p>
            <w:pPr>
              <w:jc w:val="center"/>
              <w:ind w:right="825"/>
              <w:spacing w:after="0" w:line="213" w:lineRule="exact"/>
              <w:rPr>
                <w:sz w:val="20"/>
                <w:szCs w:val="20"/>
                <w:color w:val="auto"/>
              </w:rPr>
            </w:pPr>
            <w:r>
              <w:rPr>
                <w:rFonts w:ascii="Arial" w:cs="Arial" w:eastAsia="Arial" w:hAnsi="Arial"/>
                <w:sz w:val="19"/>
                <w:szCs w:val="19"/>
                <w:b w:val="1"/>
                <w:bCs w:val="1"/>
                <w:color w:val="auto"/>
                <w:w w:val="89"/>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right"/>
              <w:ind w:right="1545"/>
              <w:spacing w:after="0" w:line="213" w:lineRule="exact"/>
              <w:rPr>
                <w:sz w:val="20"/>
                <w:szCs w:val="20"/>
                <w:color w:val="auto"/>
              </w:rPr>
            </w:pPr>
            <w:r>
              <w:rPr>
                <w:rFonts w:ascii="Arial" w:cs="Arial" w:eastAsia="Arial" w:hAnsi="Arial"/>
                <w:sz w:val="19"/>
                <w:szCs w:val="19"/>
                <w:color w:val="auto"/>
              </w:rPr>
              <w:t>8%</w:t>
            </w:r>
          </w:p>
        </w:tc>
        <w:tc>
          <w:tcPr>
            <w:tcW w:w="3520" w:type="dxa"/>
            <w:vAlign w:val="bottom"/>
            <w:tcBorders>
              <w:bottom w:val="single" w:sz="8" w:color="auto"/>
              <w:right w:val="single" w:sz="8" w:color="auto"/>
            </w:tcBorders>
            <w:gridSpan w:val="2"/>
          </w:tcPr>
          <w:p>
            <w:pPr>
              <w:jc w:val="right"/>
              <w:ind w:right="1525"/>
              <w:spacing w:after="0" w:line="213" w:lineRule="exact"/>
              <w:rPr>
                <w:sz w:val="20"/>
                <w:szCs w:val="20"/>
                <w:color w:val="auto"/>
              </w:rPr>
            </w:pPr>
            <w:r>
              <w:rPr>
                <w:rFonts w:ascii="Arial" w:cs="Arial" w:eastAsia="Arial" w:hAnsi="Arial"/>
                <w:sz w:val="19"/>
                <w:szCs w:val="19"/>
                <w:color w:val="auto"/>
              </w:rPr>
              <w:t>10%</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right"/>
              <w:ind w:right="1505"/>
              <w:spacing w:after="0" w:line="213" w:lineRule="exact"/>
              <w:rPr>
                <w:sz w:val="20"/>
                <w:szCs w:val="20"/>
                <w:color w:val="auto"/>
              </w:rPr>
            </w:pPr>
            <w:r>
              <w:rPr>
                <w:rFonts w:ascii="Arial" w:cs="Arial" w:eastAsia="Arial" w:hAnsi="Arial"/>
                <w:sz w:val="19"/>
                <w:szCs w:val="19"/>
                <w:color w:val="auto"/>
              </w:rPr>
              <w:t>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B.</w:t>
            </w:r>
          </w:p>
        </w:tc>
        <w:tc>
          <w:tcPr>
            <w:tcW w:w="7560" w:type="dxa"/>
            <w:vAlign w:val="bottom"/>
            <w:tcBorders>
              <w:bottom w:val="single" w:sz="8" w:color="auto"/>
            </w:tcBorders>
            <w:gridSpan w:val="6"/>
          </w:tcPr>
          <w:p>
            <w:pPr>
              <w:ind w:left="20"/>
              <w:spacing w:after="0"/>
              <w:rPr>
                <w:sz w:val="20"/>
                <w:szCs w:val="20"/>
                <w:color w:val="auto"/>
              </w:rPr>
            </w:pPr>
            <w:r>
              <w:rPr>
                <w:rFonts w:ascii="Arial" w:cs="Arial" w:eastAsia="Arial" w:hAnsi="Arial"/>
                <w:sz w:val="19"/>
                <w:szCs w:val="19"/>
                <w:color w:val="auto"/>
              </w:rPr>
              <w:t>Potential payouts determined by Compensation Committee:</w:t>
            </w:r>
          </w:p>
        </w:tc>
        <w:tc>
          <w:tcPr>
            <w:tcW w:w="2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2"/>
            <w:vMerge w:val="restart"/>
          </w:tcPr>
          <w:p>
            <w:pPr>
              <w:ind w:left="160"/>
              <w:spacing w:after="0"/>
              <w:rPr>
                <w:sz w:val="20"/>
                <w:szCs w:val="20"/>
                <w:color w:val="auto"/>
              </w:rPr>
            </w:pPr>
            <w:r>
              <w:rPr>
                <w:rFonts w:ascii="Arial" w:cs="Arial" w:eastAsia="Arial" w:hAnsi="Arial"/>
                <w:sz w:val="19"/>
                <w:szCs w:val="19"/>
                <w:b w:val="1"/>
                <w:bCs w:val="1"/>
                <w:color w:val="auto"/>
              </w:rPr>
              <w:t>Performance Achievement Level</w:t>
            </w:r>
          </w:p>
        </w:tc>
        <w:tc>
          <w:tcPr>
            <w:tcW w:w="580" w:type="dxa"/>
            <w:vAlign w:val="bottom"/>
            <w:tcBorders>
              <w:right w:val="single" w:sz="8" w:color="auto"/>
            </w:tcBorders>
          </w:tcPr>
          <w:p>
            <w:pPr>
              <w:spacing w:after="0"/>
              <w:rPr>
                <w:sz w:val="24"/>
                <w:szCs w:val="24"/>
                <w:color w:val="auto"/>
              </w:rPr>
            </w:pPr>
          </w:p>
        </w:tc>
        <w:tc>
          <w:tcPr>
            <w:tcW w:w="6860" w:type="dxa"/>
            <w:vAlign w:val="bottom"/>
            <w:tcBorders>
              <w:bottom w:val="single" w:sz="8" w:color="auto"/>
              <w:right w:val="single" w:sz="8" w:color="auto"/>
            </w:tcBorders>
            <w:gridSpan w:val="5"/>
          </w:tcPr>
          <w:p>
            <w:pPr>
              <w:ind w:left="1960"/>
              <w:spacing w:after="0"/>
              <w:rPr>
                <w:sz w:val="20"/>
                <w:szCs w:val="20"/>
                <w:color w:val="auto"/>
              </w:rPr>
            </w:pPr>
            <w:r>
              <w:rPr>
                <w:rFonts w:ascii="Arial" w:cs="Arial" w:eastAsia="Arial" w:hAnsi="Arial"/>
                <w:sz w:val="19"/>
                <w:szCs w:val="19"/>
                <w:b w:val="1"/>
                <w:bCs w:val="1"/>
                <w:color w:val="auto"/>
              </w:rPr>
              <w:t>Potential as Percent of Base Salary*</w:t>
            </w:r>
          </w:p>
        </w:tc>
        <w:tc>
          <w:tcPr>
            <w:tcW w:w="0" w:type="dxa"/>
            <w:vAlign w:val="bottom"/>
          </w:tcPr>
          <w:p>
            <w:pPr>
              <w:spacing w:after="0"/>
              <w:rPr>
                <w:sz w:val="1"/>
                <w:szCs w:val="1"/>
                <w:color w:val="auto"/>
              </w:rPr>
            </w:pPr>
          </w:p>
        </w:tc>
      </w:tr>
      <w:tr>
        <w:trPr>
          <w:trHeight w:val="213"/>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vMerge w:val="continue"/>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gridSpan w:val="2"/>
          </w:tcPr>
          <w:p>
            <w:pPr>
              <w:ind w:left="1500"/>
              <w:spacing w:after="0" w:line="213" w:lineRule="exact"/>
              <w:rPr>
                <w:sz w:val="20"/>
                <w:szCs w:val="20"/>
                <w:color w:val="auto"/>
              </w:rPr>
            </w:pPr>
            <w:r>
              <w:rPr>
                <w:rFonts w:ascii="Arial" w:cs="Arial" w:eastAsia="Arial" w:hAnsi="Arial"/>
                <w:sz w:val="19"/>
                <w:szCs w:val="19"/>
                <w:b w:val="1"/>
                <w:bCs w:val="1"/>
                <w:color w:val="auto"/>
              </w:rPr>
              <w:t>CEO</w:t>
            </w:r>
          </w:p>
        </w:tc>
        <w:tc>
          <w:tcPr>
            <w:tcW w:w="40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gridSpan w:val="2"/>
          </w:tcPr>
          <w:p>
            <w:pPr>
              <w:ind w:left="940"/>
              <w:spacing w:after="0" w:line="213" w:lineRule="exact"/>
              <w:rPr>
                <w:sz w:val="20"/>
                <w:szCs w:val="20"/>
                <w:color w:val="auto"/>
              </w:rPr>
            </w:pPr>
            <w:r>
              <w:rPr>
                <w:rFonts w:ascii="Arial" w:cs="Arial" w:eastAsia="Arial" w:hAnsi="Arial"/>
                <w:sz w:val="19"/>
                <w:szCs w:val="19"/>
                <w:b w:val="1"/>
                <w:bCs w:val="1"/>
                <w:color w:val="auto"/>
              </w:rPr>
              <w:t>CFO/GC</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0" w:type="dxa"/>
            <w:vAlign w:val="bottom"/>
            <w:tcBorders>
              <w:bottom w:val="single" w:sz="8" w:color="auto"/>
            </w:tcBorders>
            <w:gridSpan w:val="2"/>
          </w:tcPr>
          <w:p>
            <w:pPr>
              <w:ind w:left="20"/>
              <w:spacing w:after="0" w:line="198" w:lineRule="exact"/>
              <w:rPr>
                <w:sz w:val="20"/>
                <w:szCs w:val="20"/>
                <w:color w:val="auto"/>
              </w:rPr>
            </w:pPr>
            <w:r>
              <w:rPr>
                <w:rFonts w:ascii="Arial" w:cs="Arial" w:eastAsia="Arial" w:hAnsi="Arial"/>
                <w:sz w:val="19"/>
                <w:szCs w:val="19"/>
                <w:color w:val="auto"/>
                <w:w w:val="92"/>
              </w:rPr>
              <w:t>Threshold</w:t>
            </w:r>
          </w:p>
        </w:tc>
        <w:tc>
          <w:tcPr>
            <w:tcW w:w="5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940" w:type="dxa"/>
            <w:vAlign w:val="bottom"/>
            <w:tcBorders>
              <w:bottom w:val="single" w:sz="8" w:color="auto"/>
            </w:tcBorders>
          </w:tcPr>
          <w:p>
            <w:pPr>
              <w:jc w:val="center"/>
              <w:ind w:left="365"/>
              <w:spacing w:after="0" w:line="198" w:lineRule="exact"/>
              <w:rPr>
                <w:sz w:val="20"/>
                <w:szCs w:val="20"/>
                <w:color w:val="auto"/>
              </w:rPr>
            </w:pPr>
            <w:r>
              <w:rPr>
                <w:rFonts w:ascii="Arial" w:cs="Arial" w:eastAsia="Arial" w:hAnsi="Arial"/>
                <w:sz w:val="19"/>
                <w:szCs w:val="19"/>
                <w:color w:val="auto"/>
                <w:w w:val="94"/>
              </w:rPr>
              <w:t>75%</w:t>
            </w:r>
          </w:p>
        </w:tc>
        <w:tc>
          <w:tcPr>
            <w:tcW w:w="48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9"/>
                <w:szCs w:val="19"/>
                <w:color w:val="auto"/>
                <w:w w:val="89"/>
              </w:rPr>
              <w:t>50%</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gridSpan w:val="2"/>
          </w:tcPr>
          <w:p>
            <w:pPr>
              <w:ind w:left="20"/>
              <w:spacing w:after="0" w:line="213" w:lineRule="exact"/>
              <w:rPr>
                <w:sz w:val="20"/>
                <w:szCs w:val="20"/>
                <w:color w:val="auto"/>
              </w:rPr>
            </w:pPr>
            <w:r>
              <w:rPr>
                <w:rFonts w:ascii="Arial" w:cs="Arial" w:eastAsia="Arial" w:hAnsi="Arial"/>
                <w:sz w:val="19"/>
                <w:szCs w:val="19"/>
                <w:color w:val="auto"/>
              </w:rPr>
              <w:t>Target</w:t>
            </w: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jc w:val="center"/>
              <w:ind w:left="365"/>
              <w:spacing w:after="0" w:line="213" w:lineRule="exact"/>
              <w:rPr>
                <w:sz w:val="20"/>
                <w:szCs w:val="20"/>
                <w:color w:val="auto"/>
              </w:rPr>
            </w:pPr>
            <w:r>
              <w:rPr>
                <w:rFonts w:ascii="Arial" w:cs="Arial" w:eastAsia="Arial" w:hAnsi="Arial"/>
                <w:sz w:val="19"/>
                <w:szCs w:val="19"/>
                <w:color w:val="auto"/>
                <w:w w:val="90"/>
              </w:rPr>
              <w:t>150%</w:t>
            </w:r>
          </w:p>
        </w:tc>
        <w:tc>
          <w:tcPr>
            <w:tcW w:w="4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9"/>
                <w:szCs w:val="19"/>
                <w:color w:val="auto"/>
                <w:w w:val="90"/>
              </w:rPr>
              <w:t>100%</w:t>
            </w: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gridSpan w:val="2"/>
          </w:tcPr>
          <w:p>
            <w:pPr>
              <w:ind w:left="20"/>
              <w:spacing w:after="0" w:line="213" w:lineRule="exact"/>
              <w:rPr>
                <w:sz w:val="20"/>
                <w:szCs w:val="20"/>
                <w:color w:val="auto"/>
              </w:rPr>
            </w:pPr>
            <w:r>
              <w:rPr>
                <w:rFonts w:ascii="Arial" w:cs="Arial" w:eastAsia="Arial" w:hAnsi="Arial"/>
                <w:sz w:val="19"/>
                <w:szCs w:val="19"/>
                <w:color w:val="auto"/>
              </w:rPr>
              <w:t>Superior</w:t>
            </w: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jc w:val="center"/>
              <w:ind w:left="365"/>
              <w:spacing w:after="0" w:line="213" w:lineRule="exact"/>
              <w:rPr>
                <w:sz w:val="20"/>
                <w:szCs w:val="20"/>
                <w:color w:val="auto"/>
              </w:rPr>
            </w:pPr>
            <w:r>
              <w:rPr>
                <w:rFonts w:ascii="Arial" w:cs="Arial" w:eastAsia="Arial" w:hAnsi="Arial"/>
                <w:sz w:val="19"/>
                <w:szCs w:val="19"/>
                <w:color w:val="auto"/>
                <w:w w:val="90"/>
              </w:rPr>
              <w:t>225%</w:t>
            </w:r>
          </w:p>
        </w:tc>
        <w:tc>
          <w:tcPr>
            <w:tcW w:w="4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9"/>
                <w:szCs w:val="19"/>
                <w:color w:val="auto"/>
                <w:w w:val="90"/>
              </w:rPr>
              <w:t>150%</w:t>
            </w: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 Subject to adjustment as determined by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____________</w:t>
      </w:r>
    </w:p>
    <w:p>
      <w:pPr>
        <w:spacing w:after="0" w:line="17" w:lineRule="exact"/>
        <w:rPr>
          <w:sz w:val="20"/>
          <w:szCs w:val="20"/>
          <w:color w:val="auto"/>
        </w:rPr>
      </w:pPr>
    </w:p>
    <w:p>
      <w:pPr>
        <w:ind w:left="860" w:hanging="857"/>
        <w:spacing w:after="0" w:line="248"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9"/>
          <w:szCs w:val="19"/>
          <w:color w:val="auto"/>
        </w:rPr>
        <w:t>Definition consistent with publicly reported definition, and excluding effect of future capital markets &amp; M&amp;A transactions, and similar costs.</w:t>
      </w:r>
    </w:p>
    <w:p>
      <w:pPr>
        <w:spacing w:after="0" w:line="191" w:lineRule="exact"/>
        <w:rPr>
          <w:rFonts w:ascii="Arial" w:cs="Arial" w:eastAsia="Arial" w:hAnsi="Arial"/>
          <w:sz w:val="16"/>
          <w:szCs w:val="16"/>
          <w:color w:val="auto"/>
        </w:rPr>
      </w:pPr>
    </w:p>
    <w:p>
      <w:pPr>
        <w:ind w:left="860" w:hanging="857"/>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Financial Leverage defined as monthly average Net Debt to Annualized Adjusted EBITDA on a basis consistent with our debt agreements.</w:t>
      </w:r>
    </w:p>
    <w:p>
      <w:pPr>
        <w:spacing w:after="0" w:line="243" w:lineRule="exact"/>
        <w:rPr>
          <w:rFonts w:ascii="Arial" w:cs="Arial" w:eastAsia="Arial" w:hAnsi="Arial"/>
          <w:sz w:val="14"/>
          <w:szCs w:val="14"/>
          <w:color w:val="auto"/>
        </w:rPr>
      </w:pPr>
    </w:p>
    <w:p>
      <w:pPr>
        <w:ind w:left="860" w:hanging="857"/>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9"/>
          <w:szCs w:val="19"/>
          <w:color w:val="auto"/>
        </w:rPr>
        <w:t>Definition consistent with publicly reported definition. Diversification target includes signed transactions pending close.</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21"/>
          <w:szCs w:val="21"/>
          <w:color w:val="auto"/>
        </w:rPr>
        <w:t>5</w:t>
      </w:r>
    </w:p>
    <w:p>
      <w:pPr>
        <w:sectPr>
          <w:pgSz w:w="11900" w:h="16838" w:orient="portrait"/>
          <w:cols w:equalWidth="0" w:num="1">
            <w:col w:w="11420"/>
          </w:cols>
          <w:pgMar w:left="240" w:top="118" w:right="239" w:bottom="1440" w:gutter="0" w:footer="0" w:header="0"/>
        </w:sectPr>
      </w:pPr>
    </w:p>
    <w:bookmarkStart w:id="52" w:name="page53"/>
    <w:bookmarkEnd w:id="52"/>
    <w:p>
      <w:pPr>
        <w:jc w:val="both"/>
        <w:ind w:right="40"/>
        <w:spacing w:after="0" w:line="253" w:lineRule="auto"/>
        <w:rPr>
          <w:sz w:val="20"/>
          <w:szCs w:val="20"/>
          <w:color w:val="auto"/>
        </w:rPr>
      </w:pPr>
      <w:r>
        <w:rPr>
          <w:rFonts w:ascii="Arial" w:cs="Arial" w:eastAsia="Arial" w:hAnsi="Arial"/>
          <w:sz w:val="19"/>
          <w:szCs w:val="19"/>
          <w:color w:val="auto"/>
        </w:rPr>
        <w:t>Portions of this document have been redacted pursuant to a Confidential Treatment Request filed with the Securities and Exchange Commission pursuant to Rule 406 under the Securities Act of 1933, as amended, and Rule 24b-2 under the Securities Exchange Act of 1934, as amended. Redacted portions are indicated with the notation “[**]”.</w:t>
      </w:r>
    </w:p>
    <w:p>
      <w:pPr>
        <w:spacing w:after="0" w:line="181" w:lineRule="exact"/>
        <w:rPr>
          <w:sz w:val="20"/>
          <w:szCs w:val="20"/>
          <w:color w:val="auto"/>
        </w:rPr>
      </w:pPr>
    </w:p>
    <w:p>
      <w:pPr>
        <w:ind w:left="1044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COMMUNICATIONS SALES &amp; LEASING,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2017 SHORT TERM INCENTIVE PLAN</w:t>
      </w:r>
    </w:p>
    <w:p>
      <w:pPr>
        <w:spacing w:after="0" w:line="200" w:lineRule="exact"/>
        <w:rPr>
          <w:sz w:val="20"/>
          <w:szCs w:val="20"/>
          <w:color w:val="auto"/>
        </w:rPr>
      </w:pPr>
    </w:p>
    <w:p>
      <w:pPr>
        <w:spacing w:after="0" w:line="212" w:lineRule="exact"/>
        <w:rPr>
          <w:sz w:val="20"/>
          <w:szCs w:val="20"/>
          <w:color w:val="auto"/>
        </w:rPr>
      </w:pPr>
    </w:p>
    <w:p>
      <w:pPr>
        <w:jc w:val="both"/>
        <w:ind w:right="40" w:firstLine="878"/>
        <w:spacing w:after="0" w:line="265" w:lineRule="auto"/>
        <w:rPr>
          <w:sz w:val="20"/>
          <w:szCs w:val="20"/>
          <w:color w:val="auto"/>
        </w:rPr>
      </w:pPr>
      <w:r>
        <w:rPr>
          <w:rFonts w:ascii="Arial" w:cs="Arial" w:eastAsia="Arial" w:hAnsi="Arial"/>
          <w:sz w:val="19"/>
          <w:szCs w:val="19"/>
          <w:color w:val="auto"/>
        </w:rPr>
        <w:t>As of February 14,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Communications Sales &amp; Leasing,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adopts this 2017 Short Term Plan (this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64" w:lineRule="exact"/>
        <w:rPr>
          <w:sz w:val="20"/>
          <w:szCs w:val="20"/>
          <w:color w:val="auto"/>
        </w:rPr>
      </w:pPr>
    </w:p>
    <w:p>
      <w:pPr>
        <w:jc w:val="both"/>
        <w:ind w:right="40" w:firstLine="878"/>
        <w:spacing w:after="0" w:line="247" w:lineRule="auto"/>
        <w:rPr>
          <w:sz w:val="20"/>
          <w:szCs w:val="20"/>
          <w:color w:val="auto"/>
        </w:rPr>
      </w:pPr>
      <w:r>
        <w:rPr>
          <w:rFonts w:ascii="Arial" w:cs="Arial" w:eastAsia="Arial" w:hAnsi="Arial"/>
          <w:sz w:val="19"/>
          <w:szCs w:val="19"/>
          <w:color w:val="auto"/>
        </w:rPr>
        <w:t>WHEREAS, the Compensation Committee of the Board of Directors of the Corporation deems it in the best interest of the Corporation that the Corporation reward certain executives of the Corporation with a short-term incentive program (annual cash bonuses) in order to motivate the Corporation’s executive officers to achieve performance goals that reinforce the Corporation’s annual business plan, to assist the Corporation in attracting and retaining qualified executives and to promote the alignment of the executive officers’ interests with those of the Corporation’s stockholders; and</w:t>
      </w:r>
    </w:p>
    <w:p>
      <w:pPr>
        <w:spacing w:after="0" w:line="181" w:lineRule="exact"/>
        <w:rPr>
          <w:sz w:val="20"/>
          <w:szCs w:val="20"/>
          <w:color w:val="auto"/>
        </w:rPr>
      </w:pPr>
    </w:p>
    <w:p>
      <w:pPr>
        <w:jc w:val="both"/>
        <w:ind w:right="40" w:firstLine="878"/>
        <w:spacing w:after="0" w:line="265" w:lineRule="auto"/>
        <w:rPr>
          <w:sz w:val="20"/>
          <w:szCs w:val="20"/>
          <w:color w:val="auto"/>
        </w:rPr>
      </w:pPr>
      <w:r>
        <w:rPr>
          <w:rFonts w:ascii="Arial" w:cs="Arial" w:eastAsia="Arial" w:hAnsi="Arial"/>
          <w:sz w:val="19"/>
          <w:szCs w:val="19"/>
          <w:color w:val="auto"/>
        </w:rPr>
        <w:t xml:space="preserve">WHEREAS, the Compensation Committee approved on February 14, 2017 the terms of this Plan,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which is incorporated by reference in its entirety.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BE IT RESOLVED:</w:t>
      </w:r>
    </w:p>
    <w:p>
      <w:pPr>
        <w:spacing w:after="0" w:line="197" w:lineRule="exact"/>
        <w:rPr>
          <w:sz w:val="20"/>
          <w:szCs w:val="20"/>
          <w:color w:val="auto"/>
        </w:rPr>
      </w:pPr>
    </w:p>
    <w:p>
      <w:pPr>
        <w:ind w:right="64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80" w:type="dxa"/>
            <w:vAlign w:val="bottom"/>
          </w:tcPr>
          <w:p>
            <w:pPr>
              <w:ind w:left="1700"/>
              <w:spacing w:after="0"/>
              <w:rPr>
                <w:sz w:val="20"/>
                <w:szCs w:val="20"/>
                <w:color w:val="auto"/>
              </w:rPr>
            </w:pPr>
            <w:r>
              <w:rPr>
                <w:rFonts w:ascii="Arial" w:cs="Arial" w:eastAsia="Arial" w:hAnsi="Arial"/>
                <w:sz w:val="21"/>
                <w:szCs w:val="21"/>
                <w:color w:val="auto"/>
              </w:rPr>
              <w:t>(a)</w:t>
            </w:r>
          </w:p>
        </w:tc>
        <w:tc>
          <w:tcPr>
            <w:tcW w:w="7780" w:type="dxa"/>
            <w:vAlign w:val="bottom"/>
          </w:tcPr>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Award</w:t>
            </w:r>
            <w:r>
              <w:rPr>
                <w:rFonts w:ascii="Arial" w:cs="Arial" w:eastAsia="Arial" w:hAnsi="Arial"/>
                <w:sz w:val="19"/>
                <w:szCs w:val="19"/>
                <w:color w:val="auto"/>
              </w:rPr>
              <w:t>” means any Short-Term Cash Bonus granted under this Plan.</w:t>
            </w:r>
          </w:p>
        </w:tc>
      </w:tr>
      <w:tr>
        <w:trPr>
          <w:trHeight w:val="439"/>
        </w:trPr>
        <w:tc>
          <w:tcPr>
            <w:tcW w:w="3680" w:type="dxa"/>
            <w:vAlign w:val="bottom"/>
          </w:tcPr>
          <w:p>
            <w:pPr>
              <w:ind w:left="1700"/>
              <w:spacing w:after="0"/>
              <w:rPr>
                <w:sz w:val="20"/>
                <w:szCs w:val="20"/>
                <w:color w:val="auto"/>
              </w:rPr>
            </w:pPr>
            <w:r>
              <w:rPr>
                <w:rFonts w:ascii="Arial" w:cs="Arial" w:eastAsia="Arial" w:hAnsi="Arial"/>
                <w:sz w:val="21"/>
                <w:szCs w:val="21"/>
                <w:color w:val="auto"/>
              </w:rPr>
              <w:t>(b)</w:t>
            </w:r>
          </w:p>
        </w:tc>
        <w:tc>
          <w:tcPr>
            <w:tcW w:w="7780" w:type="dxa"/>
            <w:vAlign w:val="bottom"/>
          </w:tcPr>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w:t>
            </w:r>
            <w:r>
              <w:rPr>
                <w:rFonts w:ascii="Arial" w:cs="Arial" w:eastAsia="Arial" w:hAnsi="Arial"/>
                <w:sz w:val="19"/>
                <w:szCs w:val="19"/>
                <w:color w:val="auto"/>
              </w:rPr>
              <w:t>” means the Board of Directors of the Corporation.</w:t>
            </w:r>
          </w:p>
        </w:tc>
      </w:tr>
      <w:tr>
        <w:trPr>
          <w:trHeight w:val="439"/>
        </w:trPr>
        <w:tc>
          <w:tcPr>
            <w:tcW w:w="3680" w:type="dxa"/>
            <w:vAlign w:val="bottom"/>
          </w:tcPr>
          <w:p>
            <w:pPr>
              <w:ind w:left="1700"/>
              <w:spacing w:after="0"/>
              <w:rPr>
                <w:sz w:val="20"/>
                <w:szCs w:val="20"/>
                <w:color w:val="auto"/>
              </w:rPr>
            </w:pPr>
            <w:r>
              <w:rPr>
                <w:rFonts w:ascii="Arial" w:cs="Arial" w:eastAsia="Arial" w:hAnsi="Arial"/>
                <w:sz w:val="21"/>
                <w:szCs w:val="21"/>
                <w:color w:val="auto"/>
              </w:rPr>
              <w:t>(c)</w:t>
            </w:r>
          </w:p>
        </w:tc>
        <w:tc>
          <w:tcPr>
            <w:tcW w:w="7780" w:type="dxa"/>
            <w:vAlign w:val="bottom"/>
          </w:tcPr>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w:t>
            </w:r>
          </w:p>
        </w:tc>
      </w:tr>
      <w:tr>
        <w:trPr>
          <w:trHeight w:val="412"/>
        </w:trPr>
        <w:tc>
          <w:tcPr>
            <w:tcW w:w="3680" w:type="dxa"/>
            <w:vAlign w:val="bottom"/>
          </w:tcPr>
          <w:p>
            <w:pPr>
              <w:ind w:left="1700"/>
              <w:spacing w:after="0"/>
              <w:rPr>
                <w:sz w:val="20"/>
                <w:szCs w:val="20"/>
                <w:color w:val="auto"/>
              </w:rPr>
            </w:pPr>
            <w:r>
              <w:rPr>
                <w:rFonts w:ascii="Arial" w:cs="Arial" w:eastAsia="Arial" w:hAnsi="Arial"/>
                <w:sz w:val="21"/>
                <w:szCs w:val="21"/>
                <w:color w:val="auto"/>
              </w:rPr>
              <w:t>(d)</w:t>
            </w:r>
          </w:p>
        </w:tc>
        <w:tc>
          <w:tcPr>
            <w:tcW w:w="7780" w:type="dxa"/>
            <w:vAlign w:val="bottom"/>
          </w:tcPr>
          <w:p>
            <w:pPr>
              <w:ind w:left="120"/>
              <w:spacing w:after="0"/>
              <w:rPr>
                <w:sz w:val="20"/>
                <w:szCs w:val="20"/>
                <w:color w:val="auto"/>
              </w:rPr>
            </w:pPr>
            <w:r>
              <w:rPr>
                <w:rFonts w:ascii="Arial" w:cs="Arial" w:eastAsia="Arial" w:hAnsi="Arial"/>
                <w:sz w:val="19"/>
                <w:szCs w:val="19"/>
                <w:color w:val="auto"/>
                <w:w w:val="98"/>
              </w:rPr>
              <w:t>“</w:t>
            </w:r>
            <w:r>
              <w:rPr>
                <w:rFonts w:ascii="Arial" w:cs="Arial" w:eastAsia="Arial" w:hAnsi="Arial"/>
                <w:sz w:val="19"/>
                <w:szCs w:val="19"/>
                <w:i w:val="1"/>
                <w:iCs w:val="1"/>
                <w:color w:val="auto"/>
                <w:w w:val="98"/>
              </w:rPr>
              <w:t>Committee</w:t>
            </w:r>
            <w:r>
              <w:rPr>
                <w:rFonts w:ascii="Arial" w:cs="Arial" w:eastAsia="Arial" w:hAnsi="Arial"/>
                <w:sz w:val="19"/>
                <w:szCs w:val="19"/>
                <w:color w:val="auto"/>
                <w:w w:val="98"/>
              </w:rPr>
              <w:t>” means the Compensation Committee of the Board which has been appointed to</w:t>
            </w:r>
          </w:p>
        </w:tc>
      </w:tr>
      <w:tr>
        <w:trPr>
          <w:trHeight w:val="241"/>
        </w:trPr>
        <w:tc>
          <w:tcPr>
            <w:tcW w:w="3680" w:type="dxa"/>
            <w:vAlign w:val="bottom"/>
          </w:tcPr>
          <w:p>
            <w:pPr>
              <w:ind w:left="880"/>
              <w:spacing w:after="0"/>
              <w:rPr>
                <w:sz w:val="20"/>
                <w:szCs w:val="20"/>
                <w:color w:val="auto"/>
              </w:rPr>
            </w:pPr>
            <w:r>
              <w:rPr>
                <w:rFonts w:ascii="Arial" w:cs="Arial" w:eastAsia="Arial" w:hAnsi="Arial"/>
                <w:sz w:val="19"/>
                <w:szCs w:val="19"/>
                <w:color w:val="auto"/>
              </w:rPr>
              <w:t>administer this Plan.</w:t>
            </w:r>
          </w:p>
        </w:tc>
        <w:tc>
          <w:tcPr>
            <w:tcW w:w="7780" w:type="dxa"/>
            <w:vAlign w:val="bottom"/>
          </w:tcPr>
          <w:p>
            <w:pPr>
              <w:spacing w:after="0"/>
              <w:rPr>
                <w:sz w:val="20"/>
                <w:szCs w:val="20"/>
                <w:color w:val="auto"/>
              </w:rPr>
            </w:pPr>
          </w:p>
        </w:tc>
      </w:tr>
      <w:tr>
        <w:trPr>
          <w:trHeight w:val="418"/>
        </w:trPr>
        <w:tc>
          <w:tcPr>
            <w:tcW w:w="3680" w:type="dxa"/>
            <w:vAlign w:val="bottom"/>
          </w:tcPr>
          <w:p>
            <w:pPr>
              <w:ind w:left="1700"/>
              <w:spacing w:after="0"/>
              <w:rPr>
                <w:sz w:val="20"/>
                <w:szCs w:val="20"/>
                <w:color w:val="auto"/>
              </w:rPr>
            </w:pPr>
            <w:r>
              <w:rPr>
                <w:rFonts w:ascii="Arial" w:cs="Arial" w:eastAsia="Arial" w:hAnsi="Arial"/>
                <w:sz w:val="21"/>
                <w:szCs w:val="21"/>
                <w:color w:val="auto"/>
              </w:rPr>
              <w:t>(e)</w:t>
            </w:r>
          </w:p>
        </w:tc>
        <w:tc>
          <w:tcPr>
            <w:tcW w:w="7780" w:type="dxa"/>
            <w:vAlign w:val="bottom"/>
          </w:tcPr>
          <w:p>
            <w:pPr>
              <w:ind w:left="100"/>
              <w:spacing w:after="0"/>
              <w:rPr>
                <w:sz w:val="20"/>
                <w:szCs w:val="20"/>
                <w:color w:val="auto"/>
              </w:rPr>
            </w:pPr>
            <w:r>
              <w:rPr>
                <w:rFonts w:ascii="Arial" w:cs="Arial" w:eastAsia="Arial" w:hAnsi="Arial"/>
                <w:sz w:val="19"/>
                <w:szCs w:val="19"/>
                <w:color w:val="auto"/>
                <w:w w:val="97"/>
              </w:rPr>
              <w:t>“</w:t>
            </w:r>
            <w:r>
              <w:rPr>
                <w:rFonts w:ascii="Arial" w:cs="Arial" w:eastAsia="Arial" w:hAnsi="Arial"/>
                <w:sz w:val="19"/>
                <w:szCs w:val="19"/>
                <w:i w:val="1"/>
                <w:iCs w:val="1"/>
                <w:color w:val="auto"/>
                <w:w w:val="97"/>
              </w:rPr>
              <w:t>Corporation</w:t>
            </w:r>
            <w:r>
              <w:rPr>
                <w:rFonts w:ascii="Arial" w:cs="Arial" w:eastAsia="Arial" w:hAnsi="Arial"/>
                <w:sz w:val="19"/>
                <w:szCs w:val="19"/>
                <w:color w:val="auto"/>
                <w:w w:val="97"/>
              </w:rPr>
              <w:t>” means Communications Sales &amp; Leasing, Inc., a Maryland corporation, and any</w:t>
            </w:r>
          </w:p>
        </w:tc>
      </w:tr>
      <w:tr>
        <w:trPr>
          <w:trHeight w:val="241"/>
        </w:trPr>
        <w:tc>
          <w:tcPr>
            <w:tcW w:w="3680" w:type="dxa"/>
            <w:vAlign w:val="bottom"/>
          </w:tcPr>
          <w:p>
            <w:pPr>
              <w:ind w:left="880"/>
              <w:spacing w:after="0"/>
              <w:rPr>
                <w:sz w:val="20"/>
                <w:szCs w:val="20"/>
                <w:color w:val="auto"/>
              </w:rPr>
            </w:pPr>
            <w:r>
              <w:rPr>
                <w:rFonts w:ascii="Arial" w:cs="Arial" w:eastAsia="Arial" w:hAnsi="Arial"/>
                <w:sz w:val="19"/>
                <w:szCs w:val="19"/>
                <w:color w:val="auto"/>
                <w:w w:val="94"/>
              </w:rPr>
              <w:t>direct or indirect subsidiary thereof.</w:t>
            </w:r>
          </w:p>
        </w:tc>
        <w:tc>
          <w:tcPr>
            <w:tcW w:w="7780" w:type="dxa"/>
            <w:vAlign w:val="bottom"/>
          </w:tcPr>
          <w:p>
            <w:pPr>
              <w:spacing w:after="0"/>
              <w:rPr>
                <w:sz w:val="20"/>
                <w:szCs w:val="20"/>
                <w:color w:val="auto"/>
              </w:rPr>
            </w:pPr>
          </w:p>
        </w:tc>
      </w:tr>
      <w:tr>
        <w:trPr>
          <w:trHeight w:val="418"/>
        </w:trPr>
        <w:tc>
          <w:tcPr>
            <w:tcW w:w="3680" w:type="dxa"/>
            <w:vAlign w:val="bottom"/>
          </w:tcPr>
          <w:p>
            <w:pPr>
              <w:ind w:left="1700"/>
              <w:spacing w:after="0"/>
              <w:rPr>
                <w:sz w:val="20"/>
                <w:szCs w:val="20"/>
                <w:color w:val="auto"/>
              </w:rPr>
            </w:pPr>
            <w:r>
              <w:rPr>
                <w:rFonts w:ascii="Arial" w:cs="Arial" w:eastAsia="Arial" w:hAnsi="Arial"/>
                <w:sz w:val="21"/>
                <w:szCs w:val="21"/>
                <w:color w:val="auto"/>
              </w:rPr>
              <w:t>(f)</w:t>
            </w:r>
          </w:p>
        </w:tc>
        <w:tc>
          <w:tcPr>
            <w:tcW w:w="7780" w:type="dxa"/>
            <w:vAlign w:val="bottom"/>
          </w:tcPr>
          <w:p>
            <w:pPr>
              <w:ind w:left="8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i w:val="1"/>
                <w:iCs w:val="1"/>
                <w:color w:val="auto"/>
                <w:w w:val="94"/>
              </w:rPr>
              <w:t>Eligible Officer</w:t>
            </w:r>
            <w:r>
              <w:rPr>
                <w:rFonts w:ascii="Arial" w:cs="Arial" w:eastAsia="Arial" w:hAnsi="Arial"/>
                <w:sz w:val="19"/>
                <w:szCs w:val="19"/>
                <w:color w:val="auto"/>
                <w:w w:val="94"/>
              </w:rPr>
              <w:t>” means an officer of the Corporation holding the positions set forth in Section 3 of</w:t>
            </w:r>
          </w:p>
        </w:tc>
      </w:tr>
      <w:tr>
        <w:trPr>
          <w:trHeight w:val="241"/>
        </w:trPr>
        <w:tc>
          <w:tcPr>
            <w:tcW w:w="3680" w:type="dxa"/>
            <w:vAlign w:val="bottom"/>
          </w:tcPr>
          <w:p>
            <w:pPr>
              <w:ind w:left="880"/>
              <w:spacing w:after="0"/>
              <w:rPr>
                <w:sz w:val="20"/>
                <w:szCs w:val="20"/>
                <w:color w:val="auto"/>
              </w:rPr>
            </w:pPr>
            <w:r>
              <w:rPr>
                <w:rFonts w:ascii="Arial" w:cs="Arial" w:eastAsia="Arial" w:hAnsi="Arial"/>
                <w:sz w:val="19"/>
                <w:szCs w:val="19"/>
                <w:color w:val="auto"/>
              </w:rPr>
              <w:t>this Plan.</w:t>
            </w:r>
          </w:p>
        </w:tc>
        <w:tc>
          <w:tcPr>
            <w:tcW w:w="7780" w:type="dxa"/>
            <w:vAlign w:val="bottom"/>
          </w:tcPr>
          <w:p>
            <w:pPr>
              <w:spacing w:after="0"/>
              <w:rPr>
                <w:sz w:val="20"/>
                <w:szCs w:val="20"/>
                <w:color w:val="auto"/>
              </w:rPr>
            </w:pPr>
          </w:p>
        </w:tc>
      </w:tr>
      <w:tr>
        <w:trPr>
          <w:trHeight w:val="418"/>
        </w:trPr>
        <w:tc>
          <w:tcPr>
            <w:tcW w:w="3680" w:type="dxa"/>
            <w:vAlign w:val="bottom"/>
          </w:tcPr>
          <w:p>
            <w:pPr>
              <w:ind w:left="1700"/>
              <w:spacing w:after="0"/>
              <w:rPr>
                <w:sz w:val="20"/>
                <w:szCs w:val="20"/>
                <w:color w:val="auto"/>
              </w:rPr>
            </w:pPr>
            <w:r>
              <w:rPr>
                <w:rFonts w:ascii="Arial" w:cs="Arial" w:eastAsia="Arial" w:hAnsi="Arial"/>
                <w:sz w:val="21"/>
                <w:szCs w:val="21"/>
                <w:color w:val="auto"/>
              </w:rPr>
              <w:t>(g)</w:t>
            </w:r>
          </w:p>
        </w:tc>
        <w:tc>
          <w:tcPr>
            <w:tcW w:w="7780" w:type="dxa"/>
            <w:vAlign w:val="bottom"/>
          </w:tcPr>
          <w:p>
            <w:pPr>
              <w:ind w:left="12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i w:val="1"/>
                <w:iCs w:val="1"/>
                <w:color w:val="auto"/>
                <w:w w:val="96"/>
              </w:rPr>
              <w:t>Employee</w:t>
            </w:r>
            <w:r>
              <w:rPr>
                <w:rFonts w:ascii="Arial" w:cs="Arial" w:eastAsia="Arial" w:hAnsi="Arial"/>
                <w:sz w:val="19"/>
                <w:szCs w:val="19"/>
                <w:color w:val="auto"/>
                <w:w w:val="96"/>
              </w:rPr>
              <w:t>” means an individual who is an employee of the Corporation who is reported on the</w:t>
            </w:r>
          </w:p>
        </w:tc>
      </w:tr>
      <w:tr>
        <w:trPr>
          <w:trHeight w:val="241"/>
        </w:trPr>
        <w:tc>
          <w:tcPr>
            <w:tcW w:w="11460" w:type="dxa"/>
            <w:vAlign w:val="bottom"/>
            <w:gridSpan w:val="2"/>
          </w:tcPr>
          <w:p>
            <w:pPr>
              <w:ind w:left="880"/>
              <w:spacing w:after="0" w:line="219" w:lineRule="exact"/>
              <w:rPr>
                <w:sz w:val="20"/>
                <w:szCs w:val="20"/>
                <w:color w:val="auto"/>
              </w:rPr>
            </w:pPr>
            <w:r>
              <w:rPr>
                <w:rFonts w:ascii="Arial" w:cs="Arial" w:eastAsia="Arial" w:hAnsi="Arial"/>
                <w:sz w:val="19"/>
                <w:szCs w:val="19"/>
                <w:color w:val="auto"/>
              </w:rPr>
              <w:t>payroll records as a common</w:t>
            </w:r>
            <w:r>
              <w:rPr>
                <w:rFonts w:ascii="MS PGothic" w:cs="MS PGothic" w:eastAsia="MS PGothic" w:hAnsi="MS PGothic"/>
                <w:sz w:val="19"/>
                <w:szCs w:val="19"/>
                <w:color w:val="auto"/>
              </w:rPr>
              <w:t>‑</w:t>
            </w:r>
            <w:r>
              <w:rPr>
                <w:rFonts w:ascii="Arial" w:cs="Arial" w:eastAsia="Arial" w:hAnsi="Arial"/>
                <w:sz w:val="19"/>
                <w:szCs w:val="19"/>
                <w:color w:val="auto"/>
              </w:rPr>
              <w:t>law employee.</w:t>
            </w:r>
          </w:p>
        </w:tc>
      </w:tr>
      <w:tr>
        <w:trPr>
          <w:trHeight w:val="445"/>
        </w:trPr>
        <w:tc>
          <w:tcPr>
            <w:tcW w:w="3680" w:type="dxa"/>
            <w:vAlign w:val="bottom"/>
          </w:tcPr>
          <w:p>
            <w:pPr>
              <w:ind w:left="1700"/>
              <w:spacing w:after="0"/>
              <w:rPr>
                <w:sz w:val="20"/>
                <w:szCs w:val="20"/>
                <w:color w:val="auto"/>
              </w:rPr>
            </w:pPr>
            <w:r>
              <w:rPr>
                <w:rFonts w:ascii="Arial" w:cs="Arial" w:eastAsia="Arial" w:hAnsi="Arial"/>
                <w:sz w:val="21"/>
                <w:szCs w:val="21"/>
                <w:color w:val="auto"/>
              </w:rPr>
              <w:t>(h)</w:t>
            </w:r>
          </w:p>
        </w:tc>
        <w:tc>
          <w:tcPr>
            <w:tcW w:w="7780" w:type="dxa"/>
            <w:vAlign w:val="bottom"/>
          </w:tcPr>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this 2017 Short Term Plan of the Corporation.</w:t>
            </w:r>
          </w:p>
        </w:tc>
      </w:tr>
      <w:tr>
        <w:trPr>
          <w:trHeight w:val="202"/>
        </w:trPr>
        <w:tc>
          <w:tcPr>
            <w:tcW w:w="368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53" w:name="page54"/>
    <w:bookmarkEnd w:id="53"/>
    <w:p>
      <w:pPr>
        <w:ind w:left="1700"/>
        <w:spacing w:after="0"/>
        <w:rPr>
          <w:sz w:val="20"/>
          <w:szCs w:val="20"/>
          <w:color w:val="auto"/>
        </w:rPr>
      </w:pPr>
      <w:r>
        <w:rPr>
          <w:rFonts w:ascii="Arial" w:cs="Arial" w:eastAsia="Arial" w:hAnsi="Arial"/>
          <w:sz w:val="21"/>
          <w:szCs w:val="21"/>
          <w:color w:val="auto"/>
        </w:rPr>
        <w:t>(i)</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pursuant to Section 4 of this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Officer</w:t>
      </w:r>
    </w:p>
    <w:p>
      <w:pPr>
        <w:spacing w:after="0" w:line="435" w:lineRule="exact"/>
        <w:rPr>
          <w:sz w:val="20"/>
          <w:szCs w:val="20"/>
          <w:color w:val="auto"/>
        </w:rPr>
      </w:pPr>
    </w:p>
    <w:p>
      <w:pPr>
        <w:sectPr>
          <w:pgSz w:w="11900" w:h="16838" w:orient="portrait"/>
          <w:cols w:equalWidth="0" w:num="2">
            <w:col w:w="3440" w:space="300"/>
            <w:col w:w="7600"/>
          </w:cols>
          <w:pgMar w:left="240" w:top="120" w:right="319" w:bottom="1440" w:gutter="0" w:footer="0" w:header="0"/>
        </w:sectPr>
      </w:pPr>
    </w:p>
    <w:p>
      <w:pPr>
        <w:spacing w:after="0" w:line="10" w:lineRule="exact"/>
        <w:rPr>
          <w:sz w:val="20"/>
          <w:szCs w:val="20"/>
          <w:color w:val="auto"/>
        </w:rPr>
      </w:pPr>
    </w:p>
    <w:p>
      <w:pPr>
        <w:ind w:left="1700"/>
        <w:spacing w:after="0"/>
        <w:tabs>
          <w:tab w:leader="none" w:pos="372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 corporation at least 50% of the total combined voting power of all classes of</w:t>
      </w:r>
    </w:p>
    <w:p>
      <w:pPr>
        <w:sectPr>
          <w:pgSz w:w="11900" w:h="16838" w:orient="portrait"/>
          <w:cols w:equalWidth="0" w:num="1">
            <w:col w:w="11340"/>
          </w:cols>
          <w:pgMar w:left="240" w:top="120" w:right="31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stock which is owned by the Corporation, either directly or through one or more other Subsidiaries.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17"/>
          <w:szCs w:val="17"/>
          <w:b w:val="1"/>
          <w:bCs w:val="1"/>
          <w:color w:val="auto"/>
        </w:rPr>
        <w:t>Administration</w:t>
      </w:r>
      <w:r>
        <w:rPr>
          <w:rFonts w:ascii="Arial" w:cs="Arial" w:eastAsia="Arial" w:hAnsi="Arial"/>
          <w:sz w:val="17"/>
          <w:szCs w:val="17"/>
          <w:color w:val="auto"/>
        </w:rPr>
        <w:t>. This Plan will be administered by the Committee. In addition to any other powers granted to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Committee, the Committee will have the following powers:</w:t>
      </w:r>
    </w:p>
    <w:p>
      <w:pPr>
        <w:sectPr>
          <w:pgSz w:w="11900" w:h="16838" w:orient="portrait"/>
          <w:cols w:equalWidth="0" w:num="1">
            <w:col w:w="11340"/>
          </w:cols>
          <w:pgMar w:left="240" w:top="120" w:right="319" w:bottom="1440" w:gutter="0" w:footer="0" w:header="0"/>
          <w:type w:val="continuous"/>
        </w:sectPr>
      </w:pPr>
    </w:p>
    <w:p>
      <w:pPr>
        <w:spacing w:after="0" w:line="187"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(a)</w:t>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Plan to Eligible Officers;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w:t>
      </w:r>
    </w:p>
    <w:p>
      <w:pPr>
        <w:spacing w:after="0" w:line="435"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spacing w:after="0" w:line="10" w:lineRule="exact"/>
        <w:rPr>
          <w:sz w:val="20"/>
          <w:szCs w:val="20"/>
          <w:color w:val="auto"/>
        </w:rPr>
      </w:pPr>
    </w:p>
    <w:p>
      <w:pPr>
        <w:ind w:left="880" w:right="220" w:firstLine="811"/>
        <w:spacing w:after="0" w:line="239" w:lineRule="exact"/>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to determine whether the performance metrics required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w:t>
      </w:r>
      <w:r>
        <w:rPr>
          <w:rFonts w:ascii="Arial" w:cs="Arial" w:eastAsia="Arial" w:hAnsi="Arial"/>
          <w:sz w:val="21"/>
          <w:szCs w:val="21"/>
          <w:color w:val="auto"/>
        </w:rPr>
        <w:t xml:space="preserve"> </w:t>
      </w:r>
      <w:r>
        <w:rPr>
          <w:rFonts w:ascii="Arial" w:cs="Arial" w:eastAsia="Arial" w:hAnsi="Arial"/>
          <w:sz w:val="18"/>
          <w:szCs w:val="18"/>
          <w:color w:val="auto"/>
        </w:rPr>
        <w:t>have been satisfied and to what extent they have been satisfied;</w:t>
      </w:r>
    </w:p>
    <w:p>
      <w:pPr>
        <w:sectPr>
          <w:pgSz w:w="11900" w:h="16838" w:orient="portrait"/>
          <w:cols w:equalWidth="0" w:num="1">
            <w:col w:w="11340"/>
          </w:cols>
          <w:pgMar w:left="240" w:top="120" w:right="31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construe and interpret this Plan;</w:t>
      </w:r>
    </w:p>
    <w:p>
      <w:pPr>
        <w:spacing w:after="0" w:line="200"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spacing w:after="0" w:line="26" w:lineRule="exact"/>
        <w:rPr>
          <w:sz w:val="20"/>
          <w:szCs w:val="20"/>
          <w:color w:val="auto"/>
        </w:rPr>
      </w:pPr>
    </w:p>
    <w:p>
      <w:pPr>
        <w:ind w:left="1700"/>
        <w:spacing w:after="0" w:line="219" w:lineRule="exact"/>
        <w:tabs>
          <w:tab w:leader="none" w:pos="37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to require, at the time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Bonuses are to be paid, the making of any</w:t>
      </w:r>
    </w:p>
    <w:p>
      <w:pPr>
        <w:sectPr>
          <w:pgSz w:w="11900" w:h="16838" w:orient="portrait"/>
          <w:cols w:equalWidth="0" w:num="1">
            <w:col w:w="11340"/>
          </w:cols>
          <w:pgMar w:left="240" w:top="120" w:right="319" w:bottom="1440" w:gutter="0" w:footer="0" w:header="0"/>
          <w:type w:val="continuous"/>
        </w:sectPr>
      </w:pPr>
    </w:p>
    <w:p>
      <w:pPr>
        <w:spacing w:after="0" w:line="46" w:lineRule="exact"/>
        <w:rPr>
          <w:sz w:val="20"/>
          <w:szCs w:val="20"/>
          <w:color w:val="auto"/>
        </w:rPr>
      </w:pPr>
    </w:p>
    <w:p>
      <w:pPr>
        <w:ind w:left="880" w:right="500"/>
        <w:spacing w:after="0" w:line="237" w:lineRule="auto"/>
        <w:rPr>
          <w:sz w:val="20"/>
          <w:szCs w:val="20"/>
          <w:color w:val="auto"/>
        </w:rPr>
      </w:pPr>
      <w:r>
        <w:rPr>
          <w:rFonts w:ascii="Arial" w:cs="Arial" w:eastAsia="Arial" w:hAnsi="Arial"/>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340"/>
          </w:cols>
          <w:pgMar w:left="240" w:top="120" w:right="319" w:bottom="1440" w:gutter="0" w:footer="0" w:header="0"/>
          <w:type w:val="continuous"/>
        </w:sectPr>
      </w:pPr>
    </w:p>
    <w:p>
      <w:pPr>
        <w:spacing w:after="0" w:line="18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provide for satisfaction of an Eligible Officer’s tax liabilities arising in connection with this Plan;</w:t>
      </w:r>
    </w:p>
    <w:p>
      <w:pPr>
        <w:spacing w:after="0" w:line="51"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1340"/>
          </w:cols>
          <w:pgMar w:left="240" w:top="120" w:right="319" w:bottom="1440" w:gutter="0" w:footer="0" w:header="0"/>
          <w:type w:val="continuous"/>
        </w:sectPr>
      </w:pPr>
    </w:p>
    <w:p>
      <w:pPr>
        <w:spacing w:after="0" w:line="21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administration of this Plan.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to make all other determinations and take all other actions necessary or advisable for the</w:t>
      </w:r>
    </w:p>
    <w:p>
      <w:pPr>
        <w:spacing w:after="0" w:line="435" w:lineRule="exact"/>
        <w:rPr>
          <w:sz w:val="20"/>
          <w:szCs w:val="20"/>
          <w:color w:val="auto"/>
        </w:rPr>
      </w:pPr>
    </w:p>
    <w:p>
      <w:pPr>
        <w:sectPr>
          <w:pgSz w:w="11900" w:h="16838" w:orient="portrait"/>
          <w:cols w:equalWidth="0" w:num="2">
            <w:col w:w="3040" w:space="720"/>
            <w:col w:w="7580"/>
          </w:cols>
          <w:pgMar w:left="240" w:top="120" w:right="319" w:bottom="1440" w:gutter="0" w:footer="0" w:header="0"/>
          <w:type w:val="continuous"/>
        </w:sectPr>
      </w:pPr>
    </w:p>
    <w:p>
      <w:pPr>
        <w:spacing w:after="0" w:line="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197" w:lineRule="exact"/>
        <w:rPr>
          <w:sz w:val="20"/>
          <w:szCs w:val="20"/>
          <w:color w:val="auto"/>
        </w:rPr>
      </w:pPr>
    </w:p>
    <w:p>
      <w:pPr>
        <w:ind w:right="140" w:firstLine="878"/>
        <w:spacing w:after="0" w:line="242" w:lineRule="exact"/>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18"/>
          <w:szCs w:val="18"/>
          <w:b w:val="1"/>
          <w:bCs w:val="1"/>
          <w:color w:val="auto"/>
        </w:rPr>
        <w:t>Eligibility</w:t>
      </w:r>
      <w:r>
        <w:rPr>
          <w:rFonts w:ascii="Arial" w:cs="Arial" w:eastAsia="Arial" w:hAnsi="Arial"/>
          <w:sz w:val="18"/>
          <w:szCs w:val="18"/>
          <w:color w:val="auto"/>
        </w:rPr>
        <w:t>. The individuals holding the following executive officer positions of the Corporation on the Effective Date shall</w:t>
      </w:r>
      <w:r>
        <w:rPr>
          <w:rFonts w:ascii="Arial" w:cs="Arial" w:eastAsia="Arial" w:hAnsi="Arial"/>
          <w:sz w:val="21"/>
          <w:szCs w:val="21"/>
          <w:b w:val="1"/>
          <w:bCs w:val="1"/>
          <w:color w:val="auto"/>
        </w:rPr>
        <w:t xml:space="preserve"> </w:t>
      </w:r>
      <w:r>
        <w:rPr>
          <w:rFonts w:ascii="Arial" w:cs="Arial" w:eastAsia="Arial" w:hAnsi="Arial"/>
          <w:sz w:val="18"/>
          <w:szCs w:val="18"/>
          <w:color w:val="auto"/>
        </w:rPr>
        <w:t>be eligible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under this Plan:</w:t>
      </w:r>
    </w:p>
    <w:p>
      <w:pPr>
        <w:sectPr>
          <w:pgSz w:w="11900" w:h="16838" w:orient="portrait"/>
          <w:cols w:equalWidth="0" w:num="1">
            <w:col w:w="11340"/>
          </w:cols>
          <w:pgMar w:left="240" w:top="120" w:right="31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205" w:lineRule="exact"/>
        <w:rPr>
          <w:sz w:val="20"/>
          <w:szCs w:val="20"/>
          <w:color w:val="auto"/>
        </w:rPr>
      </w:pPr>
    </w:p>
    <w:p>
      <w:pPr>
        <w:sectPr>
          <w:pgSz w:w="11900" w:h="16838" w:orient="portrait"/>
          <w:cols w:equalWidth="0" w:num="2">
            <w:col w:w="3080" w:space="720"/>
            <w:col w:w="7540"/>
          </w:cols>
          <w:pgMar w:left="240" w:top="120" w:right="31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General Counsel;</w:t>
      </w:r>
    </w:p>
    <w:p>
      <w:pPr>
        <w:spacing w:after="0" w:line="200"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 President of Fiber Operations;</w:t>
      </w:r>
    </w:p>
    <w:p>
      <w:pPr>
        <w:spacing w:after="0" w:line="205" w:lineRule="exact"/>
        <w:rPr>
          <w:sz w:val="20"/>
          <w:szCs w:val="20"/>
          <w:color w:val="auto"/>
        </w:rPr>
      </w:pPr>
    </w:p>
    <w:p>
      <w:pPr>
        <w:sectPr>
          <w:pgSz w:w="11900" w:h="16838" w:orient="portrait"/>
          <w:cols w:equalWidth="0" w:num="2">
            <w:col w:w="3080" w:space="720"/>
            <w:col w:w="7540"/>
          </w:cols>
          <w:pgMar w:left="240" w:top="120" w:right="31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President of Tower Operations; and</w:t>
      </w:r>
    </w:p>
    <w:p>
      <w:pPr>
        <w:spacing w:after="0" w:line="200" w:lineRule="exact"/>
        <w:rPr>
          <w:sz w:val="20"/>
          <w:szCs w:val="20"/>
          <w:color w:val="auto"/>
        </w:rPr>
      </w:pPr>
    </w:p>
    <w:p>
      <w:pPr>
        <w:sectPr>
          <w:pgSz w:w="11900" w:h="16838" w:orient="portrait"/>
          <w:cols w:equalWidth="0" w:num="2">
            <w:col w:w="3060" w:space="720"/>
            <w:col w:w="7560"/>
          </w:cols>
          <w:pgMar w:left="240" w:top="120" w:right="31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Chief Technology Officer.</w:t>
      </w:r>
    </w:p>
    <w:p>
      <w:pPr>
        <w:spacing w:after="0" w:line="220" w:lineRule="exact"/>
        <w:rPr>
          <w:sz w:val="20"/>
          <w:szCs w:val="20"/>
          <w:color w:val="auto"/>
        </w:rPr>
      </w:pPr>
    </w:p>
    <w:p>
      <w:pPr>
        <w:sectPr>
          <w:pgSz w:w="11900" w:h="16838" w:orient="portrait"/>
          <w:cols w:equalWidth="0" w:num="2">
            <w:col w:w="3040" w:space="720"/>
            <w:col w:w="7580"/>
          </w:cols>
          <w:pgMar w:left="240" w:top="120" w:right="319" w:bottom="1440" w:gutter="0" w:footer="0" w:header="0"/>
          <w:type w:val="continuous"/>
        </w:sectPr>
      </w:pPr>
    </w:p>
    <w:p>
      <w:pPr>
        <w:ind w:right="100" w:firstLine="878"/>
        <w:spacing w:after="0" w:line="242" w:lineRule="exact"/>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18"/>
          <w:szCs w:val="18"/>
          <w:b w:val="1"/>
          <w:bCs w:val="1"/>
          <w:color w:val="auto"/>
        </w:rPr>
        <w:t>Short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Bonuses</w:t>
      </w:r>
      <w:r>
        <w:rPr>
          <w:rFonts w:ascii="Arial" w:cs="Arial" w:eastAsia="Arial" w:hAnsi="Arial"/>
          <w:sz w:val="18"/>
          <w:szCs w:val="18"/>
          <w:color w:val="auto"/>
        </w:rPr>
        <w:t>.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shall be awarded to the Eligible Officers as set forth in this</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Section 4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Plan. Short-Term Incentive</w:t>
      </w:r>
    </w:p>
    <w:p>
      <w:pPr>
        <w:spacing w:after="0" w:line="182"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color w:val="auto"/>
        </w:rPr>
        <w:t xml:space="preserve">Bonuses shall be payable in cash upon the attainment of the criteria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the Committee shall determine, in its sole discretion.</w:t>
      </w:r>
    </w:p>
    <w:p>
      <w:pPr>
        <w:spacing w:after="0" w:line="220" w:lineRule="exact"/>
        <w:rPr>
          <w:sz w:val="20"/>
          <w:szCs w:val="20"/>
          <w:color w:val="auto"/>
        </w:rPr>
      </w:pPr>
    </w:p>
    <w:p>
      <w:pPr>
        <w:ind w:right="20" w:firstLine="878"/>
        <w:spacing w:after="0" w:line="225" w:lineRule="exact"/>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The Board may amend or terminate this Plan in any respect at any time. Board approval must</w:t>
      </w:r>
      <w:r>
        <w:rPr>
          <w:rFonts w:ascii="Arial" w:cs="Arial" w:eastAsia="Arial" w:hAnsi="Arial"/>
          <w:sz w:val="20"/>
          <w:szCs w:val="20"/>
          <w:b w:val="1"/>
          <w:bCs w:val="1"/>
          <w:color w:val="auto"/>
        </w:rPr>
        <w:t xml:space="preserve"> </w:t>
      </w:r>
      <w:r>
        <w:rPr>
          <w:rFonts w:ascii="Arial" w:cs="Arial" w:eastAsia="Arial" w:hAnsi="Arial"/>
          <w:sz w:val="17"/>
          <w:szCs w:val="17"/>
          <w:color w:val="auto"/>
        </w:rPr>
        <w:t>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Officer approval if the amendment or termination would adversely affect the holder’s rights under any outstanding grants or Awards. The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 provisions may be wholly or partially amended or otherwise modified, suspended or terminated at any time or from time to time by the Committee or the Board. To the extent required by Section 162(m) of the Code with respect to bonus Awards that the Committee determines should qualify as performance</w:t>
      </w:r>
      <w:r>
        <w:rPr>
          <w:rFonts w:ascii="MS PGothic" w:cs="MS PGothic" w:eastAsia="MS PGothic" w:hAnsi="MS PGothic"/>
          <w:sz w:val="17"/>
          <w:szCs w:val="17"/>
          <w:color w:val="auto"/>
        </w:rPr>
        <w:t>‑</w:t>
      </w:r>
      <w:r>
        <w:rPr>
          <w:rFonts w:ascii="Arial" w:cs="Arial" w:eastAsia="Arial" w:hAnsi="Arial"/>
          <w:sz w:val="17"/>
          <w:szCs w:val="17"/>
          <w:color w:val="auto"/>
        </w:rPr>
        <w:t>based compensation as described in Section 162(m)(4)(C), no action may modify the performance criteria or bonus potentials after the commencement of the measurement period with respect to which such bonus Awards relate.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17"/>
          <w:szCs w:val="17"/>
          <w:b w:val="1"/>
          <w:bCs w:val="1"/>
          <w:color w:val="auto"/>
        </w:rPr>
        <w:t>Effectiveness of this Plan</w:t>
      </w:r>
      <w:r>
        <w:rPr>
          <w:rFonts w:ascii="Arial" w:cs="Arial" w:eastAsia="Arial" w:hAnsi="Arial"/>
          <w:sz w:val="17"/>
          <w:szCs w:val="17"/>
          <w:color w:val="auto"/>
        </w:rPr>
        <w:t>. This Plan is effective as of the Effective Date which is the date of adoption of this Plan by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Board.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18"/>
          <w:szCs w:val="18"/>
          <w:b w:val="1"/>
          <w:bCs w:val="1"/>
          <w:color w:val="auto"/>
        </w:rPr>
        <w:t>Term of this Plan</w:t>
      </w:r>
      <w:r>
        <w:rPr>
          <w:rFonts w:ascii="Arial" w:cs="Arial" w:eastAsia="Arial" w:hAnsi="Arial"/>
          <w:sz w:val="18"/>
          <w:szCs w:val="18"/>
          <w:color w:val="auto"/>
        </w:rPr>
        <w:t>. This Plan will terminate on the date all benefits anticipated by this Plan have been paid.</w:t>
      </w:r>
    </w:p>
    <w:p>
      <w:pPr>
        <w:spacing w:after="0" w:line="198" w:lineRule="exact"/>
        <w:rPr>
          <w:sz w:val="20"/>
          <w:szCs w:val="20"/>
          <w:color w:val="auto"/>
        </w:rPr>
      </w:pPr>
    </w:p>
    <w:p>
      <w:pPr>
        <w:ind w:right="40" w:firstLine="878"/>
        <w:spacing w:after="0" w:line="251"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18"/>
          <w:szCs w:val="18"/>
          <w:b w:val="1"/>
          <w:bCs w:val="1"/>
          <w:color w:val="auto"/>
        </w:rPr>
        <w:t>Indemnification of Committee</w:t>
      </w:r>
      <w:r>
        <w:rPr>
          <w:rFonts w:ascii="Arial" w:cs="Arial" w:eastAsia="Arial" w:hAnsi="Arial"/>
          <w:sz w:val="18"/>
          <w:szCs w:val="18"/>
          <w:color w:val="auto"/>
        </w:rPr>
        <w:t>. In addition to such other rights of indemnification as they may have as directors of the</w:t>
      </w:r>
      <w:r>
        <w:rPr>
          <w:rFonts w:ascii="Arial" w:cs="Arial" w:eastAsia="Arial" w:hAnsi="Arial"/>
          <w:sz w:val="21"/>
          <w:szCs w:val="21"/>
          <w:b w:val="1"/>
          <w:bCs w:val="1"/>
          <w:color w:val="auto"/>
        </w:rPr>
        <w:t xml:space="preserve"> </w:t>
      </w:r>
      <w:r>
        <w:rPr>
          <w:rFonts w:ascii="Arial" w:cs="Arial" w:eastAsia="Arial" w:hAnsi="Arial"/>
          <w:sz w:val="18"/>
          <w:szCs w:val="18"/>
          <w:color w:val="auto"/>
        </w:rPr>
        <w:t>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ectPr>
          <w:pgSz w:w="11900" w:h="16838" w:orient="portrait"/>
          <w:cols w:equalWidth="0" w:num="1">
            <w:col w:w="11420"/>
          </w:cols>
          <w:pgMar w:left="240" w:top="124" w:right="239" w:bottom="1440" w:gutter="0" w:footer="0" w:header="0"/>
        </w:sectPr>
      </w:pP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Section 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Provisions</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1740" w:space="100"/>
            <w:col w:w="9580"/>
          </w:cols>
          <w:pgMar w:left="240" w:top="124" w:right="239" w:bottom="1440" w:gutter="0" w:footer="0" w:header="0"/>
          <w:type w:val="continuous"/>
        </w:sectPr>
      </w:pPr>
    </w:p>
    <w:p>
      <w:pPr>
        <w:spacing w:after="0" w:line="38" w:lineRule="exact"/>
        <w:rPr>
          <w:sz w:val="20"/>
          <w:szCs w:val="20"/>
          <w:color w:val="auto"/>
        </w:rPr>
      </w:pPr>
    </w:p>
    <w:p>
      <w:pPr>
        <w:ind w:left="880" w:right="180" w:firstLine="811"/>
        <w:spacing w:after="0" w:line="262" w:lineRule="auto"/>
        <w:rPr>
          <w:sz w:val="20"/>
          <w:szCs w:val="20"/>
          <w:color w:val="auto"/>
        </w:rPr>
      </w:pPr>
      <w:r>
        <w:rPr>
          <w:rFonts w:ascii="Arial" w:cs="Arial" w:eastAsia="Arial" w:hAnsi="Arial"/>
          <w:sz w:val="21"/>
          <w:szCs w:val="21"/>
          <w:color w:val="auto"/>
        </w:rPr>
        <w:t xml:space="preserve">(a) </w:t>
      </w:r>
      <w:r>
        <w:rPr>
          <w:rFonts w:ascii="Arial" w:cs="Arial" w:eastAsia="Arial" w:hAnsi="Arial"/>
          <w:sz w:val="18"/>
          <w:szCs w:val="18"/>
          <w:color w:val="auto"/>
        </w:rPr>
        <w:t>The establishment of this Plan will not confer upon any Eligible Officer or Employee, any legal or</w:t>
      </w:r>
      <w:r>
        <w:rPr>
          <w:rFonts w:ascii="Arial" w:cs="Arial" w:eastAsia="Arial" w:hAnsi="Arial"/>
          <w:sz w:val="21"/>
          <w:szCs w:val="21"/>
          <w:color w:val="auto"/>
        </w:rPr>
        <w:t xml:space="preserve"> </w:t>
      </w:r>
      <w:r>
        <w:rPr>
          <w:rFonts w:ascii="Arial" w:cs="Arial" w:eastAsia="Arial" w:hAnsi="Arial"/>
          <w:sz w:val="18"/>
          <w:szCs w:val="18"/>
          <w:color w:val="auto"/>
        </w:rPr>
        <w:t>equitable right against the Corporation, any Subsidiary or the Committee, except as expressly provided in this Plan or employment agreement of the Eligible Officer, if any.</w:t>
      </w:r>
    </w:p>
    <w:p>
      <w:pPr>
        <w:spacing w:after="0" w:line="163" w:lineRule="exact"/>
        <w:rPr>
          <w:sz w:val="20"/>
          <w:szCs w:val="20"/>
          <w:color w:val="auto"/>
        </w:rPr>
      </w:pPr>
    </w:p>
    <w:p>
      <w:pPr>
        <w:ind w:left="1700"/>
        <w:spacing w:after="0"/>
        <w:tabs>
          <w:tab w:leader="none" w:pos="37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This Plan does not constitute inducement or consideration for the employment of any Employee, nor</w:t>
      </w:r>
    </w:p>
    <w:p>
      <w:pPr>
        <w:sectPr>
          <w:pgSz w:w="11900" w:h="16838" w:orient="portrait"/>
          <w:cols w:equalWidth="0" w:num="1">
            <w:col w:w="11420"/>
          </w:cols>
          <w:pgMar w:left="240" w:top="124" w:right="239" w:bottom="1440" w:gutter="0" w:footer="0" w:header="0"/>
          <w:type w:val="continuous"/>
        </w:sectPr>
      </w:pPr>
    </w:p>
    <w:p>
      <w:pPr>
        <w:spacing w:after="0" w:line="46" w:lineRule="exact"/>
        <w:rPr>
          <w:sz w:val="20"/>
          <w:szCs w:val="20"/>
          <w:color w:val="auto"/>
        </w:rPr>
      </w:pPr>
    </w:p>
    <w:p>
      <w:pPr>
        <w:ind w:left="880" w:right="80"/>
        <w:spacing w:after="0" w:line="291" w:lineRule="auto"/>
        <w:rPr>
          <w:sz w:val="20"/>
          <w:szCs w:val="20"/>
          <w:color w:val="auto"/>
        </w:rPr>
      </w:pPr>
      <w:r>
        <w:rPr>
          <w:rFonts w:ascii="Arial" w:cs="Arial" w:eastAsia="Arial" w:hAnsi="Arial"/>
          <w:sz w:val="17"/>
          <w:szCs w:val="17"/>
          <w:color w:val="auto"/>
        </w:rPr>
        <w:t>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40" w:lineRule="exact"/>
        <w:rPr>
          <w:sz w:val="20"/>
          <w:szCs w:val="20"/>
          <w:color w:val="auto"/>
        </w:rPr>
      </w:pPr>
    </w:p>
    <w:p>
      <w:pPr>
        <w:ind w:left="880" w:right="20" w:firstLine="811"/>
        <w:spacing w:after="0" w:line="274" w:lineRule="auto"/>
        <w:rPr>
          <w:sz w:val="20"/>
          <w:szCs w:val="20"/>
          <w:color w:val="auto"/>
        </w:rPr>
      </w:pPr>
      <w:r>
        <w:rPr>
          <w:rFonts w:ascii="Arial" w:cs="Arial" w:eastAsia="Arial" w:hAnsi="Arial"/>
          <w:sz w:val="21"/>
          <w:szCs w:val="21"/>
          <w:color w:val="auto"/>
        </w:rPr>
        <w:t xml:space="preserve">(c) </w:t>
      </w:r>
      <w:r>
        <w:rPr>
          <w:rFonts w:ascii="Arial" w:cs="Arial" w:eastAsia="Arial" w:hAnsi="Arial"/>
          <w:sz w:val="18"/>
          <w:szCs w:val="18"/>
          <w:color w:val="auto"/>
        </w:rPr>
        <w:t>The interests of any Employee under this Plan are not subject to the claims of creditors and may not,</w:t>
      </w:r>
      <w:r>
        <w:rPr>
          <w:rFonts w:ascii="Arial" w:cs="Arial" w:eastAsia="Arial" w:hAnsi="Arial"/>
          <w:sz w:val="21"/>
          <w:szCs w:val="21"/>
          <w:color w:val="auto"/>
        </w:rPr>
        <w:t xml:space="preserve"> </w:t>
      </w:r>
      <w:r>
        <w:rPr>
          <w:rFonts w:ascii="Arial" w:cs="Arial" w:eastAsia="Arial" w:hAnsi="Arial"/>
          <w:sz w:val="18"/>
          <w:szCs w:val="18"/>
          <w:color w:val="auto"/>
        </w:rPr>
        <w:t>in any way, be assigned, alienated or encumbered except as otherwise provided herein.</w:t>
      </w:r>
    </w:p>
    <w:p>
      <w:pPr>
        <w:spacing w:after="0" w:line="147" w:lineRule="exact"/>
        <w:rPr>
          <w:sz w:val="20"/>
          <w:szCs w:val="20"/>
          <w:color w:val="auto"/>
        </w:rPr>
      </w:pPr>
    </w:p>
    <w:p>
      <w:pPr>
        <w:ind w:left="1700"/>
        <w:spacing w:after="0"/>
        <w:tabs>
          <w:tab w:leader="none" w:pos="37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The Corporation may withhold any federal, state or local taxes required with respect to any</w:t>
      </w:r>
    </w:p>
    <w:p>
      <w:pPr>
        <w:spacing w:after="0" w:line="23" w:lineRule="exact"/>
        <w:rPr>
          <w:sz w:val="20"/>
          <w:szCs w:val="20"/>
          <w:color w:val="auto"/>
        </w:rPr>
      </w:pPr>
    </w:p>
    <w:p>
      <w:pPr>
        <w:ind w:left="880" w:right="280"/>
        <w:spacing w:after="0" w:line="248" w:lineRule="auto"/>
        <w:rPr>
          <w:sz w:val="20"/>
          <w:szCs w:val="20"/>
          <w:color w:val="auto"/>
        </w:rPr>
      </w:pPr>
      <w:r>
        <w:rPr>
          <w:rFonts w:ascii="Arial" w:cs="Arial" w:eastAsia="Arial" w:hAnsi="Arial"/>
          <w:sz w:val="19"/>
          <w:szCs w:val="19"/>
          <w:color w:val="auto"/>
        </w:rPr>
        <w:t>distribution under this Plan. The Employee shall take whatever action the Committee deems appropriate with respect to withholding of taxes, including, but not limited to,</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55" w:name="page56"/>
    <w:bookmarkEnd w:id="55"/>
    <w:p>
      <w:pPr>
        <w:ind w:left="880" w:right="140"/>
        <w:spacing w:after="0" w:line="264" w:lineRule="auto"/>
        <w:rPr>
          <w:sz w:val="20"/>
          <w:szCs w:val="20"/>
          <w:color w:val="auto"/>
        </w:rPr>
      </w:pPr>
      <w:r>
        <w:rPr>
          <w:rFonts w:ascii="Arial" w:cs="Arial" w:eastAsia="Arial" w:hAnsi="Arial"/>
          <w:sz w:val="19"/>
          <w:szCs w:val="19"/>
          <w:color w:val="auto"/>
        </w:rPr>
        <w:t>the Employee remitting to the Corporation any taxes required to be withheld by the Corporation under federal, state or local law as a result of the distribution.</w:t>
      </w:r>
    </w:p>
    <w:p>
      <w:pPr>
        <w:spacing w:after="0" w:line="160" w:lineRule="exact"/>
        <w:rPr>
          <w:sz w:val="20"/>
          <w:szCs w:val="20"/>
          <w:color w:val="auto"/>
        </w:rPr>
      </w:pPr>
    </w:p>
    <w:p>
      <w:pPr>
        <w:ind w:left="880" w:right="600" w:firstLine="811"/>
        <w:spacing w:after="0" w:line="262" w:lineRule="auto"/>
        <w:rPr>
          <w:sz w:val="20"/>
          <w:szCs w:val="20"/>
          <w:color w:val="auto"/>
        </w:rPr>
      </w:pPr>
      <w:r>
        <w:rPr>
          <w:rFonts w:ascii="Arial" w:cs="Arial" w:eastAsia="Arial" w:hAnsi="Arial"/>
          <w:sz w:val="21"/>
          <w:szCs w:val="21"/>
          <w:color w:val="auto"/>
        </w:rPr>
        <w:t xml:space="preserve">(e) </w:t>
      </w:r>
      <w:r>
        <w:rPr>
          <w:rFonts w:ascii="Arial" w:cs="Arial" w:eastAsia="Arial" w:hAnsi="Arial"/>
          <w:sz w:val="18"/>
          <w:szCs w:val="18"/>
          <w:color w:val="auto"/>
        </w:rPr>
        <w:t>Notwithstanding anything contained herein to the contrary, this Plan shall be administered and</w:t>
      </w:r>
      <w:r>
        <w:rPr>
          <w:rFonts w:ascii="Arial" w:cs="Arial" w:eastAsia="Arial" w:hAnsi="Arial"/>
          <w:sz w:val="21"/>
          <w:szCs w:val="21"/>
          <w:color w:val="auto"/>
        </w:rPr>
        <w:t xml:space="preserve"> </w:t>
      </w:r>
      <w:r>
        <w:rPr>
          <w:rFonts w:ascii="Arial" w:cs="Arial" w:eastAsia="Arial" w:hAnsi="Arial"/>
          <w:sz w:val="18"/>
          <w:szCs w:val="18"/>
          <w:color w:val="auto"/>
        </w:rPr>
        <w:t>operated in accordance with any applicable laws and regulations, including, but not limited to, Section 409A of the Code. The Corporation reserves the right to amend this Plan at any time in order for this Plan to comply with any such laws and regulations.</w:t>
      </w:r>
    </w:p>
    <w:p>
      <w:pPr>
        <w:sectPr>
          <w:pgSz w:w="11900" w:h="16838" w:orient="portrait"/>
          <w:cols w:equalWidth="0" w:num="1">
            <w:col w:w="11520"/>
          </w:cols>
          <w:pgMar w:left="240" w:top="124" w:right="139" w:bottom="1440" w:gutter="0" w:footer="0" w:header="0"/>
        </w:sectPr>
      </w:pPr>
    </w:p>
    <w:p>
      <w:pPr>
        <w:spacing w:after="0" w:line="163"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This Plan will be governed, construed and administered in accordance with the laws of Delaware.</w:t>
      </w:r>
    </w:p>
    <w:p>
      <w:pPr>
        <w:spacing w:after="0" w:line="226" w:lineRule="exact"/>
        <w:rPr>
          <w:sz w:val="20"/>
          <w:szCs w:val="20"/>
          <w:color w:val="auto"/>
        </w:rPr>
      </w:pPr>
    </w:p>
    <w:p>
      <w:pPr>
        <w:sectPr>
          <w:pgSz w:w="11900" w:h="16838" w:orient="portrait"/>
          <w:cols w:equalWidth="0" w:num="2">
            <w:col w:w="3040" w:space="720"/>
            <w:col w:w="7760"/>
          </w:cols>
          <w:pgMar w:left="240" w:top="124" w:right="139" w:bottom="1440" w:gutter="0" w:footer="0" w:header="0"/>
          <w:type w:val="continuous"/>
        </w:sectPr>
      </w:pPr>
    </w:p>
    <w:p>
      <w:pPr>
        <w:ind w:left="1700"/>
        <w:spacing w:after="0"/>
        <w:tabs>
          <w:tab w:leader="none" w:pos="378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7"/>
          <w:szCs w:val="17"/>
          <w:color w:val="auto"/>
        </w:rPr>
        <w:t>If any provision of this Plan is held invalid or unenforceable, its invalidity or unenforceability shall</w:t>
      </w:r>
    </w:p>
    <w:p>
      <w:pPr>
        <w:sectPr>
          <w:pgSz w:w="11900" w:h="16838" w:orient="portrait"/>
          <w:cols w:equalWidth="0" w:num="1">
            <w:col w:w="11520"/>
          </w:cols>
          <w:pgMar w:left="240" w:top="124" w:right="1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affect any other provisions of this Plan, and this Plan shall be construed and enforced as if such provision had not been included.</w:t>
      </w:r>
    </w:p>
    <w:p>
      <w:pPr>
        <w:spacing w:after="0" w:line="192" w:lineRule="exact"/>
        <w:rPr>
          <w:sz w:val="20"/>
          <w:szCs w:val="20"/>
          <w:color w:val="auto"/>
        </w:rPr>
      </w:pPr>
    </w:p>
    <w:p>
      <w:pPr>
        <w:ind w:right="10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Board.</w:t>
      </w: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COMMUNICATIONS SALES &amp; LEASING, INC.</w:t>
      </w:r>
    </w:p>
    <w:p>
      <w:pPr>
        <w:spacing w:after="0" w:line="200" w:lineRule="exact"/>
        <w:rPr>
          <w:sz w:val="20"/>
          <w:szCs w:val="20"/>
          <w:color w:val="auto"/>
        </w:rPr>
      </w:pPr>
    </w:p>
    <w:p>
      <w:pPr>
        <w:spacing w:after="0" w:line="220"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9"/>
                <w:szCs w:val="19"/>
                <w:color w:val="auto"/>
              </w:rPr>
              <w:t>/s/</w:t>
            </w:r>
          </w:p>
        </w:tc>
      </w:tr>
      <w:tr>
        <w:trPr>
          <w:trHeight w:val="200"/>
        </w:trPr>
        <w:tc>
          <w:tcPr>
            <w:tcW w:w="5520" w:type="dxa"/>
            <w:vAlign w:val="bottom"/>
            <w:gridSpan w:val="3"/>
          </w:tcPr>
          <w:p>
            <w:pPr>
              <w:spacing w:after="0" w:line="200" w:lineRule="exact"/>
              <w:rPr>
                <w:sz w:val="20"/>
                <w:szCs w:val="20"/>
                <w:color w:val="auto"/>
              </w:rPr>
            </w:pPr>
            <w:r>
              <w:rPr>
                <w:rFonts w:ascii="Arial" w:cs="Arial" w:eastAsia="Arial" w:hAnsi="Arial"/>
                <w:sz w:val="19"/>
                <w:szCs w:val="19"/>
                <w:color w:val="auto"/>
              </w:rPr>
              <w:t>Kenneth A. Gunderman</w:t>
            </w: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9"/>
                <w:szCs w:val="19"/>
                <w:color w:val="auto"/>
              </w:rPr>
              <w:t>Name:</w:t>
            </w:r>
          </w:p>
        </w:tc>
        <w:tc>
          <w:tcPr>
            <w:tcW w:w="4940" w:type="dxa"/>
            <w:vAlign w:val="bottom"/>
            <w:gridSpan w:val="4"/>
          </w:tcPr>
          <w:p>
            <w:pPr>
              <w:ind w:left="360"/>
              <w:spacing w:after="0"/>
              <w:rPr>
                <w:sz w:val="20"/>
                <w:szCs w:val="20"/>
                <w:color w:val="auto"/>
              </w:rPr>
            </w:pPr>
            <w:r>
              <w:rPr>
                <w:rFonts w:ascii="Arial" w:cs="Arial" w:eastAsia="Arial" w:hAnsi="Arial"/>
                <w:sz w:val="19"/>
                <w:szCs w:val="19"/>
                <w:color w:val="auto"/>
              </w:rPr>
              <w:t>Kenneth A. Gunderman</w:t>
            </w:r>
          </w:p>
        </w:tc>
      </w:tr>
      <w:tr>
        <w:trPr>
          <w:trHeight w:val="236"/>
        </w:trPr>
        <w:tc>
          <w:tcPr>
            <w:tcW w:w="860" w:type="dxa"/>
            <w:vAlign w:val="bottom"/>
          </w:tcPr>
          <w:p>
            <w:pPr>
              <w:spacing w:after="0"/>
              <w:rPr>
                <w:sz w:val="20"/>
                <w:szCs w:val="20"/>
                <w:color w:val="auto"/>
              </w:rPr>
            </w:pPr>
            <w:r>
              <w:rPr>
                <w:rFonts w:ascii="Arial" w:cs="Arial" w:eastAsia="Arial" w:hAnsi="Arial"/>
                <w:sz w:val="19"/>
                <w:szCs w:val="19"/>
                <w:color w:val="auto"/>
              </w:rPr>
              <w:t>Title:</w:t>
            </w:r>
          </w:p>
        </w:tc>
        <w:tc>
          <w:tcPr>
            <w:tcW w:w="940" w:type="dxa"/>
            <w:vAlign w:val="bottom"/>
          </w:tcPr>
          <w:p>
            <w:pPr>
              <w:spacing w:after="0"/>
              <w:rPr>
                <w:sz w:val="20"/>
                <w:szCs w:val="20"/>
                <w:color w:val="auto"/>
              </w:rPr>
            </w:pPr>
          </w:p>
        </w:tc>
        <w:tc>
          <w:tcPr>
            <w:tcW w:w="4000" w:type="dxa"/>
            <w:vAlign w:val="bottom"/>
            <w:gridSpan w:val="3"/>
          </w:tcPr>
          <w:p>
            <w:pPr>
              <w:ind w:left="3560"/>
              <w:spacing w:after="0"/>
              <w:rPr>
                <w:sz w:val="20"/>
                <w:szCs w:val="20"/>
                <w:color w:val="auto"/>
              </w:rPr>
            </w:pPr>
            <w:r>
              <w:rPr>
                <w:rFonts w:ascii="Arial" w:cs="Arial" w:eastAsia="Arial" w:hAnsi="Arial"/>
                <w:sz w:val="19"/>
                <w:szCs w:val="19"/>
                <w:color w:val="auto"/>
                <w:w w:val="77"/>
              </w:rPr>
              <w:t>Presid</w:t>
            </w:r>
          </w:p>
        </w:tc>
      </w:tr>
    </w:tbl>
    <w:p>
      <w:pPr>
        <w:ind w:left="5720"/>
        <w:spacing w:after="0"/>
        <w:rPr>
          <w:sz w:val="20"/>
          <w:szCs w:val="20"/>
          <w:color w:val="auto"/>
        </w:rPr>
      </w:pPr>
      <w:r>
        <w:rPr>
          <w:rFonts w:ascii="Arial" w:cs="Arial" w:eastAsia="Arial" w:hAnsi="Arial"/>
          <w:sz w:val="19"/>
          <w:szCs w:val="19"/>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type w:val="continuous"/>
        </w:sectPr>
      </w:pPr>
    </w:p>
    <w:bookmarkStart w:id="56" w:name="page57"/>
    <w:bookmarkEnd w:id="56"/>
    <w:p>
      <w:pPr>
        <w:ind w:left="106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2017 SHORT TERM INCENTIVE PLAN</w:t>
      </w:r>
    </w:p>
    <w:p>
      <w:pPr>
        <w:spacing w:after="0" w:line="200" w:lineRule="exact"/>
        <w:rPr>
          <w:sz w:val="20"/>
          <w:szCs w:val="20"/>
          <w:color w:val="auto"/>
        </w:rPr>
      </w:pPr>
    </w:p>
    <w:p>
      <w:pPr>
        <w:spacing w:after="0" w:line="224" w:lineRule="exact"/>
        <w:rPr>
          <w:sz w:val="20"/>
          <w:szCs w:val="20"/>
          <w:color w:val="auto"/>
        </w:rPr>
      </w:pPr>
    </w:p>
    <w:p>
      <w:pPr>
        <w:ind w:left="1140" w:hanging="1137"/>
        <w:spacing w:after="0"/>
        <w:tabs>
          <w:tab w:leader="none" w:pos="11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CS&amp;L STIP</w:t>
      </w:r>
      <w:r>
        <w:rPr>
          <w:rFonts w:ascii="Arial" w:cs="Arial" w:eastAsia="Arial" w:hAnsi="Arial"/>
          <w:sz w:val="19"/>
          <w:szCs w:val="19"/>
          <w:color w:val="auto"/>
        </w:rPr>
        <w:t>. Vesting based on the following:</w:t>
      </w:r>
    </w:p>
    <w:p>
      <w:pPr>
        <w:spacing w:after="0" w:line="221" w:lineRule="exact"/>
        <w:rPr>
          <w:sz w:val="20"/>
          <w:szCs w:val="20"/>
          <w:color w:val="auto"/>
        </w:rPr>
      </w:pPr>
    </w:p>
    <w:p>
      <w:pPr>
        <w:ind w:left="1120" w:hanging="1117"/>
        <w:spacing w:after="0"/>
        <w:tabs>
          <w:tab w:leader="none" w:pos="11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Consolidated Normalized AFFO per diluted share</w:t>
      </w:r>
      <w:r>
        <w:rPr>
          <w:rFonts w:ascii="Arial" w:cs="Arial" w:eastAsia="Arial" w:hAnsi="Arial"/>
          <w:sz w:val="16"/>
          <w:szCs w:val="16"/>
          <w:color w:val="auto"/>
        </w:rPr>
        <w:t>(1)</w:t>
      </w:r>
      <w:r>
        <w:rPr>
          <w:rFonts w:ascii="Arial" w:cs="Arial" w:eastAsia="Arial" w:hAnsi="Arial"/>
          <w:sz w:val="19"/>
          <w:szCs w:val="19"/>
          <w:color w:val="auto"/>
        </w:rPr>
        <w:t xml:space="preserve"> for 2017 (25% weight):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640" w:type="dxa"/>
            <w:vAlign w:val="bottom"/>
            <w:tcBorders>
              <w:top w:val="single" w:sz="8" w:color="auto"/>
              <w:left w:val="single" w:sz="8" w:color="auto"/>
            </w:tcBorders>
            <w:shd w:val="clear" w:color="auto" w:fill="1F3864"/>
          </w:tcPr>
          <w:p>
            <w:pPr>
              <w:spacing w:after="0"/>
              <w:rPr>
                <w:sz w:val="20"/>
                <w:szCs w:val="20"/>
                <w:color w:val="auto"/>
              </w:rPr>
            </w:pPr>
          </w:p>
        </w:tc>
        <w:tc>
          <w:tcPr>
            <w:tcW w:w="4380" w:type="dxa"/>
            <w:vAlign w:val="bottom"/>
            <w:tcBorders>
              <w:top w:val="single" w:sz="8" w:color="auto"/>
            </w:tcBorders>
            <w:gridSpan w:val="2"/>
            <w:shd w:val="clear" w:color="auto" w:fill="1F3864"/>
          </w:tcPr>
          <w:p>
            <w:pPr>
              <w:ind w:left="880"/>
              <w:spacing w:after="0"/>
              <w:rPr>
                <w:sz w:val="20"/>
                <w:szCs w:val="20"/>
                <w:color w:val="auto"/>
              </w:rPr>
            </w:pPr>
            <w:r>
              <w:rPr>
                <w:rFonts w:ascii="Arial" w:cs="Arial" w:eastAsia="Arial" w:hAnsi="Arial"/>
                <w:sz w:val="19"/>
                <w:szCs w:val="19"/>
                <w:color w:val="auto"/>
              </w:rPr>
              <w:t>Threshold</w:t>
            </w:r>
          </w:p>
        </w:tc>
        <w:tc>
          <w:tcPr>
            <w:tcW w:w="2600" w:type="dxa"/>
            <w:vAlign w:val="bottom"/>
            <w:tcBorders>
              <w:top w:val="single" w:sz="8" w:color="auto"/>
              <w:right w:val="single" w:sz="8" w:color="1F3864"/>
            </w:tcBorders>
            <w:shd w:val="clear" w:color="auto" w:fill="1F3864"/>
          </w:tcPr>
          <w:p>
            <w:pPr>
              <w:ind w:left="440"/>
              <w:spacing w:after="0"/>
              <w:rPr>
                <w:sz w:val="20"/>
                <w:szCs w:val="20"/>
                <w:color w:val="auto"/>
              </w:rPr>
            </w:pPr>
            <w:r>
              <w:rPr>
                <w:rFonts w:ascii="Arial" w:cs="Arial" w:eastAsia="Arial" w:hAnsi="Arial"/>
                <w:sz w:val="19"/>
                <w:szCs w:val="19"/>
                <w:color w:val="auto"/>
              </w:rPr>
              <w:t>Target</w:t>
            </w:r>
          </w:p>
        </w:tc>
        <w:tc>
          <w:tcPr>
            <w:tcW w:w="3820" w:type="dxa"/>
            <w:vAlign w:val="bottom"/>
            <w:tcBorders>
              <w:top w:val="single" w:sz="8" w:color="auto"/>
              <w:right w:val="single" w:sz="8" w:color="auto"/>
            </w:tcBorders>
            <w:shd w:val="clear" w:color="auto" w:fill="1F3864"/>
          </w:tcPr>
          <w:p>
            <w:pPr>
              <w:ind w:left="1560"/>
              <w:spacing w:after="0"/>
              <w:rPr>
                <w:sz w:val="20"/>
                <w:szCs w:val="20"/>
                <w:color w:val="auto"/>
              </w:rPr>
            </w:pPr>
            <w:r>
              <w:rPr>
                <w:rFonts w:ascii="Arial" w:cs="Arial" w:eastAsia="Arial" w:hAnsi="Arial"/>
                <w:sz w:val="19"/>
                <w:szCs w:val="19"/>
                <w:color w:val="auto"/>
              </w:rPr>
              <w:t>Superior</w:t>
            </w:r>
          </w:p>
        </w:tc>
      </w:tr>
      <w:tr>
        <w:trPr>
          <w:trHeight w:val="116"/>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220" w:type="dxa"/>
            <w:vAlign w:val="bottom"/>
            <w:tcBorders>
              <w:bottom w:val="single" w:sz="8" w:color="auto"/>
            </w:tcBorders>
            <w:shd w:val="clear" w:color="auto" w:fill="1F3864"/>
          </w:tcPr>
          <w:p>
            <w:pPr>
              <w:spacing w:after="0"/>
              <w:rPr>
                <w:sz w:val="10"/>
                <w:szCs w:val="10"/>
                <w:color w:val="auto"/>
              </w:rPr>
            </w:pPr>
          </w:p>
        </w:tc>
        <w:tc>
          <w:tcPr>
            <w:tcW w:w="2600" w:type="dxa"/>
            <w:vAlign w:val="bottom"/>
            <w:tcBorders>
              <w:bottom w:val="single" w:sz="8" w:color="auto"/>
              <w:right w:val="single" w:sz="8" w:color="1F3864"/>
            </w:tcBorders>
            <w:shd w:val="clear" w:color="auto" w:fill="1F3864"/>
          </w:tcPr>
          <w:p>
            <w:pPr>
              <w:spacing w:after="0"/>
              <w:rPr>
                <w:sz w:val="10"/>
                <w:szCs w:val="10"/>
                <w:color w:val="auto"/>
              </w:rPr>
            </w:pPr>
          </w:p>
        </w:tc>
        <w:tc>
          <w:tcPr>
            <w:tcW w:w="382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2"/>
              </w:rPr>
              <w:t>$2.59</w:t>
            </w:r>
          </w:p>
        </w:tc>
        <w:tc>
          <w:tcPr>
            <w:tcW w:w="1220" w:type="dxa"/>
            <w:vAlign w:val="bottom"/>
          </w:tcPr>
          <w:p>
            <w:pPr>
              <w:spacing w:after="0"/>
              <w:rPr>
                <w:sz w:val="20"/>
                <w:szCs w:val="20"/>
                <w:color w:val="auto"/>
              </w:rPr>
            </w:pPr>
          </w:p>
        </w:tc>
        <w:tc>
          <w:tcPr>
            <w:tcW w:w="2600" w:type="dxa"/>
            <w:vAlign w:val="bottom"/>
            <w:tcBorders>
              <w:right w:val="single" w:sz="8" w:color="auto"/>
            </w:tcBorders>
          </w:tcPr>
          <w:p>
            <w:pPr>
              <w:jc w:val="center"/>
              <w:ind w:right="1145"/>
              <w:spacing w:after="0"/>
              <w:rPr>
                <w:sz w:val="20"/>
                <w:szCs w:val="20"/>
                <w:color w:val="auto"/>
              </w:rPr>
            </w:pPr>
            <w:r>
              <w:rPr>
                <w:rFonts w:ascii="Arial" w:cs="Arial" w:eastAsia="Arial" w:hAnsi="Arial"/>
                <w:sz w:val="19"/>
                <w:szCs w:val="19"/>
                <w:color w:val="auto"/>
                <w:w w:val="92"/>
              </w:rPr>
              <w:t>$2.61</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$2.65</w:t>
            </w:r>
          </w:p>
        </w:tc>
      </w:tr>
      <w:tr>
        <w:trPr>
          <w:trHeight w:val="121"/>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gridSpan w:val="2"/>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w:t>
            </w:r>
          </w:p>
        </w:tc>
        <w:tc>
          <w:tcPr>
            <w:tcW w:w="6980" w:type="dxa"/>
            <w:vAlign w:val="bottom"/>
            <w:tcBorders>
              <w:bottom w:val="single" w:sz="8" w:color="auto"/>
            </w:tcBorders>
            <w:gridSpan w:val="3"/>
          </w:tcPr>
          <w:p>
            <w:pPr>
              <w:ind w:left="460"/>
              <w:spacing w:after="0"/>
              <w:rPr>
                <w:sz w:val="20"/>
                <w:szCs w:val="20"/>
                <w:color w:val="auto"/>
              </w:rPr>
            </w:pPr>
            <w:r>
              <w:rPr>
                <w:rFonts w:ascii="Arial" w:cs="Arial" w:eastAsia="Arial" w:hAnsi="Arial"/>
                <w:sz w:val="19"/>
                <w:szCs w:val="19"/>
                <w:color w:val="auto"/>
              </w:rPr>
              <w:t>Consolidated 4Q17 Annualized Adjusted EBITDA</w:t>
            </w:r>
            <w:r>
              <w:rPr>
                <w:rFonts w:ascii="Arial" w:cs="Arial" w:eastAsia="Arial" w:hAnsi="Arial"/>
                <w:sz w:val="16"/>
                <w:szCs w:val="16"/>
                <w:color w:val="auto"/>
              </w:rPr>
              <w:t>(2)</w:t>
            </w:r>
            <w:r>
              <w:rPr>
                <w:rFonts w:ascii="Arial" w:cs="Arial" w:eastAsia="Arial" w:hAnsi="Arial"/>
                <w:sz w:val="19"/>
                <w:szCs w:val="19"/>
                <w:color w:val="auto"/>
              </w:rPr>
              <w:t xml:space="preserve"> (25% weight):</w:t>
            </w:r>
          </w:p>
        </w:tc>
        <w:tc>
          <w:tcPr>
            <w:tcW w:w="382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380" w:type="dxa"/>
            <w:vAlign w:val="bottom"/>
            <w:gridSpan w:val="2"/>
            <w:shd w:val="clear" w:color="auto" w:fill="1F3864"/>
          </w:tcPr>
          <w:p>
            <w:pPr>
              <w:ind w:left="880"/>
              <w:spacing w:after="0"/>
              <w:rPr>
                <w:sz w:val="20"/>
                <w:szCs w:val="20"/>
                <w:color w:val="auto"/>
              </w:rPr>
            </w:pPr>
            <w:r>
              <w:rPr>
                <w:rFonts w:ascii="Arial" w:cs="Arial" w:eastAsia="Arial" w:hAnsi="Arial"/>
                <w:sz w:val="19"/>
                <w:szCs w:val="19"/>
                <w:color w:val="auto"/>
              </w:rPr>
              <w:t>Threshold</w:t>
            </w:r>
          </w:p>
        </w:tc>
        <w:tc>
          <w:tcPr>
            <w:tcW w:w="2600" w:type="dxa"/>
            <w:vAlign w:val="bottom"/>
            <w:tcBorders>
              <w:right w:val="single" w:sz="8" w:color="1F3864"/>
            </w:tcBorders>
            <w:shd w:val="clear" w:color="auto" w:fill="1F3864"/>
          </w:tcPr>
          <w:p>
            <w:pPr>
              <w:ind w:left="440"/>
              <w:spacing w:after="0"/>
              <w:rPr>
                <w:sz w:val="20"/>
                <w:szCs w:val="20"/>
                <w:color w:val="auto"/>
              </w:rPr>
            </w:pPr>
            <w:r>
              <w:rPr>
                <w:rFonts w:ascii="Arial" w:cs="Arial" w:eastAsia="Arial" w:hAnsi="Arial"/>
                <w:sz w:val="19"/>
                <w:szCs w:val="19"/>
                <w:color w:val="auto"/>
              </w:rPr>
              <w:t>Target</w:t>
            </w:r>
          </w:p>
        </w:tc>
        <w:tc>
          <w:tcPr>
            <w:tcW w:w="3820" w:type="dxa"/>
            <w:vAlign w:val="bottom"/>
            <w:tcBorders>
              <w:right w:val="single" w:sz="8" w:color="auto"/>
            </w:tcBorders>
            <w:shd w:val="clear" w:color="auto" w:fill="1F3864"/>
          </w:tcPr>
          <w:p>
            <w:pPr>
              <w:ind w:left="1560"/>
              <w:spacing w:after="0"/>
              <w:rPr>
                <w:sz w:val="20"/>
                <w:szCs w:val="20"/>
                <w:color w:val="auto"/>
              </w:rPr>
            </w:pPr>
            <w:r>
              <w:rPr>
                <w:rFonts w:ascii="Arial" w:cs="Arial" w:eastAsia="Arial" w:hAnsi="Arial"/>
                <w:sz w:val="19"/>
                <w:szCs w:val="19"/>
                <w:color w:val="auto"/>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220" w:type="dxa"/>
            <w:vAlign w:val="bottom"/>
            <w:tcBorders>
              <w:bottom w:val="single" w:sz="8" w:color="auto"/>
            </w:tcBorders>
            <w:shd w:val="clear" w:color="auto" w:fill="1F3864"/>
          </w:tcPr>
          <w:p>
            <w:pPr>
              <w:spacing w:after="0"/>
              <w:rPr>
                <w:sz w:val="10"/>
                <w:szCs w:val="10"/>
                <w:color w:val="auto"/>
              </w:rPr>
            </w:pPr>
          </w:p>
        </w:tc>
        <w:tc>
          <w:tcPr>
            <w:tcW w:w="2600" w:type="dxa"/>
            <w:vAlign w:val="bottom"/>
            <w:tcBorders>
              <w:bottom w:val="single" w:sz="8" w:color="auto"/>
              <w:right w:val="single" w:sz="8" w:color="1F3864"/>
            </w:tcBorders>
            <w:shd w:val="clear" w:color="auto" w:fill="1F3864"/>
          </w:tcPr>
          <w:p>
            <w:pPr>
              <w:spacing w:after="0"/>
              <w:rPr>
                <w:sz w:val="10"/>
                <w:szCs w:val="10"/>
                <w:color w:val="auto"/>
              </w:rPr>
            </w:pPr>
          </w:p>
        </w:tc>
        <w:tc>
          <w:tcPr>
            <w:tcW w:w="382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40"/>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b w:val="1"/>
                <w:bCs w:val="1"/>
                <w:color w:val="auto"/>
              </w:rPr>
              <w:t>[**]</w:t>
            </w:r>
          </w:p>
        </w:tc>
        <w:tc>
          <w:tcPr>
            <w:tcW w:w="1220" w:type="dxa"/>
            <w:vAlign w:val="bottom"/>
          </w:tcPr>
          <w:p>
            <w:pPr>
              <w:spacing w:after="0"/>
              <w:rPr>
                <w:sz w:val="20"/>
                <w:szCs w:val="20"/>
                <w:color w:val="auto"/>
              </w:rPr>
            </w:pPr>
          </w:p>
        </w:tc>
        <w:tc>
          <w:tcPr>
            <w:tcW w:w="2600" w:type="dxa"/>
            <w:vAlign w:val="bottom"/>
            <w:tcBorders>
              <w:right w:val="single" w:sz="8" w:color="auto"/>
            </w:tcBorders>
          </w:tcPr>
          <w:p>
            <w:pPr>
              <w:jc w:val="center"/>
              <w:ind w:right="1145"/>
              <w:spacing w:after="0"/>
              <w:rPr>
                <w:sz w:val="20"/>
                <w:szCs w:val="20"/>
                <w:color w:val="auto"/>
              </w:rPr>
            </w:pPr>
            <w:r>
              <w:rPr>
                <w:rFonts w:ascii="Arial" w:cs="Arial" w:eastAsia="Arial" w:hAnsi="Arial"/>
                <w:sz w:val="19"/>
                <w:szCs w:val="19"/>
                <w:b w:val="1"/>
                <w:bCs w:val="1"/>
                <w:color w:val="auto"/>
              </w:rPr>
              <w:t>[**]</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t>
            </w:r>
          </w:p>
        </w:tc>
      </w:tr>
      <w:tr>
        <w:trPr>
          <w:trHeight w:val="339"/>
        </w:trPr>
        <w:tc>
          <w:tcPr>
            <w:tcW w:w="640" w:type="dxa"/>
            <w:vAlign w:val="bottom"/>
            <w:tcBorders>
              <w:left w:val="single" w:sz="8" w:color="auto"/>
            </w:tcBorders>
          </w:tcPr>
          <w:p>
            <w:pPr>
              <w:spacing w:after="0"/>
              <w:rPr>
                <w:sz w:val="24"/>
                <w:szCs w:val="24"/>
                <w:color w:val="auto"/>
              </w:rPr>
            </w:pPr>
          </w:p>
        </w:tc>
        <w:tc>
          <w:tcPr>
            <w:tcW w:w="3160" w:type="dxa"/>
            <w:vAlign w:val="bottom"/>
            <w:tcBorders>
              <w:right w:val="single" w:sz="8" w:color="auto"/>
            </w:tcBorders>
          </w:tcPr>
          <w:p>
            <w:pPr>
              <w:jc w:val="center"/>
              <w:ind w:right="525"/>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color w:val="auto"/>
              </w:rPr>
              <w:t>(3)</w:t>
            </w:r>
          </w:p>
        </w:tc>
        <w:tc>
          <w:tcPr>
            <w:tcW w:w="1220" w:type="dxa"/>
            <w:vAlign w:val="bottom"/>
          </w:tcPr>
          <w:p>
            <w:pPr>
              <w:spacing w:after="0"/>
              <w:rPr>
                <w:sz w:val="24"/>
                <w:szCs w:val="24"/>
                <w:color w:val="auto"/>
              </w:rPr>
            </w:pPr>
          </w:p>
        </w:tc>
        <w:tc>
          <w:tcPr>
            <w:tcW w:w="2600" w:type="dxa"/>
            <w:vAlign w:val="bottom"/>
            <w:tcBorders>
              <w:right w:val="single" w:sz="8" w:color="auto"/>
            </w:tcBorders>
          </w:tcPr>
          <w:p>
            <w:pPr>
              <w:jc w:val="center"/>
              <w:ind w:right="1145"/>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color w:val="auto"/>
              </w:rPr>
              <w:t>(3)</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color w:val="auto"/>
              </w:rPr>
              <w:t>(3)</w:t>
            </w:r>
          </w:p>
        </w:tc>
      </w:tr>
      <w:tr>
        <w:trPr>
          <w:trHeight w:val="125"/>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w:t>
            </w:r>
          </w:p>
        </w:tc>
        <w:tc>
          <w:tcPr>
            <w:tcW w:w="4380" w:type="dxa"/>
            <w:vAlign w:val="bottom"/>
            <w:tcBorders>
              <w:bottom w:val="single" w:sz="8" w:color="auto"/>
            </w:tcBorders>
            <w:gridSpan w:val="2"/>
          </w:tcPr>
          <w:p>
            <w:pPr>
              <w:ind w:left="460"/>
              <w:spacing w:after="0"/>
              <w:rPr>
                <w:sz w:val="20"/>
                <w:szCs w:val="20"/>
                <w:color w:val="auto"/>
              </w:rPr>
            </w:pPr>
            <w:r>
              <w:rPr>
                <w:rFonts w:ascii="Arial" w:cs="Arial" w:eastAsia="Arial" w:hAnsi="Arial"/>
                <w:sz w:val="19"/>
                <w:szCs w:val="19"/>
                <w:color w:val="auto"/>
              </w:rPr>
              <w:t>Capital markets transactions</w:t>
            </w:r>
            <w:r>
              <w:rPr>
                <w:rFonts w:ascii="Arial" w:cs="Arial" w:eastAsia="Arial" w:hAnsi="Arial"/>
                <w:sz w:val="16"/>
                <w:szCs w:val="16"/>
                <w:color w:val="auto"/>
              </w:rPr>
              <w:t>(4)</w:t>
            </w:r>
            <w:r>
              <w:rPr>
                <w:rFonts w:ascii="Arial" w:cs="Arial" w:eastAsia="Arial" w:hAnsi="Arial"/>
                <w:sz w:val="19"/>
                <w:szCs w:val="19"/>
                <w:color w:val="auto"/>
              </w:rPr>
              <w:t xml:space="preserve"> (20% weight):</w:t>
            </w:r>
          </w:p>
        </w:tc>
        <w:tc>
          <w:tcPr>
            <w:tcW w:w="2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380" w:type="dxa"/>
            <w:vAlign w:val="bottom"/>
            <w:gridSpan w:val="2"/>
            <w:shd w:val="clear" w:color="auto" w:fill="1F3864"/>
          </w:tcPr>
          <w:p>
            <w:pPr>
              <w:ind w:left="880"/>
              <w:spacing w:after="0"/>
              <w:rPr>
                <w:sz w:val="20"/>
                <w:szCs w:val="20"/>
                <w:color w:val="auto"/>
              </w:rPr>
            </w:pPr>
            <w:r>
              <w:rPr>
                <w:rFonts w:ascii="Arial" w:cs="Arial" w:eastAsia="Arial" w:hAnsi="Arial"/>
                <w:sz w:val="19"/>
                <w:szCs w:val="19"/>
                <w:color w:val="auto"/>
              </w:rPr>
              <w:t>Threshold</w:t>
            </w:r>
          </w:p>
        </w:tc>
        <w:tc>
          <w:tcPr>
            <w:tcW w:w="2600" w:type="dxa"/>
            <w:vAlign w:val="bottom"/>
            <w:tcBorders>
              <w:right w:val="single" w:sz="8" w:color="1F3864"/>
            </w:tcBorders>
            <w:shd w:val="clear" w:color="auto" w:fill="1F3864"/>
          </w:tcPr>
          <w:p>
            <w:pPr>
              <w:ind w:left="440"/>
              <w:spacing w:after="0"/>
              <w:rPr>
                <w:sz w:val="20"/>
                <w:szCs w:val="20"/>
                <w:color w:val="auto"/>
              </w:rPr>
            </w:pPr>
            <w:r>
              <w:rPr>
                <w:rFonts w:ascii="Arial" w:cs="Arial" w:eastAsia="Arial" w:hAnsi="Arial"/>
                <w:sz w:val="19"/>
                <w:szCs w:val="19"/>
                <w:color w:val="auto"/>
              </w:rPr>
              <w:t>Target</w:t>
            </w:r>
          </w:p>
        </w:tc>
        <w:tc>
          <w:tcPr>
            <w:tcW w:w="3820" w:type="dxa"/>
            <w:vAlign w:val="bottom"/>
            <w:tcBorders>
              <w:right w:val="single" w:sz="8" w:color="auto"/>
            </w:tcBorders>
            <w:shd w:val="clear" w:color="auto" w:fill="1F3864"/>
          </w:tcPr>
          <w:p>
            <w:pPr>
              <w:ind w:left="1560"/>
              <w:spacing w:after="0"/>
              <w:rPr>
                <w:sz w:val="20"/>
                <w:szCs w:val="20"/>
                <w:color w:val="auto"/>
              </w:rPr>
            </w:pPr>
            <w:r>
              <w:rPr>
                <w:rFonts w:ascii="Arial" w:cs="Arial" w:eastAsia="Arial" w:hAnsi="Arial"/>
                <w:sz w:val="19"/>
                <w:szCs w:val="19"/>
                <w:color w:val="auto"/>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220" w:type="dxa"/>
            <w:vAlign w:val="bottom"/>
            <w:tcBorders>
              <w:bottom w:val="single" w:sz="8" w:color="auto"/>
            </w:tcBorders>
            <w:shd w:val="clear" w:color="auto" w:fill="1F3864"/>
          </w:tcPr>
          <w:p>
            <w:pPr>
              <w:spacing w:after="0"/>
              <w:rPr>
                <w:sz w:val="10"/>
                <w:szCs w:val="10"/>
                <w:color w:val="auto"/>
              </w:rPr>
            </w:pPr>
          </w:p>
        </w:tc>
        <w:tc>
          <w:tcPr>
            <w:tcW w:w="2600" w:type="dxa"/>
            <w:vAlign w:val="bottom"/>
            <w:tcBorders>
              <w:bottom w:val="single" w:sz="8" w:color="auto"/>
              <w:right w:val="single" w:sz="8" w:color="1F3864"/>
            </w:tcBorders>
            <w:shd w:val="clear" w:color="auto" w:fill="1F3864"/>
          </w:tcPr>
          <w:p>
            <w:pPr>
              <w:spacing w:after="0"/>
              <w:rPr>
                <w:sz w:val="10"/>
                <w:szCs w:val="10"/>
                <w:color w:val="auto"/>
              </w:rPr>
            </w:pPr>
          </w:p>
        </w:tc>
        <w:tc>
          <w:tcPr>
            <w:tcW w:w="382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40"/>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b w:val="1"/>
                <w:bCs w:val="1"/>
                <w:color w:val="auto"/>
              </w:rPr>
              <w:t>[**]</w:t>
            </w:r>
          </w:p>
        </w:tc>
        <w:tc>
          <w:tcPr>
            <w:tcW w:w="1220" w:type="dxa"/>
            <w:vAlign w:val="bottom"/>
          </w:tcPr>
          <w:p>
            <w:pPr>
              <w:spacing w:after="0"/>
              <w:rPr>
                <w:sz w:val="20"/>
                <w:szCs w:val="20"/>
                <w:color w:val="auto"/>
              </w:rPr>
            </w:pPr>
          </w:p>
        </w:tc>
        <w:tc>
          <w:tcPr>
            <w:tcW w:w="2600" w:type="dxa"/>
            <w:vAlign w:val="bottom"/>
            <w:tcBorders>
              <w:right w:val="single" w:sz="8" w:color="auto"/>
            </w:tcBorders>
          </w:tcPr>
          <w:p>
            <w:pPr>
              <w:jc w:val="center"/>
              <w:ind w:right="1145"/>
              <w:spacing w:after="0"/>
              <w:rPr>
                <w:sz w:val="20"/>
                <w:szCs w:val="20"/>
                <w:color w:val="auto"/>
              </w:rPr>
            </w:pPr>
            <w:r>
              <w:rPr>
                <w:rFonts w:ascii="Arial" w:cs="Arial" w:eastAsia="Arial" w:hAnsi="Arial"/>
                <w:sz w:val="19"/>
                <w:szCs w:val="19"/>
                <w:b w:val="1"/>
                <w:bCs w:val="1"/>
                <w:color w:val="auto"/>
              </w:rPr>
              <w:t>[**]</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t>
            </w:r>
          </w:p>
        </w:tc>
      </w:tr>
      <w:tr>
        <w:trPr>
          <w:trHeight w:val="115"/>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gridSpan w:val="2"/>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w:t>
            </w:r>
          </w:p>
        </w:tc>
        <w:tc>
          <w:tcPr>
            <w:tcW w:w="6980" w:type="dxa"/>
            <w:vAlign w:val="bottom"/>
            <w:tcBorders>
              <w:bottom w:val="single" w:sz="8" w:color="auto"/>
            </w:tcBorders>
            <w:gridSpan w:val="3"/>
          </w:tcPr>
          <w:p>
            <w:pPr>
              <w:ind w:left="480"/>
              <w:spacing w:after="0"/>
              <w:rPr>
                <w:sz w:val="20"/>
                <w:szCs w:val="20"/>
                <w:color w:val="auto"/>
              </w:rPr>
            </w:pPr>
            <w:r>
              <w:rPr>
                <w:rFonts w:ascii="Arial" w:cs="Arial" w:eastAsia="Arial" w:hAnsi="Arial"/>
                <w:sz w:val="19"/>
                <w:szCs w:val="19"/>
                <w:color w:val="auto"/>
                <w:w w:val="98"/>
              </w:rPr>
              <w:t xml:space="preserve">Cumulative revenue </w:t>
            </w:r>
            <w:r>
              <w:rPr>
                <w:rFonts w:ascii="Arial" w:cs="Arial" w:eastAsia="Arial" w:hAnsi="Arial"/>
                <w:sz w:val="19"/>
                <w:szCs w:val="19"/>
                <w:b w:val="1"/>
                <w:bCs w:val="1"/>
                <w:color w:val="auto"/>
                <w:w w:val="98"/>
              </w:rPr>
              <w:t>[**]</w:t>
            </w:r>
            <w:r>
              <w:rPr>
                <w:rFonts w:ascii="Arial" w:cs="Arial" w:eastAsia="Arial" w:hAnsi="Arial"/>
                <w:sz w:val="19"/>
                <w:szCs w:val="19"/>
                <w:color w:val="auto"/>
                <w:w w:val="98"/>
              </w:rPr>
              <w:t xml:space="preserve"> based on 4Q17 Annualized Revenue</w:t>
            </w:r>
            <w:r>
              <w:rPr>
                <w:rFonts w:ascii="Arial" w:cs="Arial" w:eastAsia="Arial" w:hAnsi="Arial"/>
                <w:sz w:val="16"/>
                <w:szCs w:val="16"/>
                <w:color w:val="auto"/>
                <w:w w:val="98"/>
              </w:rPr>
              <w:t>(5)</w:t>
            </w:r>
            <w:r>
              <w:rPr>
                <w:rFonts w:ascii="Arial" w:cs="Arial" w:eastAsia="Arial" w:hAnsi="Arial"/>
                <w:sz w:val="19"/>
                <w:szCs w:val="19"/>
                <w:color w:val="auto"/>
                <w:w w:val="98"/>
              </w:rPr>
              <w:t xml:space="preserve"> (30% weight):</w:t>
            </w:r>
          </w:p>
        </w:tc>
        <w:tc>
          <w:tcPr>
            <w:tcW w:w="382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380" w:type="dxa"/>
            <w:vAlign w:val="bottom"/>
            <w:gridSpan w:val="2"/>
            <w:shd w:val="clear" w:color="auto" w:fill="1F3864"/>
          </w:tcPr>
          <w:p>
            <w:pPr>
              <w:ind w:left="880"/>
              <w:spacing w:after="0"/>
              <w:rPr>
                <w:sz w:val="20"/>
                <w:szCs w:val="20"/>
                <w:color w:val="auto"/>
              </w:rPr>
            </w:pPr>
            <w:r>
              <w:rPr>
                <w:rFonts w:ascii="Arial" w:cs="Arial" w:eastAsia="Arial" w:hAnsi="Arial"/>
                <w:sz w:val="19"/>
                <w:szCs w:val="19"/>
                <w:color w:val="auto"/>
              </w:rPr>
              <w:t>Threshold</w:t>
            </w:r>
          </w:p>
        </w:tc>
        <w:tc>
          <w:tcPr>
            <w:tcW w:w="2600" w:type="dxa"/>
            <w:vAlign w:val="bottom"/>
            <w:tcBorders>
              <w:right w:val="single" w:sz="8" w:color="1F3864"/>
            </w:tcBorders>
            <w:shd w:val="clear" w:color="auto" w:fill="1F3864"/>
          </w:tcPr>
          <w:p>
            <w:pPr>
              <w:ind w:left="440"/>
              <w:spacing w:after="0"/>
              <w:rPr>
                <w:sz w:val="20"/>
                <w:szCs w:val="20"/>
                <w:color w:val="auto"/>
              </w:rPr>
            </w:pPr>
            <w:r>
              <w:rPr>
                <w:rFonts w:ascii="Arial" w:cs="Arial" w:eastAsia="Arial" w:hAnsi="Arial"/>
                <w:sz w:val="19"/>
                <w:szCs w:val="19"/>
                <w:color w:val="auto"/>
              </w:rPr>
              <w:t>Target</w:t>
            </w:r>
          </w:p>
        </w:tc>
        <w:tc>
          <w:tcPr>
            <w:tcW w:w="3820" w:type="dxa"/>
            <w:vAlign w:val="bottom"/>
            <w:tcBorders>
              <w:right w:val="single" w:sz="8" w:color="auto"/>
            </w:tcBorders>
            <w:shd w:val="clear" w:color="auto" w:fill="1F3864"/>
          </w:tcPr>
          <w:p>
            <w:pPr>
              <w:ind w:left="1560"/>
              <w:spacing w:after="0"/>
              <w:rPr>
                <w:sz w:val="20"/>
                <w:szCs w:val="20"/>
                <w:color w:val="auto"/>
              </w:rPr>
            </w:pPr>
            <w:r>
              <w:rPr>
                <w:rFonts w:ascii="Arial" w:cs="Arial" w:eastAsia="Arial" w:hAnsi="Arial"/>
                <w:sz w:val="19"/>
                <w:szCs w:val="19"/>
                <w:color w:val="auto"/>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220" w:type="dxa"/>
            <w:vAlign w:val="bottom"/>
            <w:tcBorders>
              <w:bottom w:val="single" w:sz="8" w:color="auto"/>
            </w:tcBorders>
            <w:shd w:val="clear" w:color="auto" w:fill="1F3864"/>
          </w:tcPr>
          <w:p>
            <w:pPr>
              <w:spacing w:after="0"/>
              <w:rPr>
                <w:sz w:val="10"/>
                <w:szCs w:val="10"/>
                <w:color w:val="auto"/>
              </w:rPr>
            </w:pPr>
          </w:p>
        </w:tc>
        <w:tc>
          <w:tcPr>
            <w:tcW w:w="2600" w:type="dxa"/>
            <w:vAlign w:val="bottom"/>
            <w:tcBorders>
              <w:bottom w:val="single" w:sz="8" w:color="auto"/>
              <w:right w:val="single" w:sz="8" w:color="1F3864"/>
            </w:tcBorders>
            <w:shd w:val="clear" w:color="auto" w:fill="1F3864"/>
          </w:tcPr>
          <w:p>
            <w:pPr>
              <w:spacing w:after="0"/>
              <w:rPr>
                <w:sz w:val="10"/>
                <w:szCs w:val="10"/>
                <w:color w:val="auto"/>
              </w:rPr>
            </w:pPr>
          </w:p>
        </w:tc>
        <w:tc>
          <w:tcPr>
            <w:tcW w:w="382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40"/>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b w:val="1"/>
                <w:bCs w:val="1"/>
                <w:color w:val="auto"/>
              </w:rPr>
              <w:t>[**]</w:t>
            </w:r>
          </w:p>
        </w:tc>
        <w:tc>
          <w:tcPr>
            <w:tcW w:w="1220" w:type="dxa"/>
            <w:vAlign w:val="bottom"/>
          </w:tcPr>
          <w:p>
            <w:pPr>
              <w:spacing w:after="0"/>
              <w:rPr>
                <w:sz w:val="20"/>
                <w:szCs w:val="20"/>
                <w:color w:val="auto"/>
              </w:rPr>
            </w:pPr>
          </w:p>
        </w:tc>
        <w:tc>
          <w:tcPr>
            <w:tcW w:w="2600" w:type="dxa"/>
            <w:vAlign w:val="bottom"/>
            <w:tcBorders>
              <w:right w:val="single" w:sz="8" w:color="auto"/>
            </w:tcBorders>
          </w:tcPr>
          <w:p>
            <w:pPr>
              <w:jc w:val="center"/>
              <w:ind w:right="1145"/>
              <w:spacing w:after="0"/>
              <w:rPr>
                <w:sz w:val="20"/>
                <w:szCs w:val="20"/>
                <w:color w:val="auto"/>
              </w:rPr>
            </w:pPr>
            <w:r>
              <w:rPr>
                <w:rFonts w:ascii="Arial" w:cs="Arial" w:eastAsia="Arial" w:hAnsi="Arial"/>
                <w:sz w:val="19"/>
                <w:szCs w:val="19"/>
                <w:b w:val="1"/>
                <w:bCs w:val="1"/>
                <w:color w:val="auto"/>
              </w:rPr>
              <w:t>[**]</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t>
            </w:r>
          </w:p>
        </w:tc>
      </w:tr>
      <w:tr>
        <w:trPr>
          <w:trHeight w:val="115"/>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r>
    </w:tbl>
    <w:p>
      <w:pPr>
        <w:spacing w:after="0" w:line="203" w:lineRule="exact"/>
        <w:rPr>
          <w:sz w:val="20"/>
          <w:szCs w:val="20"/>
          <w:color w:val="auto"/>
        </w:rPr>
      </w:pPr>
    </w:p>
    <w:p>
      <w:pPr>
        <w:ind w:left="860" w:hanging="857"/>
        <w:spacing w:after="0"/>
        <w:tabs>
          <w:tab w:leader="none" w:pos="8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Payouts for each component will be interpolated between levels. Potential Payouts at each level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11430</wp:posOffset>
            </wp:positionV>
            <wp:extent cx="5718175" cy="500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8175" cy="5003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6"/>
        </w:trPr>
        <w:tc>
          <w:tcPr>
            <w:tcW w:w="2440" w:type="dxa"/>
            <w:vAlign w:val="bottom"/>
            <w:tcBorders>
              <w:top w:val="single" w:sz="8" w:color="auto"/>
              <w:left w:val="single" w:sz="8" w:color="auto"/>
              <w:right w:val="single" w:sz="8" w:color="1F3864"/>
            </w:tcBorders>
            <w:shd w:val="clear" w:color="auto" w:fill="1F3864"/>
          </w:tcPr>
          <w:p>
            <w:pPr>
              <w:jc w:val="center"/>
              <w:spacing w:after="0" w:line="196" w:lineRule="exact"/>
              <w:rPr>
                <w:sz w:val="20"/>
                <w:szCs w:val="20"/>
                <w:color w:val="auto"/>
              </w:rPr>
            </w:pPr>
            <w:r>
              <w:rPr>
                <w:rFonts w:ascii="Arial" w:cs="Arial" w:eastAsia="Arial" w:hAnsi="Arial"/>
                <w:sz w:val="19"/>
                <w:szCs w:val="19"/>
                <w:color w:val="auto"/>
                <w:w w:val="90"/>
              </w:rPr>
              <w:t>Performance Achievement</w:t>
            </w:r>
          </w:p>
        </w:tc>
        <w:tc>
          <w:tcPr>
            <w:tcW w:w="1680" w:type="dxa"/>
            <w:vAlign w:val="bottom"/>
            <w:tcBorders>
              <w:top w:val="single" w:sz="8" w:color="auto"/>
            </w:tcBorders>
            <w:shd w:val="clear" w:color="auto" w:fill="1F3864"/>
          </w:tcPr>
          <w:p>
            <w:pPr>
              <w:spacing w:after="0"/>
              <w:rPr>
                <w:sz w:val="17"/>
                <w:szCs w:val="17"/>
                <w:color w:val="auto"/>
              </w:rPr>
            </w:pPr>
          </w:p>
        </w:tc>
        <w:tc>
          <w:tcPr>
            <w:tcW w:w="3380" w:type="dxa"/>
            <w:vAlign w:val="bottom"/>
            <w:tcBorders>
              <w:top w:val="single" w:sz="8" w:color="auto"/>
            </w:tcBorders>
            <w:gridSpan w:val="3"/>
            <w:shd w:val="clear" w:color="auto" w:fill="1F3864"/>
          </w:tcPr>
          <w:p>
            <w:pPr>
              <w:ind w:left="400"/>
              <w:spacing w:after="0" w:line="196" w:lineRule="exact"/>
              <w:rPr>
                <w:sz w:val="20"/>
                <w:szCs w:val="20"/>
                <w:color w:val="auto"/>
              </w:rPr>
            </w:pPr>
            <w:r>
              <w:rPr>
                <w:rFonts w:ascii="Arial" w:cs="Arial" w:eastAsia="Arial" w:hAnsi="Arial"/>
                <w:sz w:val="19"/>
                <w:szCs w:val="19"/>
                <w:color w:val="FFFFFF"/>
                <w:w w:val="99"/>
              </w:rPr>
              <w:t>Potential as Percent of Base Salary</w:t>
            </w:r>
          </w:p>
        </w:tc>
        <w:tc>
          <w:tcPr>
            <w:tcW w:w="1760" w:type="dxa"/>
            <w:vAlign w:val="bottom"/>
            <w:tcBorders>
              <w:top w:val="single" w:sz="8" w:color="auto"/>
              <w:right w:val="single" w:sz="8" w:color="auto"/>
            </w:tcBorders>
            <w:shd w:val="clear" w:color="auto" w:fill="1F3864"/>
          </w:tcPr>
          <w:p>
            <w:pPr>
              <w:spacing w:after="0"/>
              <w:rPr>
                <w:sz w:val="17"/>
                <w:szCs w:val="17"/>
                <w:color w:val="auto"/>
              </w:rPr>
            </w:pPr>
          </w:p>
        </w:tc>
        <w:tc>
          <w:tcPr>
            <w:tcW w:w="2180" w:type="dxa"/>
            <w:vAlign w:val="bottom"/>
            <w:tcBorders>
              <w:top w:val="single" w:sz="8" w:color="auto"/>
              <w:right w:val="single" w:sz="8" w:color="auto"/>
            </w:tcBorders>
            <w:shd w:val="clear" w:color="auto" w:fill="1F3864"/>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40" w:type="dxa"/>
            <w:vAlign w:val="bottom"/>
            <w:tcBorders>
              <w:left w:val="single" w:sz="8" w:color="auto"/>
              <w:right w:val="single" w:sz="8" w:color="1F3864"/>
            </w:tcBorders>
            <w:shd w:val="clear" w:color="auto" w:fill="1F3864"/>
          </w:tcPr>
          <w:p>
            <w:pPr>
              <w:jc w:val="center"/>
              <w:spacing w:after="0"/>
              <w:rPr>
                <w:sz w:val="20"/>
                <w:szCs w:val="20"/>
                <w:color w:val="auto"/>
              </w:rPr>
            </w:pPr>
            <w:r>
              <w:rPr>
                <w:rFonts w:ascii="Arial" w:cs="Arial" w:eastAsia="Arial" w:hAnsi="Arial"/>
                <w:sz w:val="19"/>
                <w:szCs w:val="19"/>
                <w:color w:val="auto"/>
                <w:w w:val="96"/>
              </w:rPr>
              <w:t>Level</w:t>
            </w:r>
          </w:p>
        </w:tc>
        <w:tc>
          <w:tcPr>
            <w:tcW w:w="1680" w:type="dxa"/>
            <w:vAlign w:val="bottom"/>
            <w:vMerge w:val="restart"/>
            <w:shd w:val="clear" w:color="auto" w:fill="1F3864"/>
          </w:tcPr>
          <w:p>
            <w:pPr>
              <w:ind w:left="860"/>
              <w:spacing w:after="0"/>
              <w:rPr>
                <w:sz w:val="20"/>
                <w:szCs w:val="20"/>
                <w:color w:val="auto"/>
              </w:rPr>
            </w:pPr>
            <w:r>
              <w:rPr>
                <w:rFonts w:ascii="Arial" w:cs="Arial" w:eastAsia="Arial" w:hAnsi="Arial"/>
                <w:sz w:val="19"/>
                <w:szCs w:val="19"/>
                <w:color w:val="FFFFFF"/>
              </w:rPr>
              <w:t>CEO</w:t>
            </w:r>
          </w:p>
        </w:tc>
        <w:tc>
          <w:tcPr>
            <w:tcW w:w="460" w:type="dxa"/>
            <w:vAlign w:val="bottom"/>
            <w:tcBorders>
              <w:right w:val="single" w:sz="8" w:color="1F3864"/>
            </w:tcBorders>
            <w:shd w:val="clear" w:color="auto" w:fill="1F3864"/>
          </w:tcPr>
          <w:p>
            <w:pPr>
              <w:spacing w:after="0"/>
              <w:rPr>
                <w:sz w:val="20"/>
                <w:szCs w:val="20"/>
                <w:color w:val="auto"/>
              </w:rPr>
            </w:pPr>
          </w:p>
        </w:tc>
        <w:tc>
          <w:tcPr>
            <w:tcW w:w="2920" w:type="dxa"/>
            <w:vAlign w:val="bottom"/>
            <w:gridSpan w:val="2"/>
            <w:vMerge w:val="restart"/>
            <w:shd w:val="clear" w:color="auto" w:fill="1F3864"/>
          </w:tcPr>
          <w:p>
            <w:pPr>
              <w:ind w:left="960"/>
              <w:spacing w:after="0"/>
              <w:rPr>
                <w:sz w:val="20"/>
                <w:szCs w:val="20"/>
                <w:color w:val="auto"/>
              </w:rPr>
            </w:pPr>
            <w:r>
              <w:rPr>
                <w:rFonts w:ascii="Arial" w:cs="Arial" w:eastAsia="Arial" w:hAnsi="Arial"/>
                <w:sz w:val="19"/>
                <w:szCs w:val="19"/>
                <w:color w:val="FFFFFF"/>
              </w:rPr>
              <w:t>CFO</w:t>
            </w:r>
          </w:p>
        </w:tc>
        <w:tc>
          <w:tcPr>
            <w:tcW w:w="1760" w:type="dxa"/>
            <w:vAlign w:val="bottom"/>
            <w:tcBorders>
              <w:right w:val="single" w:sz="8" w:color="auto"/>
            </w:tcBorders>
            <w:vMerge w:val="restart"/>
            <w:shd w:val="clear" w:color="auto" w:fill="1F3864"/>
          </w:tcPr>
          <w:p>
            <w:pPr>
              <w:ind w:left="440"/>
              <w:spacing w:after="0"/>
              <w:rPr>
                <w:sz w:val="20"/>
                <w:szCs w:val="20"/>
                <w:color w:val="auto"/>
              </w:rPr>
            </w:pPr>
            <w:r>
              <w:rPr>
                <w:rFonts w:ascii="Arial" w:cs="Arial" w:eastAsia="Arial" w:hAnsi="Arial"/>
                <w:sz w:val="19"/>
                <w:szCs w:val="19"/>
                <w:color w:val="FFFFFF"/>
              </w:rPr>
              <w:t>GC</w:t>
            </w:r>
          </w:p>
        </w:tc>
        <w:tc>
          <w:tcPr>
            <w:tcW w:w="2180" w:type="dxa"/>
            <w:vAlign w:val="bottom"/>
            <w:tcBorders>
              <w:right w:val="single" w:sz="8" w:color="auto"/>
            </w:tcBorders>
            <w:vMerge w:val="restart"/>
            <w:shd w:val="clear" w:color="auto" w:fill="1F3864"/>
          </w:tcPr>
          <w:p>
            <w:pPr>
              <w:ind w:left="880"/>
              <w:spacing w:after="0"/>
              <w:rPr>
                <w:sz w:val="20"/>
                <w:szCs w:val="20"/>
                <w:color w:val="auto"/>
              </w:rPr>
            </w:pPr>
            <w:r>
              <w:rPr>
                <w:rFonts w:ascii="Arial" w:cs="Arial" w:eastAsia="Arial" w:hAnsi="Arial"/>
                <w:sz w:val="19"/>
                <w:szCs w:val="19"/>
                <w:color w:val="FFFFFF"/>
              </w:rPr>
              <w:t>CTO</w:t>
            </w:r>
          </w:p>
        </w:tc>
        <w:tc>
          <w:tcPr>
            <w:tcW w:w="0" w:type="dxa"/>
            <w:vAlign w:val="bottom"/>
          </w:tcPr>
          <w:p>
            <w:pPr>
              <w:spacing w:after="0"/>
              <w:rPr>
                <w:sz w:val="1"/>
                <w:szCs w:val="1"/>
                <w:color w:val="auto"/>
              </w:rPr>
            </w:pPr>
          </w:p>
        </w:tc>
      </w:tr>
      <w:tr>
        <w:trPr>
          <w:trHeight w:val="168"/>
        </w:trPr>
        <w:tc>
          <w:tcPr>
            <w:tcW w:w="2440" w:type="dxa"/>
            <w:vAlign w:val="bottom"/>
            <w:tcBorders>
              <w:left w:val="single" w:sz="8" w:color="auto"/>
              <w:right w:val="single" w:sz="8" w:color="1F3864"/>
            </w:tcBorders>
            <w:shd w:val="clear" w:color="auto" w:fill="1F3864"/>
          </w:tcPr>
          <w:p>
            <w:pPr>
              <w:spacing w:after="0"/>
              <w:rPr>
                <w:sz w:val="14"/>
                <w:szCs w:val="14"/>
                <w:color w:val="auto"/>
              </w:rPr>
            </w:pPr>
          </w:p>
        </w:tc>
        <w:tc>
          <w:tcPr>
            <w:tcW w:w="1680" w:type="dxa"/>
            <w:vAlign w:val="bottom"/>
            <w:vMerge w:val="continue"/>
            <w:shd w:val="clear" w:color="auto" w:fill="1F3864"/>
          </w:tcPr>
          <w:p>
            <w:pPr>
              <w:spacing w:after="0"/>
              <w:rPr>
                <w:sz w:val="14"/>
                <w:szCs w:val="14"/>
                <w:color w:val="auto"/>
              </w:rPr>
            </w:pPr>
          </w:p>
        </w:tc>
        <w:tc>
          <w:tcPr>
            <w:tcW w:w="460" w:type="dxa"/>
            <w:vAlign w:val="bottom"/>
            <w:tcBorders>
              <w:right w:val="single" w:sz="8" w:color="1F3864"/>
            </w:tcBorders>
            <w:shd w:val="clear" w:color="auto" w:fill="1F3864"/>
          </w:tcPr>
          <w:p>
            <w:pPr>
              <w:spacing w:after="0"/>
              <w:rPr>
                <w:sz w:val="14"/>
                <w:szCs w:val="14"/>
                <w:color w:val="auto"/>
              </w:rPr>
            </w:pPr>
          </w:p>
        </w:tc>
        <w:tc>
          <w:tcPr>
            <w:tcW w:w="2920" w:type="dxa"/>
            <w:vAlign w:val="bottom"/>
            <w:gridSpan w:val="2"/>
            <w:vMerge w:val="continue"/>
            <w:shd w:val="clear" w:color="auto" w:fill="1F3864"/>
          </w:tcPr>
          <w:p>
            <w:pPr>
              <w:spacing w:after="0"/>
              <w:rPr>
                <w:sz w:val="14"/>
                <w:szCs w:val="14"/>
                <w:color w:val="auto"/>
              </w:rPr>
            </w:pPr>
          </w:p>
        </w:tc>
        <w:tc>
          <w:tcPr>
            <w:tcW w:w="1760" w:type="dxa"/>
            <w:vAlign w:val="bottom"/>
            <w:tcBorders>
              <w:right w:val="single" w:sz="8" w:color="auto"/>
            </w:tcBorders>
            <w:vMerge w:val="continue"/>
            <w:shd w:val="clear" w:color="auto" w:fill="1F3864"/>
          </w:tcPr>
          <w:p>
            <w:pPr>
              <w:spacing w:after="0"/>
              <w:rPr>
                <w:sz w:val="14"/>
                <w:szCs w:val="14"/>
                <w:color w:val="auto"/>
              </w:rPr>
            </w:pPr>
          </w:p>
        </w:tc>
        <w:tc>
          <w:tcPr>
            <w:tcW w:w="2180" w:type="dxa"/>
            <w:vAlign w:val="bottom"/>
            <w:tcBorders>
              <w:right w:val="single" w:sz="8" w:color="auto"/>
            </w:tcBorders>
            <w:vMerge w:val="continue"/>
            <w:shd w:val="clear" w:color="auto" w:fill="1F386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tcBorders>
              <w:left w:val="single" w:sz="8" w:color="auto"/>
              <w:bottom w:val="single" w:sz="8" w:color="auto"/>
              <w:right w:val="single" w:sz="8" w:color="1F3864"/>
            </w:tcBorders>
            <w:shd w:val="clear" w:color="auto" w:fill="1F3864"/>
          </w:tcPr>
          <w:p>
            <w:pPr>
              <w:spacing w:after="0"/>
              <w:rPr>
                <w:sz w:val="13"/>
                <w:szCs w:val="13"/>
                <w:color w:val="auto"/>
              </w:rPr>
            </w:pPr>
          </w:p>
        </w:tc>
        <w:tc>
          <w:tcPr>
            <w:tcW w:w="1680" w:type="dxa"/>
            <w:vAlign w:val="bottom"/>
            <w:tcBorders>
              <w:bottom w:val="single" w:sz="8" w:color="auto"/>
            </w:tcBorders>
            <w:shd w:val="clear" w:color="auto" w:fill="1F3864"/>
          </w:tcPr>
          <w:p>
            <w:pPr>
              <w:spacing w:after="0"/>
              <w:rPr>
                <w:sz w:val="13"/>
                <w:szCs w:val="13"/>
                <w:color w:val="auto"/>
              </w:rPr>
            </w:pPr>
          </w:p>
        </w:tc>
        <w:tc>
          <w:tcPr>
            <w:tcW w:w="460" w:type="dxa"/>
            <w:vAlign w:val="bottom"/>
            <w:tcBorders>
              <w:bottom w:val="single" w:sz="8" w:color="auto"/>
              <w:right w:val="single" w:sz="8" w:color="1F3864"/>
            </w:tcBorders>
            <w:shd w:val="clear" w:color="auto" w:fill="1F3864"/>
          </w:tcPr>
          <w:p>
            <w:pPr>
              <w:spacing w:after="0"/>
              <w:rPr>
                <w:sz w:val="13"/>
                <w:szCs w:val="13"/>
                <w:color w:val="auto"/>
              </w:rPr>
            </w:pPr>
          </w:p>
        </w:tc>
        <w:tc>
          <w:tcPr>
            <w:tcW w:w="2320" w:type="dxa"/>
            <w:vAlign w:val="bottom"/>
            <w:tcBorders>
              <w:bottom w:val="single" w:sz="8" w:color="auto"/>
              <w:right w:val="single" w:sz="8" w:color="1F3864"/>
            </w:tcBorders>
            <w:shd w:val="clear" w:color="auto" w:fill="1F3864"/>
          </w:tcPr>
          <w:p>
            <w:pPr>
              <w:spacing w:after="0"/>
              <w:rPr>
                <w:sz w:val="13"/>
                <w:szCs w:val="13"/>
                <w:color w:val="auto"/>
              </w:rPr>
            </w:pPr>
          </w:p>
        </w:tc>
        <w:tc>
          <w:tcPr>
            <w:tcW w:w="600" w:type="dxa"/>
            <w:vAlign w:val="bottom"/>
            <w:tcBorders>
              <w:bottom w:val="single" w:sz="8" w:color="auto"/>
            </w:tcBorders>
            <w:shd w:val="clear" w:color="auto" w:fill="1F3864"/>
          </w:tcPr>
          <w:p>
            <w:pPr>
              <w:spacing w:after="0"/>
              <w:rPr>
                <w:sz w:val="13"/>
                <w:szCs w:val="13"/>
                <w:color w:val="auto"/>
              </w:rPr>
            </w:pPr>
          </w:p>
        </w:tc>
        <w:tc>
          <w:tcPr>
            <w:tcW w:w="1760" w:type="dxa"/>
            <w:vAlign w:val="bottom"/>
            <w:tcBorders>
              <w:bottom w:val="single" w:sz="8" w:color="auto"/>
              <w:right w:val="single" w:sz="8" w:color="auto"/>
            </w:tcBorders>
            <w:shd w:val="clear" w:color="auto" w:fill="1F3864"/>
          </w:tcPr>
          <w:p>
            <w:pPr>
              <w:spacing w:after="0"/>
              <w:rPr>
                <w:sz w:val="13"/>
                <w:szCs w:val="13"/>
                <w:color w:val="auto"/>
              </w:rPr>
            </w:pPr>
          </w:p>
        </w:tc>
        <w:tc>
          <w:tcPr>
            <w:tcW w:w="2180" w:type="dxa"/>
            <w:vAlign w:val="bottom"/>
            <w:tcBorders>
              <w:bottom w:val="single" w:sz="8" w:color="auto"/>
              <w:right w:val="single" w:sz="8" w:color="auto"/>
            </w:tcBorders>
            <w:shd w:val="clear" w:color="auto" w:fill="1F386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Threshold</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4"/>
              </w:rPr>
              <w:t>75%</w:t>
            </w:r>
          </w:p>
        </w:tc>
        <w:tc>
          <w:tcPr>
            <w:tcW w:w="4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50%</w:t>
            </w:r>
          </w:p>
        </w:tc>
        <w:tc>
          <w:tcPr>
            <w:tcW w:w="600" w:type="dxa"/>
            <w:vAlign w:val="bottom"/>
          </w:tcPr>
          <w:p>
            <w:pPr>
              <w:spacing w:after="0"/>
              <w:rPr>
                <w:sz w:val="20"/>
                <w:szCs w:val="20"/>
                <w:color w:val="auto"/>
              </w:rPr>
            </w:pPr>
          </w:p>
        </w:tc>
        <w:tc>
          <w:tcPr>
            <w:tcW w:w="1760" w:type="dxa"/>
            <w:vAlign w:val="bottom"/>
            <w:tcBorders>
              <w:right w:val="single" w:sz="8" w:color="auto"/>
            </w:tcBorders>
          </w:tcPr>
          <w:p>
            <w:pPr>
              <w:jc w:val="center"/>
              <w:ind w:right="525"/>
              <w:spacing w:after="0"/>
              <w:rPr>
                <w:sz w:val="20"/>
                <w:szCs w:val="20"/>
                <w:color w:val="auto"/>
              </w:rPr>
            </w:pPr>
            <w:r>
              <w:rPr>
                <w:rFonts w:ascii="Arial" w:cs="Arial" w:eastAsia="Arial" w:hAnsi="Arial"/>
                <w:sz w:val="19"/>
                <w:szCs w:val="19"/>
                <w:color w:val="auto"/>
                <w:w w:val="89"/>
              </w:rPr>
              <w:t>50%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35%</w:t>
            </w:r>
          </w:p>
        </w:tc>
        <w:tc>
          <w:tcPr>
            <w:tcW w:w="0" w:type="dxa"/>
            <w:vAlign w:val="bottom"/>
          </w:tcPr>
          <w:p>
            <w:pPr>
              <w:spacing w:after="0"/>
              <w:rPr>
                <w:sz w:val="1"/>
                <w:szCs w:val="1"/>
                <w:color w:val="auto"/>
              </w:rPr>
            </w:pPr>
          </w:p>
        </w:tc>
      </w:tr>
      <w:tr>
        <w:trPr>
          <w:trHeight w:val="345"/>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Target</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0"/>
              </w:rPr>
              <w:t>150%</w:t>
            </w:r>
          </w:p>
        </w:tc>
        <w:tc>
          <w:tcPr>
            <w:tcW w:w="4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100%</w:t>
            </w:r>
          </w:p>
        </w:tc>
        <w:tc>
          <w:tcPr>
            <w:tcW w:w="600" w:type="dxa"/>
            <w:vAlign w:val="bottom"/>
          </w:tcPr>
          <w:p>
            <w:pPr>
              <w:spacing w:after="0"/>
              <w:rPr>
                <w:sz w:val="24"/>
                <w:szCs w:val="24"/>
                <w:color w:val="auto"/>
              </w:rPr>
            </w:pPr>
          </w:p>
        </w:tc>
        <w:tc>
          <w:tcPr>
            <w:tcW w:w="1760" w:type="dxa"/>
            <w:vAlign w:val="bottom"/>
            <w:tcBorders>
              <w:right w:val="single" w:sz="8" w:color="auto"/>
            </w:tcBorders>
          </w:tcPr>
          <w:p>
            <w:pPr>
              <w:jc w:val="center"/>
              <w:ind w:right="505"/>
              <w:spacing w:after="0"/>
              <w:rPr>
                <w:sz w:val="20"/>
                <w:szCs w:val="20"/>
                <w:color w:val="auto"/>
              </w:rPr>
            </w:pPr>
            <w:r>
              <w:rPr>
                <w:rFonts w:ascii="Arial" w:cs="Arial" w:eastAsia="Arial" w:hAnsi="Arial"/>
                <w:sz w:val="19"/>
                <w:szCs w:val="19"/>
                <w:color w:val="auto"/>
                <w:w w:val="90"/>
              </w:rPr>
              <w:t>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70%</w:t>
            </w:r>
          </w:p>
        </w:tc>
        <w:tc>
          <w:tcPr>
            <w:tcW w:w="0" w:type="dxa"/>
            <w:vAlign w:val="bottom"/>
          </w:tcPr>
          <w:p>
            <w:pPr>
              <w:spacing w:after="0"/>
              <w:rPr>
                <w:sz w:val="1"/>
                <w:szCs w:val="1"/>
                <w:color w:val="auto"/>
              </w:rPr>
            </w:pPr>
          </w:p>
        </w:tc>
      </w:tr>
      <w:tr>
        <w:trPr>
          <w:trHeight w:val="349"/>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Superior</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0"/>
              </w:rPr>
              <w:t>225%</w:t>
            </w:r>
          </w:p>
        </w:tc>
        <w:tc>
          <w:tcPr>
            <w:tcW w:w="4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150%</w:t>
            </w:r>
          </w:p>
        </w:tc>
        <w:tc>
          <w:tcPr>
            <w:tcW w:w="600" w:type="dxa"/>
            <w:vAlign w:val="bottom"/>
          </w:tcPr>
          <w:p>
            <w:pPr>
              <w:spacing w:after="0"/>
              <w:rPr>
                <w:sz w:val="24"/>
                <w:szCs w:val="24"/>
                <w:color w:val="auto"/>
              </w:rPr>
            </w:pPr>
          </w:p>
        </w:tc>
        <w:tc>
          <w:tcPr>
            <w:tcW w:w="1760" w:type="dxa"/>
            <w:vAlign w:val="bottom"/>
            <w:tcBorders>
              <w:right w:val="single" w:sz="8" w:color="auto"/>
            </w:tcBorders>
          </w:tcPr>
          <w:p>
            <w:pPr>
              <w:jc w:val="center"/>
              <w:ind w:right="505"/>
              <w:spacing w:after="0"/>
              <w:rPr>
                <w:sz w:val="20"/>
                <w:szCs w:val="20"/>
                <w:color w:val="auto"/>
              </w:rPr>
            </w:pPr>
            <w:r>
              <w:rPr>
                <w:rFonts w:ascii="Arial" w:cs="Arial" w:eastAsia="Arial" w:hAnsi="Arial"/>
                <w:sz w:val="19"/>
                <w:szCs w:val="19"/>
                <w:color w:val="auto"/>
                <w:w w:val="90"/>
              </w:rPr>
              <w:t>150%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105%</w:t>
            </w:r>
          </w:p>
        </w:tc>
        <w:tc>
          <w:tcPr>
            <w:tcW w:w="0" w:type="dxa"/>
            <w:vAlign w:val="bottom"/>
          </w:tcPr>
          <w:p>
            <w:pPr>
              <w:spacing w:after="0"/>
              <w:rPr>
                <w:sz w:val="1"/>
                <w:szCs w:val="1"/>
                <w:color w:val="auto"/>
              </w:rPr>
            </w:pPr>
          </w:p>
        </w:tc>
      </w:tr>
      <w:tr>
        <w:trPr>
          <w:trHeight w:val="144"/>
        </w:trPr>
        <w:tc>
          <w:tcPr>
            <w:tcW w:w="244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ind w:left="437" w:hanging="437"/>
        <w:spacing w:after="0"/>
        <w:tabs>
          <w:tab w:leader="none" w:pos="437" w:val="left"/>
        </w:tabs>
        <w:numPr>
          <w:ilvl w:val="0"/>
          <w:numId w:val="2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3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8255"/>
                    </a:xfrm>
                    <a:prstGeom prst="rect">
                      <a:avLst/>
                    </a:prstGeom>
                    <a:noFill/>
                  </pic:spPr>
                </pic:pic>
              </a:graphicData>
            </a:graphic>
          </wp:anchor>
        </w:drawing>
        <w:t>Excludes future M&amp;A and capital markets transactions consistent with guidance.</w:t>
      </w:r>
    </w:p>
    <w:p>
      <w:pPr>
        <w:spacing w:after="0" w:line="22" w:lineRule="exact"/>
        <w:rPr>
          <w:rFonts w:ascii="Arial" w:cs="Arial" w:eastAsia="Arial" w:hAnsi="Arial"/>
          <w:sz w:val="19"/>
          <w:szCs w:val="19"/>
          <w:color w:val="auto"/>
        </w:rPr>
      </w:pPr>
    </w:p>
    <w:p>
      <w:pPr>
        <w:ind w:left="857" w:hanging="857"/>
        <w:spacing w:after="0"/>
        <w:tabs>
          <w:tab w:leader="none" w:pos="857"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Definition to be consistent with public reporting. </w:t>
      </w:r>
      <w:r>
        <w:rPr>
          <w:rFonts w:ascii="Arial" w:cs="Arial" w:eastAsia="Arial" w:hAnsi="Arial"/>
          <w:sz w:val="19"/>
          <w:szCs w:val="19"/>
          <w:b w:val="1"/>
          <w:bCs w:val="1"/>
          <w:color w:val="auto"/>
        </w:rPr>
        <w:t>[**]</w:t>
      </w:r>
    </w:p>
    <w:p>
      <w:pPr>
        <w:spacing w:after="0" w:line="26" w:lineRule="exact"/>
        <w:rPr>
          <w:rFonts w:ascii="Arial" w:cs="Arial" w:eastAsia="Arial" w:hAnsi="Arial"/>
          <w:sz w:val="19"/>
          <w:szCs w:val="19"/>
          <w:color w:val="auto"/>
        </w:rPr>
      </w:pPr>
    </w:p>
    <w:p>
      <w:pPr>
        <w:ind w:left="857" w:hanging="857"/>
        <w:spacing w:after="0"/>
        <w:tabs>
          <w:tab w:leader="none" w:pos="857"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Percentage growth over 2016 Adjusted EBITDA of $690 million / % growth over threshold level of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31" w:lineRule="exact"/>
        <w:rPr>
          <w:rFonts w:ascii="Arial" w:cs="Arial" w:eastAsia="Arial" w:hAnsi="Arial"/>
          <w:sz w:val="19"/>
          <w:szCs w:val="19"/>
          <w:color w:val="auto"/>
        </w:rPr>
      </w:pPr>
    </w:p>
    <w:p>
      <w:pPr>
        <w:ind w:left="857" w:right="160" w:hanging="857"/>
        <w:spacing w:after="0" w:line="249" w:lineRule="auto"/>
        <w:tabs>
          <w:tab w:leader="none" w:pos="857" w:val="left"/>
        </w:tabs>
        <w:numPr>
          <w:ilvl w:val="0"/>
          <w:numId w:val="22"/>
        </w:numPr>
        <w:rPr>
          <w:rFonts w:ascii="Arial" w:cs="Arial" w:eastAsia="Arial" w:hAnsi="Arial"/>
          <w:sz w:val="19"/>
          <w:szCs w:val="19"/>
          <w:color w:val="auto"/>
        </w:rPr>
      </w:pPr>
      <w:r>
        <w:rPr>
          <w:rFonts w:ascii="Arial" w:cs="Arial" w:eastAsia="Arial" w:hAnsi="Arial"/>
          <w:sz w:val="19"/>
          <w:szCs w:val="19"/>
          <w:color w:val="auto"/>
        </w:rPr>
        <w:t>Capital market transactions include activities after February 4, 2017 and include: the expansion of revolving credit facilities, equity and debt offerings, structured financings and 33% of the transaction value of loan repricings. Excludes the initial placement of equity directly with selling counterparties and assumed debt.</w:t>
      </w:r>
    </w:p>
    <w:p>
      <w:pPr>
        <w:ind w:left="857" w:hanging="857"/>
        <w:spacing w:after="0"/>
        <w:tabs>
          <w:tab w:leader="none" w:pos="857"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-887730</wp:posOffset>
            </wp:positionV>
            <wp:extent cx="72523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-731520</wp:posOffset>
            </wp:positionV>
            <wp:extent cx="72523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-575945</wp:posOffset>
            </wp:positionV>
            <wp:extent cx="7252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72523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252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FFFFFF"/>
        </w:rPr>
        <w:t>Performance Achievement Level</w:t>
      </w:r>
    </w:p>
    <w:p>
      <w:pPr>
        <w:spacing w:after="0" w:line="115" w:lineRule="exact"/>
        <w:rPr>
          <w:sz w:val="20"/>
          <w:szCs w:val="20"/>
          <w:color w:val="auto"/>
        </w:rPr>
      </w:pPr>
    </w:p>
    <w:p>
      <w:pPr>
        <w:ind w:left="5677" w:hanging="357"/>
        <w:spacing w:after="0"/>
        <w:tabs>
          <w:tab w:leader="none" w:pos="5677" w:val="left"/>
        </w:tabs>
        <w:numPr>
          <w:ilvl w:val="0"/>
          <w:numId w:val="23"/>
        </w:numPr>
        <w:rPr>
          <w:rFonts w:ascii="Arial" w:cs="Arial" w:eastAsia="Arial" w:hAnsi="Arial"/>
          <w:sz w:val="19"/>
          <w:szCs w:val="19"/>
          <w:b w:val="1"/>
          <w:bCs w:val="1"/>
          <w:color w:val="auto"/>
        </w:rPr>
      </w:pPr>
      <w:r>
        <w:rPr>
          <w:rFonts w:ascii="Arial" w:cs="Arial" w:eastAsia="Arial" w:hAnsi="Arial"/>
          <w:sz w:val="17"/>
          <w:szCs w:val="17"/>
          <w:color w:val="FFFFFF"/>
        </w:rPr>
        <w:t>(40%)</w:t>
      </w:r>
    </w:p>
    <w:p>
      <w:pPr>
        <w:spacing w:after="0" w:line="156" w:lineRule="exact"/>
        <w:rPr>
          <w:rFonts w:ascii="Arial" w:cs="Arial" w:eastAsia="Arial" w:hAnsi="Arial"/>
          <w:sz w:val="19"/>
          <w:szCs w:val="19"/>
          <w:b w:val="1"/>
          <w:bCs w:val="1"/>
          <w:color w:val="auto"/>
        </w:rPr>
      </w:pPr>
    </w:p>
    <w:p>
      <w:pPr>
        <w:ind w:left="5677" w:hanging="356"/>
        <w:spacing w:after="0"/>
        <w:tabs>
          <w:tab w:leader="none" w:pos="5677" w:val="left"/>
        </w:tabs>
        <w:numPr>
          <w:ilvl w:val="0"/>
          <w:numId w:val="23"/>
        </w:numPr>
        <w:rPr>
          <w:rFonts w:ascii="Arial" w:cs="Arial" w:eastAsia="Arial" w:hAnsi="Arial"/>
          <w:sz w:val="19"/>
          <w:szCs w:val="19"/>
          <w:b w:val="1"/>
          <w:bCs w:val="1"/>
          <w:color w:val="auto"/>
        </w:rPr>
      </w:pPr>
      <w:r>
        <w:rPr>
          <w:rFonts w:ascii="Arial" w:cs="Arial" w:eastAsia="Arial" w:hAnsi="Arial"/>
          <w:sz w:val="17"/>
          <w:szCs w:val="17"/>
          <w:color w:val="FFFFFF"/>
        </w:rPr>
        <w:t>(40%)</w:t>
      </w:r>
    </w:p>
    <w:p>
      <w:pPr>
        <w:spacing w:after="0" w:line="362" w:lineRule="exact"/>
        <w:rPr>
          <w:rFonts w:ascii="Arial" w:cs="Arial" w:eastAsia="Arial" w:hAnsi="Arial"/>
          <w:sz w:val="19"/>
          <w:szCs w:val="19"/>
          <w:b w:val="1"/>
          <w:bCs w:val="1"/>
          <w:color w:val="auto"/>
        </w:rPr>
      </w:pPr>
    </w:p>
    <w:p>
      <w:pPr>
        <w:ind w:left="5677" w:hanging="357"/>
        <w:spacing w:after="0"/>
        <w:tabs>
          <w:tab w:leader="none" w:pos="5677" w:val="left"/>
        </w:tabs>
        <w:numPr>
          <w:ilvl w:val="0"/>
          <w:numId w:val="23"/>
        </w:numPr>
        <w:rPr>
          <w:rFonts w:ascii="Arial" w:cs="Arial" w:eastAsia="Arial" w:hAnsi="Arial"/>
          <w:sz w:val="19"/>
          <w:szCs w:val="19"/>
          <w:b w:val="1"/>
          <w:bCs w:val="1"/>
          <w:color w:val="auto"/>
        </w:rPr>
      </w:pPr>
      <w:r>
        <w:rPr>
          <w:rFonts w:ascii="Arial" w:cs="Arial" w:eastAsia="Arial" w:hAnsi="Arial"/>
          <w:sz w:val="17"/>
          <w:szCs w:val="17"/>
          <w:color w:val="FFFFFF"/>
        </w:rPr>
        <w:t>(20%)</w:t>
      </w:r>
    </w:p>
    <w:p>
      <w:pPr>
        <w:spacing w:after="0" w:line="40" w:lineRule="exact"/>
        <w:rPr>
          <w:sz w:val="20"/>
          <w:szCs w:val="20"/>
          <w:color w:val="auto"/>
        </w:rPr>
      </w:pPr>
    </w:p>
    <w:p>
      <w:pPr>
        <w:ind w:left="117"/>
        <w:spacing w:after="0"/>
        <w:rPr>
          <w:sz w:val="20"/>
          <w:szCs w:val="20"/>
          <w:color w:val="auto"/>
        </w:rPr>
      </w:pPr>
      <w:r>
        <w:rPr>
          <w:rFonts w:ascii="Arial" w:cs="Arial" w:eastAsia="Arial" w:hAnsi="Arial"/>
          <w:sz w:val="17"/>
          <w:szCs w:val="17"/>
          <w:color w:val="auto"/>
        </w:rPr>
        <w:t>Threshold</w:t>
      </w:r>
    </w:p>
    <w:p>
      <w:pPr>
        <w:spacing w:after="0" w:line="78"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66"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66"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89" w:lineRule="exact"/>
        <w:rPr>
          <w:sz w:val="20"/>
          <w:szCs w:val="20"/>
          <w:color w:val="auto"/>
        </w:rPr>
      </w:pPr>
    </w:p>
    <w:p>
      <w:pPr>
        <w:ind w:left="117"/>
        <w:spacing w:after="0"/>
        <w:rPr>
          <w:sz w:val="20"/>
          <w:szCs w:val="20"/>
          <w:color w:val="auto"/>
        </w:rPr>
      </w:pPr>
      <w:r>
        <w:rPr>
          <w:rFonts w:ascii="Arial" w:cs="Arial" w:eastAsia="Arial" w:hAnsi="Arial"/>
          <w:sz w:val="17"/>
          <w:szCs w:val="17"/>
          <w:color w:val="auto"/>
        </w:rPr>
        <w:t>Target</w:t>
      </w:r>
    </w:p>
    <w:p>
      <w:pPr>
        <w:spacing w:after="0" w:line="65"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66"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79"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76" w:lineRule="exact"/>
        <w:rPr>
          <w:sz w:val="20"/>
          <w:szCs w:val="20"/>
          <w:color w:val="auto"/>
        </w:rPr>
      </w:pPr>
    </w:p>
    <w:p>
      <w:pPr>
        <w:ind w:left="117"/>
        <w:spacing w:after="0"/>
        <w:rPr>
          <w:sz w:val="20"/>
          <w:szCs w:val="20"/>
          <w:color w:val="auto"/>
        </w:rPr>
      </w:pPr>
      <w:r>
        <w:rPr>
          <w:rFonts w:ascii="Arial" w:cs="Arial" w:eastAsia="Arial" w:hAnsi="Arial"/>
          <w:sz w:val="17"/>
          <w:szCs w:val="17"/>
          <w:color w:val="auto"/>
        </w:rPr>
        <w:t>Superior</w:t>
      </w:r>
    </w:p>
    <w:p>
      <w:pPr>
        <w:spacing w:after="0" w:line="65"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79"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66" w:lineRule="exact"/>
        <w:rPr>
          <w:sz w:val="20"/>
          <w:szCs w:val="20"/>
          <w:color w:val="auto"/>
        </w:rPr>
      </w:pPr>
    </w:p>
    <w:p>
      <w:pPr>
        <w:ind w:left="5497"/>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17" w:hanging="817"/>
        <w:spacing w:after="0"/>
        <w:tabs>
          <w:tab w:leader="none" w:pos="817" w:val="left"/>
        </w:tabs>
        <w:numPr>
          <w:ilvl w:val="0"/>
          <w:numId w:val="24"/>
        </w:numPr>
        <w:rPr>
          <w:rFonts w:ascii="Arial" w:cs="Arial" w:eastAsia="Arial" w:hAnsi="Arial"/>
          <w:sz w:val="21"/>
          <w:szCs w:val="21"/>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Uniti Fiber STIP</w:t>
      </w:r>
      <w:r>
        <w:rPr>
          <w:rFonts w:ascii="Arial" w:cs="Arial" w:eastAsia="Arial" w:hAnsi="Arial"/>
          <w:sz w:val="19"/>
          <w:szCs w:val="19"/>
          <w:color w:val="auto"/>
        </w:rPr>
        <w:t>. Vesting based on the following:</w:t>
      </w:r>
    </w:p>
    <w:p>
      <w:pPr>
        <w:spacing w:after="0" w:line="200" w:lineRule="exact"/>
        <w:rPr>
          <w:sz w:val="20"/>
          <w:szCs w:val="20"/>
          <w:color w:val="auto"/>
        </w:rPr>
      </w:pPr>
    </w:p>
    <w:p>
      <w:pPr>
        <w:spacing w:after="0" w:line="205" w:lineRule="exact"/>
        <w:rPr>
          <w:sz w:val="20"/>
          <w:szCs w:val="20"/>
          <w:color w:val="auto"/>
        </w:rPr>
      </w:pPr>
    </w:p>
    <w:p>
      <w:pPr>
        <w:ind w:left="1737" w:hanging="871"/>
        <w:spacing w:after="0" w:line="265" w:lineRule="auto"/>
        <w:tabs>
          <w:tab w:leader="none" w:pos="1737" w:val="left"/>
        </w:tabs>
        <w:numPr>
          <w:ilvl w:val="1"/>
          <w:numId w:val="25"/>
        </w:numPr>
        <w:rPr>
          <w:rFonts w:ascii="Arial" w:cs="Arial" w:eastAsia="Arial" w:hAnsi="Arial"/>
          <w:sz w:val="19"/>
          <w:szCs w:val="19"/>
          <w:color w:val="auto"/>
        </w:rPr>
      </w:pPr>
      <w:r>
        <w:rPr>
          <w:rFonts w:ascii="Arial" w:cs="Arial" w:eastAsia="Arial" w:hAnsi="Arial"/>
          <w:sz w:val="19"/>
          <w:szCs w:val="19"/>
          <w:color w:val="auto"/>
        </w:rPr>
        <w:t>Payout for the Uniti Fiber President will be as follows (expressed as a percentage of base salary): Threshold – 50%, Target – 100%, and Superior – 150%.</w:t>
      </w:r>
    </w:p>
    <w:p>
      <w:pPr>
        <w:spacing w:after="0" w:line="176" w:lineRule="exact"/>
        <w:rPr>
          <w:rFonts w:ascii="Arial" w:cs="Arial" w:eastAsia="Arial" w:hAnsi="Arial"/>
          <w:sz w:val="19"/>
          <w:szCs w:val="19"/>
          <w:color w:val="auto"/>
        </w:rPr>
      </w:pPr>
    </w:p>
    <w:p>
      <w:pPr>
        <w:ind w:left="857" w:hanging="857"/>
        <w:spacing w:after="0"/>
        <w:tabs>
          <w:tab w:leader="none" w:pos="857" w:val="left"/>
        </w:tabs>
        <w:numPr>
          <w:ilvl w:val="0"/>
          <w:numId w:val="26"/>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Uniti Towers STIP</w:t>
      </w:r>
      <w:r>
        <w:rPr>
          <w:rFonts w:ascii="Arial" w:cs="Arial" w:eastAsia="Arial" w:hAnsi="Arial"/>
          <w:sz w:val="19"/>
          <w:szCs w:val="19"/>
          <w:color w:val="auto"/>
        </w:rPr>
        <w:t>. Vesting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101600</wp:posOffset>
            </wp:positionV>
            <wp:extent cx="4725670" cy="1022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25670" cy="1022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117" w:type="dxa"/>
        <w:tblCellMar>
          <w:top w:w="0" w:type="dxa"/>
          <w:left w:w="0" w:type="dxa"/>
          <w:bottom w:w="0" w:type="dxa"/>
          <w:right w:w="0" w:type="dxa"/>
        </w:tblCellMar>
      </w:tblPr>
      <w:tr>
        <w:trPr>
          <w:trHeight w:val="242"/>
        </w:trPr>
        <w:tc>
          <w:tcPr>
            <w:tcW w:w="1440" w:type="dxa"/>
            <w:vAlign w:val="bottom"/>
          </w:tcPr>
          <w:p>
            <w:pPr>
              <w:spacing w:after="0"/>
              <w:rPr>
                <w:sz w:val="20"/>
                <w:szCs w:val="20"/>
                <w:color w:val="auto"/>
              </w:rPr>
            </w:pPr>
            <w:r>
              <w:rPr>
                <w:rFonts w:ascii="Arial" w:cs="Arial" w:eastAsia="Arial" w:hAnsi="Arial"/>
                <w:sz w:val="19"/>
                <w:szCs w:val="19"/>
                <w:color w:val="FFFFFF"/>
              </w:rPr>
              <w:t>Performance</w:t>
            </w:r>
          </w:p>
        </w:tc>
        <w:tc>
          <w:tcPr>
            <w:tcW w:w="1880" w:type="dxa"/>
            <w:vAlign w:val="bottom"/>
          </w:tcPr>
          <w:p>
            <w:pPr>
              <w:jc w:val="right"/>
              <w:ind w:right="265"/>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FFFFFF"/>
              </w:rPr>
              <w:t>(1) (30%)</w:t>
            </w:r>
          </w:p>
        </w:tc>
        <w:tc>
          <w:tcPr>
            <w:tcW w:w="1620" w:type="dxa"/>
            <w:vAlign w:val="bottom"/>
          </w:tcPr>
          <w:p>
            <w:pPr>
              <w:jc w:val="right"/>
              <w:ind w:right="345"/>
              <w:spacing w:after="0"/>
              <w:rPr>
                <w:sz w:val="20"/>
                <w:szCs w:val="20"/>
                <w:color w:val="auto"/>
              </w:rPr>
            </w:pPr>
            <w:r>
              <w:rPr>
                <w:rFonts w:ascii="Arial" w:cs="Arial" w:eastAsia="Arial" w:hAnsi="Arial"/>
                <w:sz w:val="19"/>
                <w:szCs w:val="19"/>
                <w:b w:val="1"/>
                <w:bCs w:val="1"/>
                <w:color w:val="auto"/>
              </w:rPr>
              <w:t xml:space="preserve">[**] </w:t>
            </w:r>
            <w:r>
              <w:rPr>
                <w:rFonts w:ascii="Arial" w:cs="Arial" w:eastAsia="Arial" w:hAnsi="Arial"/>
                <w:sz w:val="19"/>
                <w:szCs w:val="19"/>
                <w:color w:val="FFFFFF"/>
              </w:rPr>
              <w:t>(30%)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FFFFFF"/>
              </w:rPr>
              <w:t>(2) (40%)</w:t>
            </w:r>
          </w:p>
        </w:tc>
      </w:tr>
    </w:tbl>
    <w:p>
      <w:pPr>
        <w:ind w:left="857"/>
        <w:spacing w:after="0"/>
        <w:rPr>
          <w:sz w:val="20"/>
          <w:szCs w:val="20"/>
          <w:color w:val="auto"/>
        </w:rPr>
      </w:pPr>
      <w:r>
        <w:rPr>
          <w:rFonts w:ascii="Arial" w:cs="Arial" w:eastAsia="Arial" w:hAnsi="Arial"/>
          <w:sz w:val="19"/>
          <w:szCs w:val="19"/>
          <w:color w:val="FFFFFF"/>
        </w:rPr>
        <w:t>Achievement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296545</wp:posOffset>
            </wp:positionV>
            <wp:extent cx="8255" cy="243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243840"/>
                    </a:xfrm>
                    <a:prstGeom prst="rect">
                      <a:avLst/>
                    </a:prstGeom>
                    <a:noFill/>
                  </pic:spPr>
                </pic:pic>
              </a:graphicData>
            </a:graphic>
          </wp:anchor>
        </w:drawing>
      </w:r>
    </w:p>
    <w:p>
      <w:pPr>
        <w:sectPr>
          <w:pgSz w:w="11900" w:h="16838" w:orient="portrait"/>
          <w:cols w:equalWidth="0" w:num="1">
            <w:col w:w="11417"/>
          </w:cols>
          <w:pgMar w:left="243" w:top="149" w:right="239" w:bottom="0" w:gutter="0" w:footer="0" w:header="0"/>
        </w:sectPr>
      </w:pPr>
    </w:p>
    <w:p>
      <w:pPr>
        <w:spacing w:after="0" w:line="200" w:lineRule="exact"/>
        <w:rPr>
          <w:sz w:val="20"/>
          <w:szCs w:val="20"/>
          <w:color w:val="auto"/>
        </w:rPr>
      </w:pPr>
    </w:p>
    <w:p>
      <w:pPr>
        <w:spacing w:after="0" w:line="315" w:lineRule="exact"/>
        <w:rPr>
          <w:sz w:val="20"/>
          <w:szCs w:val="20"/>
          <w:color w:val="auto"/>
        </w:rPr>
      </w:pPr>
    </w:p>
    <w:p>
      <w:pPr>
        <w:ind w:left="517"/>
        <w:spacing w:after="0"/>
        <w:tabs>
          <w:tab w:leader="none" w:pos="3276" w:val="left"/>
          <w:tab w:leader="none" w:pos="4976" w:val="left"/>
          <w:tab w:leader="none" w:pos="6756" w:val="left"/>
        </w:tabs>
        <w:rPr>
          <w:sz w:val="20"/>
          <w:szCs w:val="20"/>
          <w:color w:val="auto"/>
        </w:rPr>
      </w:pPr>
      <w:r>
        <w:rPr>
          <w:rFonts w:ascii="Arial" w:cs="Arial" w:eastAsia="Arial" w:hAnsi="Arial"/>
          <w:sz w:val="19"/>
          <w:szCs w:val="19"/>
          <w:color w:val="auto"/>
        </w:rPr>
        <w:t>Threshold</w:t>
      </w:r>
      <w:r>
        <w:rPr>
          <w:sz w:val="20"/>
          <w:szCs w:val="20"/>
          <w:color w:val="auto"/>
        </w:rPr>
        <w:tab/>
      </w:r>
      <w:r>
        <w:rPr>
          <w:rFonts w:ascii="Arial" w:cs="Arial" w:eastAsia="Arial" w:hAnsi="Arial"/>
          <w:sz w:val="19"/>
          <w:szCs w:val="19"/>
          <w:b w:val="1"/>
          <w:bCs w:val="1"/>
          <w:color w:val="auto"/>
        </w:rPr>
        <w:t>[**]</w:t>
      </w:r>
      <w:r>
        <w:rPr>
          <w:sz w:val="20"/>
          <w:szCs w:val="20"/>
          <w:color w:val="auto"/>
        </w:rPr>
        <w:tab/>
      </w:r>
      <w:r>
        <w:rPr>
          <w:rFonts w:ascii="Arial" w:cs="Arial" w:eastAsia="Arial" w:hAnsi="Arial"/>
          <w:sz w:val="19"/>
          <w:szCs w:val="19"/>
          <w:b w:val="1"/>
          <w:bCs w:val="1"/>
          <w:color w:val="auto"/>
        </w:rPr>
        <w:t>[**]</w:t>
      </w:r>
      <w:r>
        <w:rPr>
          <w:sz w:val="20"/>
          <w:szCs w:val="20"/>
          <w:color w:val="auto"/>
        </w:rPr>
        <w:tab/>
      </w:r>
      <w:r>
        <w:rPr>
          <w:rFonts w:ascii="Arial" w:cs="Arial" w:eastAsia="Arial" w:hAnsi="Arial"/>
          <w:sz w:val="19"/>
          <w:szCs w:val="19"/>
          <w:b w:val="1"/>
          <w:bCs w:val="1"/>
          <w:color w:val="auto"/>
        </w:rPr>
        <w:t>[**]</w:t>
      </w:r>
    </w:p>
    <w:p>
      <w:pPr>
        <w:sectPr>
          <w:pgSz w:w="11900" w:h="16838" w:orient="portrait"/>
          <w:cols w:equalWidth="0" w:num="1">
            <w:col w:w="11417"/>
          </w:cols>
          <w:pgMar w:left="243" w:top="149" w:right="239" w:bottom="0" w:gutter="0" w:footer="0" w:header="0"/>
          <w:type w:val="continuous"/>
        </w:sectPr>
      </w:pPr>
    </w:p>
    <w:bookmarkStart w:id="58" w:name="page59"/>
    <w:bookmarkEnd w:id="58"/>
    <w:tbl>
      <w:tblPr>
        <w:tblLayout w:type="fixed"/>
        <w:tblInd w:w="10" w:type="dxa"/>
        <w:tblCellMar>
          <w:top w:w="0" w:type="dxa"/>
          <w:left w:w="0" w:type="dxa"/>
          <w:bottom w:w="0" w:type="dxa"/>
          <w:right w:w="0" w:type="dxa"/>
        </w:tblCellMar>
      </w:tblPr>
      <w:tr>
        <w:trPr>
          <w:trHeight w:val="266"/>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Target</w:t>
            </w:r>
          </w:p>
        </w:tc>
        <w:tc>
          <w:tcPr>
            <w:tcW w:w="1700" w:type="dxa"/>
            <w:vAlign w:val="bottom"/>
            <w:tcBorders>
              <w:right w:val="single" w:sz="8" w:color="auto"/>
            </w:tcBorders>
          </w:tcPr>
          <w:p>
            <w:pPr>
              <w:jc w:val="right"/>
              <w:ind w:right="605"/>
              <w:spacing w:after="0"/>
              <w:rPr>
                <w:sz w:val="20"/>
                <w:szCs w:val="20"/>
                <w:color w:val="auto"/>
              </w:rPr>
            </w:pPr>
            <w:r>
              <w:rPr>
                <w:rFonts w:ascii="Arial" w:cs="Arial" w:eastAsia="Arial" w:hAnsi="Arial"/>
                <w:sz w:val="19"/>
                <w:szCs w:val="19"/>
                <w:b w:val="1"/>
                <w:bCs w:val="1"/>
                <w:color w:val="auto"/>
              </w:rPr>
              <w:t>[**]</w:t>
            </w:r>
          </w:p>
        </w:tc>
        <w:tc>
          <w:tcPr>
            <w:tcW w:w="1720" w:type="dxa"/>
            <w:vAlign w:val="bottom"/>
            <w:tcBorders>
              <w:right w:val="single" w:sz="8" w:color="auto"/>
            </w:tcBorders>
          </w:tcPr>
          <w:p>
            <w:pPr>
              <w:jc w:val="right"/>
              <w:ind w:right="625"/>
              <w:spacing w:after="0"/>
              <w:rPr>
                <w:sz w:val="20"/>
                <w:szCs w:val="20"/>
                <w:color w:val="auto"/>
              </w:rPr>
            </w:pPr>
            <w:r>
              <w:rPr>
                <w:rFonts w:ascii="Arial" w:cs="Arial" w:eastAsia="Arial" w:hAnsi="Arial"/>
                <w:sz w:val="19"/>
                <w:szCs w:val="19"/>
                <w:b w:val="1"/>
                <w:bCs w:val="1"/>
                <w:color w:val="auto"/>
              </w:rPr>
              <w:t>[**]</w:t>
            </w:r>
          </w:p>
        </w:tc>
        <w:tc>
          <w:tcPr>
            <w:tcW w:w="1860" w:type="dxa"/>
            <w:vAlign w:val="bottom"/>
            <w:tcBorders>
              <w:right w:val="single" w:sz="8" w:color="auto"/>
            </w:tcBorders>
          </w:tcPr>
          <w:p>
            <w:pPr>
              <w:jc w:val="right"/>
              <w:ind w:right="705"/>
              <w:spacing w:after="0"/>
              <w:rPr>
                <w:sz w:val="20"/>
                <w:szCs w:val="20"/>
                <w:color w:val="auto"/>
              </w:rPr>
            </w:pPr>
            <w:r>
              <w:rPr>
                <w:rFonts w:ascii="Arial" w:cs="Arial" w:eastAsia="Arial" w:hAnsi="Arial"/>
                <w:sz w:val="19"/>
                <w:szCs w:val="19"/>
                <w:b w:val="1"/>
                <w:bCs w:val="1"/>
                <w:color w:val="auto"/>
              </w:rPr>
              <w:t>[**]</w:t>
            </w:r>
          </w:p>
        </w:tc>
      </w:tr>
      <w:tr>
        <w:trPr>
          <w:trHeight w:val="346"/>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Superior</w:t>
            </w:r>
          </w:p>
        </w:tc>
        <w:tc>
          <w:tcPr>
            <w:tcW w:w="1700" w:type="dxa"/>
            <w:vAlign w:val="bottom"/>
            <w:tcBorders>
              <w:right w:val="single" w:sz="8" w:color="auto"/>
            </w:tcBorders>
          </w:tcPr>
          <w:p>
            <w:pPr>
              <w:jc w:val="right"/>
              <w:ind w:right="605"/>
              <w:spacing w:after="0"/>
              <w:rPr>
                <w:sz w:val="20"/>
                <w:szCs w:val="20"/>
                <w:color w:val="auto"/>
              </w:rPr>
            </w:pPr>
            <w:r>
              <w:rPr>
                <w:rFonts w:ascii="Arial" w:cs="Arial" w:eastAsia="Arial" w:hAnsi="Arial"/>
                <w:sz w:val="19"/>
                <w:szCs w:val="19"/>
                <w:b w:val="1"/>
                <w:bCs w:val="1"/>
                <w:color w:val="auto"/>
              </w:rPr>
              <w:t>[**]</w:t>
            </w:r>
          </w:p>
        </w:tc>
        <w:tc>
          <w:tcPr>
            <w:tcW w:w="1720" w:type="dxa"/>
            <w:vAlign w:val="bottom"/>
            <w:tcBorders>
              <w:right w:val="single" w:sz="8" w:color="auto"/>
            </w:tcBorders>
          </w:tcPr>
          <w:p>
            <w:pPr>
              <w:jc w:val="right"/>
              <w:ind w:right="625"/>
              <w:spacing w:after="0"/>
              <w:rPr>
                <w:sz w:val="20"/>
                <w:szCs w:val="20"/>
                <w:color w:val="auto"/>
              </w:rPr>
            </w:pPr>
            <w:r>
              <w:rPr>
                <w:rFonts w:ascii="Arial" w:cs="Arial" w:eastAsia="Arial" w:hAnsi="Arial"/>
                <w:sz w:val="19"/>
                <w:szCs w:val="19"/>
                <w:b w:val="1"/>
                <w:bCs w:val="1"/>
                <w:color w:val="auto"/>
              </w:rPr>
              <w:t>[**]</w:t>
            </w:r>
          </w:p>
        </w:tc>
        <w:tc>
          <w:tcPr>
            <w:tcW w:w="1860" w:type="dxa"/>
            <w:vAlign w:val="bottom"/>
            <w:tcBorders>
              <w:right w:val="single" w:sz="8" w:color="auto"/>
            </w:tcBorders>
          </w:tcPr>
          <w:p>
            <w:pPr>
              <w:jc w:val="right"/>
              <w:ind w:right="705"/>
              <w:spacing w:after="0"/>
              <w:rPr>
                <w:sz w:val="20"/>
                <w:szCs w:val="20"/>
                <w:color w:val="auto"/>
              </w:rPr>
            </w:pPr>
            <w:r>
              <w:rPr>
                <w:rFonts w:ascii="Arial" w:cs="Arial" w:eastAsia="Arial" w:hAnsi="Arial"/>
                <w:sz w:val="19"/>
                <w:szCs w:val="19"/>
                <w:b w:val="1"/>
                <w:bCs w:val="1"/>
                <w:color w:val="auto"/>
              </w:rPr>
              <w:t>[**]</w:t>
            </w:r>
          </w:p>
        </w:tc>
      </w:tr>
      <w:tr>
        <w:trPr>
          <w:trHeight w:val="73"/>
        </w:trPr>
        <w:tc>
          <w:tcPr>
            <w:tcW w:w="2200" w:type="dxa"/>
            <w:vAlign w:val="bottom"/>
            <w:tcBorders>
              <w:left w:val="single" w:sz="8" w:color="auto"/>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r>
    </w:tbl>
    <w:p>
      <w:pPr>
        <w:spacing w:after="0" w:line="203" w:lineRule="exact"/>
        <w:rPr>
          <w:sz w:val="20"/>
          <w:szCs w:val="20"/>
          <w:color w:val="auto"/>
        </w:rPr>
      </w:pPr>
    </w:p>
    <w:p>
      <w:pPr>
        <w:ind w:left="1320" w:hanging="871"/>
        <w:spacing w:after="0" w:line="250" w:lineRule="auto"/>
        <w:tabs>
          <w:tab w:leader="none" w:pos="13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Payout for the Uniti Towers President will be as follows (expressed as a percentage of base salary): Threshold – 50%, Target – 100%, and Superior – 150%.</w:t>
      </w:r>
    </w:p>
    <w:p>
      <w:pPr>
        <w:ind w:left="600"/>
        <w:spacing w:after="0"/>
        <w:rPr>
          <w:sz w:val="20"/>
          <w:szCs w:val="20"/>
          <w:color w:val="auto"/>
        </w:rPr>
      </w:pPr>
      <w:r>
        <w:rPr>
          <w:rFonts w:ascii="Arial" w:cs="Arial" w:eastAsia="Arial" w:hAnsi="Arial"/>
          <w:sz w:val="19"/>
          <w:szCs w:val="19"/>
          <w:color w:val="auto"/>
        </w:rPr>
        <w:t>____________________________________________________________________________</w:t>
      </w:r>
    </w:p>
    <w:p>
      <w:pPr>
        <w:spacing w:after="0" w:line="199" w:lineRule="exact"/>
        <w:rPr>
          <w:sz w:val="20"/>
          <w:szCs w:val="20"/>
          <w:color w:val="auto"/>
        </w:rPr>
      </w:pPr>
    </w:p>
    <w:p>
      <w:pPr>
        <w:ind w:left="1760" w:hanging="432"/>
        <w:spacing w:after="0"/>
        <w:tabs>
          <w:tab w:leader="none" w:pos="1760"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w:t>
      </w:r>
    </w:p>
    <w:p>
      <w:pPr>
        <w:spacing w:after="0" w:line="220" w:lineRule="exact"/>
        <w:rPr>
          <w:rFonts w:ascii="Arial" w:cs="Arial" w:eastAsia="Arial" w:hAnsi="Arial"/>
          <w:sz w:val="19"/>
          <w:szCs w:val="19"/>
          <w:color w:val="auto"/>
        </w:rPr>
      </w:pPr>
    </w:p>
    <w:p>
      <w:pPr>
        <w:ind w:left="1760" w:hanging="432"/>
        <w:spacing w:after="0"/>
        <w:tabs>
          <w:tab w:leader="none" w:pos="1760"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60960</wp:posOffset>
            </wp:positionV>
            <wp:extent cx="729424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000"/>
          </w:cols>
          <w:pgMar w:left="660" w:top="140" w:right="239" w:bottom="1440" w:gutter="0" w:footer="0" w:header="0"/>
        </w:sectPr>
      </w:pPr>
    </w:p>
    <w:bookmarkStart w:id="59" w:name="page60"/>
    <w:bookmarkEnd w:id="59"/>
    <w:p>
      <w:pPr>
        <w:ind w:left="-3" w:firstLine="3"/>
        <w:spacing w:after="0" w:line="272" w:lineRule="auto"/>
        <w:tabs>
          <w:tab w:leader="none" w:pos="359"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Information has been omitted and filed separately with the Securities and Exchange Commission. Confidential treatment has been requested with respect to this omitted information.</w:t>
      </w:r>
    </w:p>
    <w:p>
      <w:pPr>
        <w:spacing w:after="0" w:line="152" w:lineRule="exact"/>
        <w:rPr>
          <w:sz w:val="20"/>
          <w:szCs w:val="20"/>
          <w:color w:val="auto"/>
        </w:rPr>
      </w:pPr>
    </w:p>
    <w:p>
      <w:pPr>
        <w:ind w:left="5057"/>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37"/>
          </w:cols>
          <w:pgMar w:left="243" w:top="323" w:right="41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760" w:type="dxa"/>
            <w:vAlign w:val="bottom"/>
          </w:tcPr>
          <w:p>
            <w:pPr>
              <w:ind w:left="3820"/>
              <w:spacing w:after="0"/>
              <w:rPr>
                <w:sz w:val="20"/>
                <w:szCs w:val="20"/>
                <w:color w:val="auto"/>
              </w:rPr>
            </w:pPr>
            <w:r>
              <w:rPr>
                <w:rFonts w:ascii="Arial" w:cs="Arial" w:eastAsia="Arial" w:hAnsi="Arial"/>
                <w:sz w:val="17"/>
                <w:szCs w:val="17"/>
                <w:b w:val="1"/>
                <w:bCs w:val="1"/>
                <w:color w:val="auto"/>
                <w:w w:val="95"/>
              </w:rPr>
              <w:t>Exhibit 21.1</w:t>
            </w:r>
          </w:p>
        </w:tc>
      </w:tr>
      <w:tr>
        <w:trPr>
          <w:trHeight w:val="439"/>
        </w:trPr>
        <w:tc>
          <w:tcPr>
            <w:tcW w:w="3860" w:type="dxa"/>
            <w:vAlign w:val="bottom"/>
          </w:tcPr>
          <w:p>
            <w:pPr>
              <w:spacing w:after="0"/>
              <w:rPr>
                <w:sz w:val="24"/>
                <w:szCs w:val="24"/>
                <w:color w:val="auto"/>
              </w:rPr>
            </w:pPr>
          </w:p>
        </w:tc>
        <w:tc>
          <w:tcPr>
            <w:tcW w:w="7620" w:type="dxa"/>
            <w:vAlign w:val="bottom"/>
            <w:gridSpan w:val="2"/>
          </w:tcPr>
          <w:p>
            <w:pPr>
              <w:ind w:left="760"/>
              <w:spacing w:after="0"/>
              <w:rPr>
                <w:sz w:val="20"/>
                <w:szCs w:val="20"/>
                <w:color w:val="auto"/>
              </w:rPr>
            </w:pPr>
            <w:r>
              <w:rPr>
                <w:rFonts w:ascii="Arial" w:cs="Arial" w:eastAsia="Arial" w:hAnsi="Arial"/>
                <w:sz w:val="17"/>
                <w:szCs w:val="17"/>
                <w:b w:val="1"/>
                <w:bCs w:val="1"/>
                <w:color w:val="auto"/>
              </w:rPr>
              <w:t>Subsidiaries of the Registrant</w:t>
            </w:r>
          </w:p>
        </w:tc>
      </w:tr>
      <w:tr>
        <w:trPr>
          <w:trHeight w:val="232"/>
        </w:trPr>
        <w:tc>
          <w:tcPr>
            <w:tcW w:w="38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Capital,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Uniti Holdings GP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Holdings LP*</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Contact Network,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Alabama</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Alabama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Arkansas System,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Florida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Georgia Realty,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Georgia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Iowa System,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Kentucky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Mississippi System,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Missouri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National, LP</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National GP,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New Mexico System,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North Carolina Realty, LP</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North Carolina Realty GP,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North Carolina System, LP</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Ohio System,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Oklahoma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Realty,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Tennessee Realty,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CSL Tennessee Realty Partner,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CSL Texas System,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InLine Services,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Network Management Holdings, Ltd</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Cayman Islands</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Network Mgmt. Services, S.A.</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Nicaragua</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NMS Delaware Subsidiary,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NMS NewCo 1,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NMS NewCo 2,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NMS Towers De Colombia SAS</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Colombia</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NMS Towers de Mexico, S. De R.L. de C.V.</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6"/>
              </w:rPr>
              <w:t>Mexico</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DC,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DE,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IA,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IL,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LA,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MA,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MD,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MS,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NJ,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NY,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PEG Bandwidth PA, LLC</w:t>
            </w:r>
          </w:p>
        </w:tc>
        <w:tc>
          <w:tcPr>
            <w:tcW w:w="286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3860" w:type="dxa"/>
            <w:vAlign w:val="bottom"/>
            <w:tcBorders>
              <w:left w:val="single" w:sz="8" w:color="auto"/>
              <w:bottom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Services, LLC</w:t>
            </w:r>
          </w:p>
        </w:tc>
        <w:tc>
          <w:tcPr>
            <w:tcW w:w="2860" w:type="dxa"/>
            <w:vAlign w:val="bottom"/>
            <w:tcBorders>
              <w:bottom w:val="single" w:sz="8" w:color="auto"/>
              <w:right w:val="single" w:sz="8" w:color="auto"/>
            </w:tcBorders>
            <w:shd w:val="clear" w:color="auto" w:fill="DAEEF3"/>
          </w:tcPr>
          <w:p>
            <w:pPr>
              <w:spacing w:after="0"/>
              <w:rPr>
                <w:sz w:val="18"/>
                <w:szCs w:val="18"/>
                <w:color w:val="auto"/>
              </w:rPr>
            </w:pP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541"/>
        </w:trPr>
        <w:tc>
          <w:tcPr>
            <w:tcW w:w="38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54" w:right="19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33"/>
        </w:trPr>
        <w:tc>
          <w:tcPr>
            <w:tcW w:w="6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PEG Bandwidth TX, LLC</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PEG Bandwidth VA,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Summit Wireless Infrastructure de México, S. de R.L. de C.V.</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Mexico</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Summit Wireless Infrastructure Servicios, S. de R.L. de C.V.</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6"/>
              </w:rPr>
              <w:t>Mexico</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Talk America Services,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Tower Cloud, Inc.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Dark Fiber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Fiber Holdings Inc.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Fiber Holdings-TC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Fiber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LATAM GP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LATAM LP</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Leasing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QRS Holdings GP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QRS Holdings LP</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Towers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Towers NMS Holdings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Towers – NMS Investor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Uniti Wireless Holdings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Uniti Wireless Infrastructure LLC</w:t>
            </w:r>
          </w:p>
        </w:tc>
        <w:tc>
          <w:tcPr>
            <w:tcW w:w="47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Delaware</w:t>
            </w:r>
          </w:p>
        </w:tc>
      </w:tr>
      <w:tr>
        <w:trPr>
          <w:trHeight w:val="213"/>
        </w:trPr>
        <w:tc>
          <w:tcPr>
            <w:tcW w:w="6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Yacht Merger Sub, L.L.C.</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Louisiana</w:t>
            </w:r>
          </w:p>
        </w:tc>
      </w:tr>
      <w:tr>
        <w:trPr>
          <w:trHeight w:val="218"/>
        </w:trPr>
        <w:tc>
          <w:tcPr>
            <w:tcW w:w="6720" w:type="dxa"/>
            <w:vAlign w:val="bottom"/>
          </w:tcPr>
          <w:p>
            <w:pPr>
              <w:spacing w:after="0"/>
              <w:rPr>
                <w:sz w:val="20"/>
                <w:szCs w:val="20"/>
                <w:color w:val="auto"/>
              </w:rPr>
            </w:pPr>
            <w:r>
              <w:rPr>
                <w:rFonts w:ascii="Arial" w:cs="Arial" w:eastAsia="Arial" w:hAnsi="Arial"/>
                <w:sz w:val="17"/>
                <w:szCs w:val="17"/>
                <w:b w:val="1"/>
                <w:bCs w:val="1"/>
                <w:color w:val="auto"/>
              </w:rPr>
              <w:t>____________________________</w:t>
            </w:r>
          </w:p>
        </w:tc>
        <w:tc>
          <w:tcPr>
            <w:tcW w:w="4760" w:type="dxa"/>
            <w:vAlign w:val="bottom"/>
          </w:tcPr>
          <w:p>
            <w:pPr>
              <w:spacing w:after="0"/>
              <w:rPr>
                <w:sz w:val="18"/>
                <w:szCs w:val="18"/>
                <w:color w:val="auto"/>
              </w:rPr>
            </w:pPr>
          </w:p>
        </w:tc>
      </w:tr>
    </w:tbl>
    <w:p>
      <w:pPr>
        <w:spacing w:after="0" w:line="8"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*CSL Capital, LLC, Uniti Holdings GP LLC and Uniti Holdings LP are direct, wholly-owned subsidiaries of Uniti Group Inc. The remaining subsidiaries are direct or indirect, wholly-owned subsidiaries of CSL Capital, LLC, Uniti Holdings GP LLC or Uniti Holdings LP.</w:t>
      </w:r>
    </w:p>
    <w:p>
      <w:pPr>
        <w:sectPr>
          <w:pgSz w:w="11900" w:h="16838" w:orient="portrait"/>
          <w:cols w:equalWidth="0" w:num="1">
            <w:col w:w="11460"/>
          </w:cols>
          <w:pgMar w:left="240" w:top="352" w:right="19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Kenneth A. Gunderman, certify that:</w:t>
      </w:r>
    </w:p>
    <w:p>
      <w:pPr>
        <w:spacing w:after="0" w:line="115" w:lineRule="exact"/>
        <w:rPr>
          <w:sz w:val="20"/>
          <w:szCs w:val="20"/>
          <w:color w:val="auto"/>
        </w:rPr>
      </w:pPr>
    </w:p>
    <w:p>
      <w:pPr>
        <w:ind w:left="760" w:hanging="757"/>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1500" w:right="20" w:hanging="747"/>
        <w:spacing w:after="0" w:line="283"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Mark A. Wallace, certify that:</w:t>
      </w:r>
    </w:p>
    <w:p>
      <w:pPr>
        <w:spacing w:after="0" w:line="218" w:lineRule="exact"/>
        <w:rPr>
          <w:sz w:val="20"/>
          <w:szCs w:val="20"/>
          <w:color w:val="auto"/>
        </w:rPr>
      </w:pPr>
    </w:p>
    <w:p>
      <w:pPr>
        <w:ind w:left="760" w:hanging="757"/>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3" w:lineRule="exact"/>
        <w:rPr>
          <w:sz w:val="20"/>
          <w:szCs w:val="20"/>
          <w:color w:val="auto"/>
        </w:rPr>
      </w:pPr>
    </w:p>
    <w:p>
      <w:pPr>
        <w:ind w:left="1040" w:right="140" w:hanging="520"/>
        <w:spacing w:after="0" w:line="283"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Mark A. Wallace</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11"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and Treasurer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2017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2017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7"/>
          <w:szCs w:val="17"/>
          <w:color w:val="auto"/>
        </w:rPr>
        <w:t>By</w:t>
      </w:r>
      <w:r>
        <w:rPr>
          <w:rFonts w:ascii="Arial" w:cs="Arial" w:eastAsia="Arial" w:hAnsi="Arial"/>
          <w:sz w:val="17"/>
          <w:szCs w:val="17"/>
          <w:color w:val="222222"/>
        </w:rPr>
        <w:t>:</w:t>
      </w:r>
      <w:r>
        <w:rPr>
          <w:sz w:val="20"/>
          <w:szCs w:val="20"/>
          <w:color w:val="auto"/>
        </w:rPr>
        <w:tab/>
      </w:r>
      <w:r>
        <w:rPr>
          <w:rFonts w:ascii="Arial" w:cs="Arial" w:eastAsia="Arial" w:hAnsi="Arial"/>
          <w:sz w:val="16"/>
          <w:szCs w:val="16"/>
          <w:color w:val="auto"/>
        </w:rPr>
        <w:t>/s/ Mark A. Wallace</w:t>
      </w:r>
    </w:p>
    <w:p>
      <w:pPr>
        <w:spacing w:after="0" w:line="31"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-120015</wp:posOffset>
            </wp:positionV>
            <wp:extent cx="39871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24"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lowerRoman"/>
      <w:start w:val="2"/>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upperLetter"/>
      <w:start w:val="9"/>
    </w:lvl>
  </w:abstractNum>
  <w:abstractNum w:abstractNumId="19">
    <w:nsid w:val="54E49EB4"/>
    <w:multiLevelType w:val="hybridMultilevel"/>
    <w:lvl w:ilvl="0">
      <w:lvlJc w:val="left"/>
      <w:lvlText w:val="%1."/>
      <w:numFmt w:val="upperLetter"/>
      <w:start w:val="1"/>
    </w:lvl>
  </w:abstractNum>
  <w:abstractNum w:abstractNumId="20">
    <w:nsid w:val="71F32454"/>
    <w:multiLevelType w:val="hybridMultilevel"/>
    <w:lvl w:ilvl="0">
      <w:lvlJc w:val="left"/>
      <w:lvlText w:val="%1."/>
      <w:numFmt w:val="upperLetter"/>
      <w:start w:val="5"/>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upperLetter"/>
      <w:start w:val="35"/>
    </w:lvl>
  </w:abstractNum>
  <w:abstractNum w:abstractNumId="24">
    <w:nsid w:val="3A95F874"/>
    <w:multiLevelType w:val="hybridMultilevel"/>
    <w:lvl w:ilvl="0">
      <w:lvlJc w:val="left"/>
      <w:lvlText w:val="%1"/>
      <w:numFmt w:val="upperLetter"/>
      <w:start w:val="1"/>
    </w:lvl>
    <w:lvl w:ilvl="1">
      <w:lvlJc w:val="left"/>
      <w:lvlText w:val="%2."/>
      <w:numFmt w:val="upperLetter"/>
      <w:start w:val="2"/>
    </w:lvl>
  </w:abstractNum>
  <w:abstractNum w:abstractNumId="25">
    <w:nsid w:val="8138641"/>
    <w:multiLevelType w:val="hybridMultilevel"/>
    <w:lvl w:ilvl="0">
      <w:lvlJc w:val="left"/>
      <w:lvlText w:val="%1."/>
      <w:numFmt w:val="upperLetter"/>
      <w:start w:val="61"/>
    </w:lvl>
    <w:lvl w:ilvl="1">
      <w:lvlJc w:val="left"/>
      <w:lvlText w:val="%2"/>
      <w:numFmt w:val="upperLetter"/>
      <w:start w:val="1"/>
    </w:lvl>
  </w:abstractNum>
  <w:abstractNum w:abstractNumId="26">
    <w:nsid w:val="1E7FF521"/>
    <w:multiLevelType w:val="hybridMultilevel"/>
    <w:lvl w:ilvl="0">
      <w:lvlJc w:val="left"/>
      <w:lvlText w:val="%1."/>
      <w:numFmt w:val="upperLetter"/>
      <w:start w:val="2"/>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2019-12-29T06:15:27Z</dcterms:created>
  <dcterms:modified xsi:type="dcterms:W3CDTF">2019-12-29T06:15:27Z</dcterms:modified>
</cp:coreProperties>
</file>