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400" w:hanging="532"/>
        <w:spacing w:after="0" w:line="237"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40" w:right="400" w:hanging="532"/>
        <w:spacing w:after="0" w:line="256" w:lineRule="auto"/>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77470</wp:posOffset>
            </wp:positionV>
            <wp:extent cx="1569085" cy="1089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9085" cy="1089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Communications Sales &amp; Leasing,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96"/>
              </w:rPr>
              <w:t>Maryland</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6220" w:type="dxa"/>
            <w:vAlign w:val="bottom"/>
          </w:tcPr>
          <w:p>
            <w:pPr>
              <w:jc w:val="center"/>
              <w:ind w:right="37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779"/>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6220" w:type="dxa"/>
            <w:vAlign w:val="bottom"/>
          </w:tcPr>
          <w:p>
            <w:pPr>
              <w:jc w:val="center"/>
              <w:ind w:right="3759"/>
              <w:spacing w:after="0"/>
              <w:rPr>
                <w:sz w:val="20"/>
                <w:szCs w:val="20"/>
                <w:color w:val="auto"/>
              </w:rPr>
            </w:pPr>
            <w:r>
              <w:rPr>
                <w:rFonts w:ascii="Arial" w:cs="Arial" w:eastAsia="Arial" w:hAnsi="Arial"/>
                <w:sz w:val="18"/>
                <w:szCs w:val="18"/>
                <w:b w:val="1"/>
                <w:bCs w:val="1"/>
                <w:color w:val="auto"/>
                <w:w w:val="91"/>
              </w:rPr>
              <w:t>10802 Executive Center Drive</w:t>
            </w:r>
          </w:p>
        </w:tc>
        <w:tc>
          <w:tcPr>
            <w:tcW w:w="1240" w:type="dxa"/>
            <w:vAlign w:val="bottom"/>
          </w:tcPr>
          <w:p>
            <w:pPr>
              <w:spacing w:after="0"/>
              <w:rPr>
                <w:sz w:val="22"/>
                <w:szCs w:val="22"/>
                <w:color w:val="auto"/>
              </w:rPr>
            </w:pPr>
          </w:p>
        </w:tc>
      </w:tr>
      <w:tr>
        <w:trPr>
          <w:trHeight w:val="216"/>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89"/>
              </w:rPr>
              <w:t>Benton Building Suite 300</w:t>
            </w:r>
          </w:p>
        </w:tc>
        <w:tc>
          <w:tcPr>
            <w:tcW w:w="1240" w:type="dxa"/>
            <w:vAlign w:val="bottom"/>
          </w:tcPr>
          <w:p>
            <w:pPr>
              <w:spacing w:after="0"/>
              <w:rPr>
                <w:sz w:val="18"/>
                <w:szCs w:val="18"/>
                <w:color w:val="auto"/>
              </w:rPr>
            </w:pPr>
          </w:p>
        </w:tc>
      </w:tr>
      <w:tr>
        <w:trPr>
          <w:trHeight w:val="212"/>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91"/>
              </w:rPr>
              <w:t>Little Rock, Arkansas</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72211</w:t>
            </w:r>
          </w:p>
        </w:tc>
      </w:tr>
      <w:tr>
        <w:trPr>
          <w:trHeight w:val="186"/>
        </w:trPr>
        <w:tc>
          <w:tcPr>
            <w:tcW w:w="6220" w:type="dxa"/>
            <w:vAlign w:val="bottom"/>
          </w:tcPr>
          <w:p>
            <w:pPr>
              <w:jc w:val="center"/>
              <w:ind w:right="3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6220" w:type="dxa"/>
            <w:vAlign w:val="bottom"/>
          </w:tcPr>
          <w:p>
            <w:pPr>
              <w:ind w:left="1960"/>
              <w:spacing w:after="0"/>
              <w:rPr>
                <w:sz w:val="20"/>
                <w:szCs w:val="20"/>
                <w:color w:val="auto"/>
              </w:rPr>
            </w:pPr>
            <w:r>
              <w:rPr>
                <w:rFonts w:ascii="Arial" w:cs="Arial" w:eastAsia="Arial" w:hAnsi="Arial"/>
                <w:sz w:val="14"/>
                <w:szCs w:val="14"/>
                <w:b w:val="1"/>
                <w:bCs w:val="1"/>
                <w:color w:val="auto"/>
                <w:w w:val="94"/>
              </w:rPr>
              <w:t>Registrant’s telephone number, including area code: (501) 850-0820</w:t>
            </w:r>
          </w:p>
        </w:tc>
        <w:tc>
          <w:tcPr>
            <w:tcW w:w="1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69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2160" w:type="dxa"/>
            <w:vAlign w:val="bottom"/>
          </w:tcPr>
          <w:p>
            <w:pPr>
              <w:ind w:left="40"/>
              <w:spacing w:after="0"/>
              <w:rPr>
                <w:sz w:val="20"/>
                <w:szCs w:val="20"/>
                <w:color w:val="auto"/>
              </w:rPr>
            </w:pPr>
            <w:r>
              <w:rPr>
                <w:rFonts w:ascii="Arial" w:cs="Arial" w:eastAsia="Arial" w:hAnsi="Arial"/>
                <w:sz w:val="18"/>
                <w:szCs w:val="18"/>
                <w:color w:val="auto"/>
              </w:rPr>
              <w:t>Small reporting company</w:t>
            </w:r>
          </w:p>
        </w:tc>
        <w:tc>
          <w:tcPr>
            <w:tcW w:w="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84"/>
        </w:trPr>
        <w:tc>
          <w:tcPr>
            <w:tcW w:w="8740" w:type="dxa"/>
            <w:vAlign w:val="bottom"/>
            <w:gridSpan w:val="2"/>
          </w:tcPr>
          <w:p>
            <w:pPr>
              <w:ind w:left="52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1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8740" w:type="dxa"/>
            <w:vAlign w:val="bottom"/>
            <w:gridSpan w:val="2"/>
          </w:tcPr>
          <w:p>
            <w:pPr>
              <w:spacing w:after="0"/>
              <w:rPr>
                <w:sz w:val="20"/>
                <w:szCs w:val="20"/>
                <w:color w:val="auto"/>
              </w:rPr>
            </w:pPr>
            <w:r>
              <w:rPr>
                <w:rFonts w:ascii="Arial" w:cs="Arial" w:eastAsia="Arial" w:hAnsi="Arial"/>
                <w:sz w:val="18"/>
                <w:szCs w:val="18"/>
                <w:color w:val="auto"/>
                <w:w w:val="90"/>
              </w:rPr>
              <w:t>As of August 7, 2015, the registrant had 150,558,346 shares of common stock, $0.0001 par value per share, outstanding.</w:t>
            </w:r>
          </w:p>
        </w:tc>
        <w:tc>
          <w:tcPr>
            <w:tcW w:w="2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8"/>
        </w:trPr>
        <w:tc>
          <w:tcPr>
            <w:tcW w:w="1800" w:type="dxa"/>
            <w:vAlign w:val="bottom"/>
            <w:tcBorders>
              <w:bottom w:val="single" w:sz="8" w:color="auto"/>
            </w:tcBorders>
          </w:tcPr>
          <w:p>
            <w:pPr>
              <w:spacing w:after="0"/>
              <w:rPr>
                <w:sz w:val="9"/>
                <w:szCs w:val="9"/>
                <w:color w:val="auto"/>
              </w:rPr>
            </w:pPr>
          </w:p>
        </w:tc>
        <w:tc>
          <w:tcPr>
            <w:tcW w:w="694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4"/>
        </w:trPr>
        <w:tc>
          <w:tcPr>
            <w:tcW w:w="180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1800" w:type="dxa"/>
            <w:vAlign w:val="bottom"/>
            <w:tcBorders>
              <w:bottom w:val="single" w:sz="8" w:color="9A9A9A"/>
            </w:tcBorders>
          </w:tcPr>
          <w:p>
            <w:pPr>
              <w:spacing w:after="0"/>
              <w:rPr>
                <w:sz w:val="18"/>
                <w:szCs w:val="18"/>
                <w:color w:val="auto"/>
              </w:rPr>
            </w:pPr>
          </w:p>
        </w:tc>
        <w:tc>
          <w:tcPr>
            <w:tcW w:w="6940" w:type="dxa"/>
            <w:vAlign w:val="bottom"/>
            <w:tcBorders>
              <w:bottom w:val="single" w:sz="8" w:color="9A9A9A"/>
            </w:tcBorders>
          </w:tcPr>
          <w:p>
            <w:pPr>
              <w:spacing w:after="0"/>
              <w:rPr>
                <w:sz w:val="18"/>
                <w:szCs w:val="18"/>
                <w:color w:val="auto"/>
              </w:rPr>
            </w:pPr>
          </w:p>
        </w:tc>
        <w:tc>
          <w:tcPr>
            <w:tcW w:w="21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This Quarterly Report on Form 10-Q of Communications Sales &amp; Leasing, Inc. (the “Company,” “CS&amp;L,” “we,” “us” or “our”) pertains to the period from April 24, 2015 to June 30, 2015. Prior to April 24, 2015, CS&amp;L was a wholly-owned subsidiary of Windstream Services, LLC (“Windstream Services”), a wholly owned subsidiary of Windstream Holdings, Inc. (“Windstream Holdings,” and together with its subsidiaries, “Windstream”). On April 24, 2015, Windstream contributed certain telecommunications network assets, including fiber and copper networks and other real estate (the “Distribution Systems”) and a small consumer competitive local exchange carrier (“CLEC”) business (the “Consumer CLEC Business”), to CS&amp;L. In exchange, CS&amp;L issued to Windstream Services (i) approximately 149.8 million shares of its common stock, par value $0.0001 per share, (ii) $400.0 million aggregate principal amount of 6.00% Senior Secured Notes due April 15, 2023 (the “Secured Notes”), (iii) $1.11 billion aggregate principal amount of 8.25% Senior Notes due October 15, 2023 (the “Senior Notes” and together with the Secured Notes, the “Notes”), (iv) $990 million of term loans under CS&amp;L’s senior credit facilities and (v) approximately $1.04 billion in cash obtained from borrowings under CS&amp;L’s senior credit facilities. The contribution of the Distribution Systems and the Consumer CLEC Business and the related issuance of cash, debt and equity securities are referred to herein as the “Spin-Off.” The Spin-Off was effective on April 24, 2015.</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the benefits and tax treatment of the Spin-Off; future financing plans, business strategies, growth prospects and operating and financial performance; expectations regarding the making of distributions and the payment of dividends; and compliance with and changes in governmental regulations.</w:t>
      </w:r>
    </w:p>
    <w:p>
      <w:pPr>
        <w:spacing w:after="0" w:line="148" w:lineRule="exact"/>
        <w:rPr>
          <w:sz w:val="20"/>
          <w:szCs w:val="20"/>
          <w:color w:val="auto"/>
        </w:rPr>
      </w:pPr>
    </w:p>
    <w:p>
      <w:pPr>
        <w:ind w:right="240" w:firstLine="518"/>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57" w:lineRule="exact"/>
        <w:rPr>
          <w:sz w:val="20"/>
          <w:szCs w:val="20"/>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some or all the benefits that we expect to achieve from the Spin-Off;</w:t>
      </w:r>
    </w:p>
    <w:p>
      <w:pPr>
        <w:spacing w:after="0" w:line="103" w:lineRule="exact"/>
        <w:rPr>
          <w:rFonts w:ascii="Arial" w:cs="Arial" w:eastAsia="Arial" w:hAnsi="Arial"/>
          <w:sz w:val="18"/>
          <w:szCs w:val="18"/>
          <w:color w:val="auto"/>
        </w:rPr>
      </w:pPr>
    </w:p>
    <w:p>
      <w:pPr>
        <w:ind w:left="900" w:right="400" w:hanging="374"/>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Windstream and future customers to meet and/or perform their obligations under any contractual arrangements entered into with us, including master lease arrangements, and any of their obligations to indemnify, defend and hold us harmless from and against various claims, litigation and liabilities;</w:t>
      </w:r>
    </w:p>
    <w:p>
      <w:pPr>
        <w:spacing w:after="0" w:line="59"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Windstream and future customers to comply with laws, rules and regulations in the operation of the assets we lease to them;</w:t>
      </w:r>
    </w:p>
    <w:p>
      <w:pPr>
        <w:spacing w:after="0" w:line="115" w:lineRule="exact"/>
        <w:rPr>
          <w:rFonts w:ascii="Arial" w:cs="Arial" w:eastAsia="Arial" w:hAnsi="Arial"/>
          <w:sz w:val="17"/>
          <w:szCs w:val="17"/>
          <w:color w:val="auto"/>
        </w:rPr>
      </w:pPr>
    </w:p>
    <w:p>
      <w:pPr>
        <w:ind w:left="900" w:right="720" w:hanging="374"/>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and willingness of Windstream and our future customers to renew their leases with us upon their expiration, and the ability to reposition our properties on the same or better terms in the event of nonrenewal or in the event we replace an existing tenant;</w:t>
      </w:r>
    </w:p>
    <w:p>
      <w:pPr>
        <w:spacing w:after="0" w:line="2" w:lineRule="exact"/>
        <w:rPr>
          <w:rFonts w:ascii="Arial" w:cs="Arial" w:eastAsia="Arial" w:hAnsi="Arial"/>
          <w:sz w:val="16"/>
          <w:szCs w:val="16"/>
          <w:color w:val="auto"/>
        </w:rPr>
      </w:pPr>
    </w:p>
    <w:p>
      <w:pPr>
        <w:ind w:left="900" w:right="320" w:hanging="374"/>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w:t>
      </w:r>
    </w:p>
    <w:p>
      <w:pPr>
        <w:spacing w:after="0" w:line="48"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w:t>
      </w:r>
    </w:p>
    <w:p>
      <w:pPr>
        <w:spacing w:after="0" w:line="103"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03"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rating downgrades;</w:t>
      </w:r>
    </w:p>
    <w:p>
      <w:pPr>
        <w:spacing w:after="0" w:line="103"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103"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03"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qualify or maintain our status as a real estate investment trust (“REIT”);</w:t>
      </w:r>
    </w:p>
    <w:p>
      <w:pPr>
        <w:spacing w:after="0" w:line="103"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U.S. tax law and other state, federal or local laws, whether or not specific to REITs;</w:t>
      </w:r>
    </w:p>
    <w:p>
      <w:pPr>
        <w:spacing w:after="0" w:line="103" w:lineRule="exact"/>
        <w:rPr>
          <w:rFonts w:ascii="Arial" w:cs="Arial" w:eastAsia="Arial" w:hAnsi="Arial"/>
          <w:sz w:val="18"/>
          <w:szCs w:val="18"/>
          <w:color w:val="auto"/>
        </w:rPr>
      </w:pPr>
    </w:p>
    <w:p>
      <w:pPr>
        <w:ind w:left="900" w:hanging="37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03" w:lineRule="exact"/>
        <w:rPr>
          <w:rFonts w:ascii="Arial" w:cs="Arial" w:eastAsia="Arial" w:hAnsi="Arial"/>
          <w:sz w:val="18"/>
          <w:szCs w:val="18"/>
          <w:color w:val="auto"/>
        </w:rPr>
      </w:pPr>
    </w:p>
    <w:p>
      <w:pPr>
        <w:ind w:left="900" w:right="280" w:hanging="374"/>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900" w:hanging="374"/>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w:t>
      </w:r>
    </w:p>
    <w:p>
      <w:pPr>
        <w:spacing w:after="0" w:line="13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2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0"/>
              </w:rPr>
              <w:t>Communications Sales &amp; Leasing,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10"/>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7540" w:type="dxa"/>
            <w:vAlign w:val="bottom"/>
            <w:gridSpan w:val="13"/>
            <w:vMerge w:val="restart"/>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10"/>
            <w:vMerge w:val="continue"/>
          </w:tcPr>
          <w:p>
            <w:pPr>
              <w:spacing w:after="0"/>
              <w:rPr>
                <w:sz w:val="15"/>
                <w:szCs w:val="15"/>
                <w:color w:val="auto"/>
              </w:rPr>
            </w:pPr>
          </w:p>
        </w:tc>
        <w:tc>
          <w:tcPr>
            <w:tcW w:w="7540" w:type="dxa"/>
            <w:vAlign w:val="bottom"/>
            <w:gridSpan w:val="13"/>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40" w:type="dxa"/>
            <w:vAlign w:val="bottom"/>
            <w:gridSpan w:val="23"/>
          </w:tcPr>
          <w:p>
            <w:pPr>
              <w:spacing w:after="0"/>
              <w:rPr>
                <w:sz w:val="20"/>
                <w:szCs w:val="20"/>
                <w:color w:val="auto"/>
              </w:rPr>
            </w:pPr>
            <w:r>
              <w:rPr>
                <w:rFonts w:ascii="Arial" w:cs="Arial" w:eastAsia="Arial" w:hAnsi="Arial"/>
                <w:sz w:val="18"/>
                <w:szCs w:val="18"/>
                <w:b w:val="1"/>
                <w:bCs w:val="1"/>
                <w:color w:val="auto"/>
              </w:rPr>
              <w:t>Communication Sales &amp; Leasing,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tcBorders>
              <w:bottom w:val="single" w:sz="8" w:color="0000EE"/>
            </w:tcBorders>
            <w:gridSpan w:val="13"/>
          </w:tcPr>
          <w:p>
            <w:pPr>
              <w:spacing w:after="0" w:line="190"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w:t>
              </w:r>
            </w:hyperlink>
          </w:p>
        </w:tc>
        <w:tc>
          <w:tcPr>
            <w:tcW w:w="7060" w:type="dxa"/>
            <w:vAlign w:val="bottom"/>
            <w:gridSpan w:val="10"/>
          </w:tcPr>
          <w:p>
            <w:pPr>
              <w:spacing w:after="0"/>
              <w:rPr>
                <w:sz w:val="16"/>
                <w:szCs w:val="16"/>
                <w:color w:val="auto"/>
              </w:rPr>
            </w:pPr>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Comprehensive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Shareholders’ Deficit</w:t>
              </w:r>
            </w:hyperlink>
          </w:p>
        </w:tc>
        <w:tc>
          <w:tcPr>
            <w:tcW w:w="160" w:type="dxa"/>
            <w:vAlign w:val="bottom"/>
            <w:tcBorders>
              <w:top w:val="single" w:sz="8" w:color="0000EE"/>
            </w:tcBorders>
            <w:gridSpan w:val="2"/>
          </w:tcPr>
          <w:p>
            <w:pPr>
              <w:spacing w:after="0"/>
              <w:rPr>
                <w:sz w:val="18"/>
                <w:szCs w:val="18"/>
                <w:color w:val="auto"/>
              </w:rPr>
            </w:pPr>
          </w:p>
        </w:tc>
        <w:tc>
          <w:tcPr>
            <w:tcW w:w="54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 of Cash Flows</w:t>
              </w:r>
            </w:hyperlink>
          </w:p>
        </w:tc>
        <w:tc>
          <w:tcPr>
            <w:tcW w:w="628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tcBorders>
              <w:top w:val="single" w:sz="8" w:color="0000EE"/>
            </w:tcBorders>
            <w:gridSpan w:val="17"/>
          </w:tcPr>
          <w:p>
            <w:pPr>
              <w:spacing w:after="0"/>
              <w:rPr>
                <w:sz w:val="20"/>
                <w:szCs w:val="20"/>
                <w:color w:val="auto"/>
              </w:rPr>
            </w:pPr>
            <w:r>
              <w:rPr>
                <w:rFonts w:ascii="Arial" w:cs="Arial" w:eastAsia="Arial" w:hAnsi="Arial"/>
                <w:sz w:val="18"/>
                <w:szCs w:val="18"/>
                <w:b w:val="1"/>
                <w:bCs w:val="1"/>
                <w:color w:val="auto"/>
              </w:rPr>
              <w:t>CLEC Business</w:t>
            </w:r>
          </w:p>
        </w:tc>
        <w:tc>
          <w:tcPr>
            <w:tcW w:w="5940" w:type="dxa"/>
            <w:vAlign w:val="bottom"/>
            <w:gridSpan w:val="6"/>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tcBorders>
              <w:bottom w:val="single" w:sz="8" w:color="0000EE"/>
            </w:tcBorders>
            <w:gridSpan w:val="18"/>
          </w:tcPr>
          <w:p>
            <w:pPr>
              <w:spacing w:after="0" w:line="190"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Statement of Assets Contributed and Liabilities Assumed</w:t>
              </w:r>
            </w:hyperlink>
          </w:p>
        </w:tc>
        <w:tc>
          <w:tcPr>
            <w:tcW w:w="5800" w:type="dxa"/>
            <w:vAlign w:val="bottom"/>
            <w:gridSpan w:val="5"/>
          </w:tcPr>
          <w:p>
            <w:pPr>
              <w:spacing w:after="0"/>
              <w:rPr>
                <w:sz w:val="16"/>
                <w:szCs w:val="16"/>
                <w:color w:val="auto"/>
              </w:rPr>
            </w:pPr>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Statement of Revenue and Direct Expenses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Borders>
              <w:top w:val="single" w:sz="8" w:color="0000EE"/>
            </w:tcBorders>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Notes to Financial Statements</w:t>
              </w:r>
            </w:hyperlink>
          </w:p>
        </w:tc>
        <w:tc>
          <w:tcPr>
            <w:tcW w:w="68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Borders>
              <w:top w:val="single" w:sz="8" w:color="0000EE"/>
            </w:tcBorders>
            <w:gridSpan w:val="8"/>
          </w:tcPr>
          <w:p>
            <w:pPr>
              <w:spacing w:after="0"/>
              <w:rPr>
                <w:sz w:val="20"/>
                <w:szCs w:val="20"/>
                <w:color w:val="auto"/>
              </w:rPr>
            </w:pPr>
            <w:r>
              <w:rPr>
                <w:rFonts w:ascii="Arial" w:cs="Arial" w:eastAsia="Arial" w:hAnsi="Arial"/>
                <w:sz w:val="18"/>
                <w:szCs w:val="18"/>
                <w:b w:val="1"/>
                <w:bCs w:val="1"/>
                <w:color w:val="auto"/>
              </w:rPr>
              <w:t>Distribution Systems</w:t>
            </w:r>
          </w:p>
        </w:tc>
        <w:tc>
          <w:tcPr>
            <w:tcW w:w="7780" w:type="dxa"/>
            <w:vAlign w:val="bottom"/>
            <w:gridSpan w:val="15"/>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23"/>
          </w:tcPr>
          <w:p>
            <w:pPr>
              <w:spacing w:after="0" w:line="190" w:lineRule="exact"/>
              <w:rPr>
                <w:rFonts w:ascii="Arial" w:cs="Arial" w:eastAsia="Arial" w:hAnsi="Arial"/>
                <w:sz w:val="18"/>
                <w:szCs w:val="18"/>
                <w:color w:val="0000EE"/>
              </w:rPr>
            </w:pPr>
            <w:hyperlink w:anchor="page29">
              <w:r>
                <w:rPr>
                  <w:rFonts w:ascii="Arial" w:cs="Arial" w:eastAsia="Arial" w:hAnsi="Arial"/>
                  <w:sz w:val="18"/>
                  <w:szCs w:val="18"/>
                  <w:color w:val="0000EE"/>
                </w:rPr>
                <w:t>Combined Balance Sheet</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Notes to Combined Balance Sheet</w:t>
              </w:r>
            </w:hyperlink>
          </w:p>
        </w:tc>
        <w:tc>
          <w:tcPr>
            <w:tcW w:w="746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Controls and Procedures</w:t>
              </w:r>
            </w:hyperlink>
          </w:p>
        </w:tc>
        <w:tc>
          <w:tcPr>
            <w:tcW w:w="812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gridSpan w:val="2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92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600" w:type="dxa"/>
            <w:vAlign w:val="bottom"/>
            <w:gridSpan w:val="1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558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Defaults Upon Senior Securities</w:t>
              </w:r>
            </w:hyperlink>
          </w:p>
        </w:tc>
        <w:tc>
          <w:tcPr>
            <w:tcW w:w="76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Mine Safety Disclosures</w:t>
              </w:r>
            </w:hyperlink>
          </w:p>
        </w:tc>
        <w:tc>
          <w:tcPr>
            <w:tcW w:w="812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862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60" w:type="dxa"/>
            <w:vAlign w:val="bottom"/>
            <w:gridSpan w:val="2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Exhibit Index</w:t>
              </w:r>
            </w:hyperlink>
          </w:p>
        </w:tc>
        <w:tc>
          <w:tcPr>
            <w:tcW w:w="9860" w:type="dxa"/>
            <w:vAlign w:val="bottom"/>
            <w:gridSpan w:val="2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4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Communications Sales &amp; Leasing, Inc.</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7"/>
              </w:rPr>
              <w:t>Condensed Consolidated Balance Sheet</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19"/>
                <w:szCs w:val="19"/>
                <w:color w:val="auto"/>
              </w:rPr>
            </w:pPr>
          </w:p>
        </w:tc>
        <w:tc>
          <w:tcPr>
            <w:tcW w:w="16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67"/>
        </w:trPr>
        <w:tc>
          <w:tcPr>
            <w:tcW w:w="9440" w:type="dxa"/>
            <w:vAlign w:val="bottom"/>
            <w:gridSpan w:val="5"/>
          </w:tcPr>
          <w:p>
            <w:pPr>
              <w:spacing w:after="0"/>
              <w:rPr>
                <w:sz w:val="20"/>
                <w:szCs w:val="20"/>
                <w:color w:val="auto"/>
              </w:rPr>
            </w:pPr>
            <w:r>
              <w:rPr>
                <w:rFonts w:ascii="Arial" w:cs="Arial" w:eastAsia="Arial" w:hAnsi="Arial"/>
                <w:sz w:val="14"/>
                <w:szCs w:val="14"/>
                <w:color w:val="auto"/>
              </w:rPr>
              <w:t>(Thousands, except par value)</w:t>
            </w:r>
          </w:p>
        </w:tc>
        <w:tc>
          <w:tcPr>
            <w:tcW w:w="3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Borders>
              <w:top w:val="single" w:sz="8" w:color="auto"/>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tcPr>
          <w:p>
            <w:pPr>
              <w:ind w:left="240"/>
              <w:spacing w:after="0"/>
              <w:rPr>
                <w:sz w:val="20"/>
                <w:szCs w:val="20"/>
                <w:color w:val="auto"/>
              </w:rPr>
            </w:pPr>
            <w:r>
              <w:rPr>
                <w:rFonts w:ascii="Arial" w:cs="Arial" w:eastAsia="Arial" w:hAnsi="Arial"/>
                <w:sz w:val="18"/>
                <w:szCs w:val="18"/>
                <w:color w:val="auto"/>
              </w:rPr>
              <w:t>Real estate investments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5,997,438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Accumulated depreciation real estate investments</w:t>
            </w: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(3,557,112)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4"/>
          </w:tcPr>
          <w:p>
            <w:pPr>
              <w:ind w:left="360"/>
              <w:spacing w:after="0"/>
              <w:rPr>
                <w:sz w:val="20"/>
                <w:szCs w:val="20"/>
                <w:color w:val="auto"/>
              </w:rPr>
            </w:pPr>
            <w:r>
              <w:rPr>
                <w:rFonts w:ascii="Arial" w:cs="Arial" w:eastAsia="Arial" w:hAnsi="Arial"/>
                <w:sz w:val="18"/>
                <w:szCs w:val="18"/>
                <w:color w:val="auto"/>
              </w:rPr>
              <w:t>Net real estate investments</w:t>
            </w:r>
          </w:p>
        </w:tc>
        <w:tc>
          <w:tcPr>
            <w:tcW w:w="3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tcPr>
          <w:p>
            <w:pPr>
              <w:ind w:left="2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Customer list intangible assets, net</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tcPr>
          <w:p>
            <w:pPr>
              <w:ind w:left="240"/>
              <w:spacing w:after="0"/>
              <w:rPr>
                <w:sz w:val="20"/>
                <w:szCs w:val="20"/>
                <w:color w:val="auto"/>
              </w:rPr>
            </w:pPr>
            <w:r>
              <w:rPr>
                <w:rFonts w:ascii="Arial" w:cs="Arial" w:eastAsia="Arial" w:hAnsi="Arial"/>
                <w:sz w:val="18"/>
                <w:szCs w:val="18"/>
                <w:color w:val="auto"/>
              </w:rPr>
              <w:t>Derivative asset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Straight-line rent receivable</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2,645,640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44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tcPr>
          <w:p>
            <w:pPr>
              <w:ind w:left="240"/>
              <w:spacing w:after="0"/>
              <w:rPr>
                <w:sz w:val="20"/>
                <w:szCs w:val="20"/>
                <w:color w:val="auto"/>
              </w:rPr>
            </w:pPr>
            <w:r>
              <w:rPr>
                <w:rFonts w:ascii="Arial" w:cs="Arial" w:eastAsia="Arial" w:hAnsi="Arial"/>
                <w:sz w:val="18"/>
                <w:szCs w:val="18"/>
                <w:color w:val="auto"/>
              </w:rPr>
              <w:t>Dividend payable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Notes and other debt</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3,508,685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4"/>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4"/>
            <w:shd w:val="clear" w:color="auto" w:fill="CFF0FC"/>
          </w:tcPr>
          <w:p>
            <w:pPr>
              <w:spacing w:after="0" w:line="189" w:lineRule="exact"/>
              <w:rPr>
                <w:rFonts w:ascii="Arial" w:cs="Arial" w:eastAsia="Arial" w:hAnsi="Arial"/>
                <w:sz w:val="18"/>
                <w:szCs w:val="18"/>
                <w:color w:val="auto"/>
              </w:rPr>
            </w:pPr>
            <w:r>
              <w:rPr>
                <w:rFonts w:ascii="Arial" w:cs="Arial" w:eastAsia="Arial" w:hAnsi="Arial"/>
                <w:sz w:val="18"/>
                <w:szCs w:val="18"/>
                <w:color w:val="auto"/>
              </w:rPr>
              <w:t>Commitments and contingencies (</w:t>
            </w:r>
            <w:hyperlink w:anchor="page20">
              <w:r>
                <w:rPr>
                  <w:rFonts w:ascii="Arial" w:cs="Arial" w:eastAsia="Arial" w:hAnsi="Arial"/>
                  <w:sz w:val="18"/>
                  <w:szCs w:val="18"/>
                  <w:color w:val="auto"/>
                </w:rPr>
                <w:t>Note 12</w:t>
              </w:r>
            </w:hyperlink>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3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5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Preferred stock, $0.0001 par value, 50,000 shares authorized, no shares issued and outstanding</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tcPr>
          <w:p>
            <w:pPr>
              <w:ind w:left="240"/>
              <w:spacing w:after="0"/>
              <w:rPr>
                <w:sz w:val="20"/>
                <w:szCs w:val="20"/>
                <w:color w:val="auto"/>
              </w:rPr>
            </w:pPr>
            <w:r>
              <w:rPr>
                <w:rFonts w:ascii="Arial" w:cs="Arial" w:eastAsia="Arial" w:hAnsi="Arial"/>
                <w:sz w:val="18"/>
                <w:szCs w:val="18"/>
                <w:color w:val="auto"/>
              </w:rPr>
              <w:t>Common stock, $0.0001 par value, 500,000 shares authorized, 149,832 shares issued and outstanding</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Distributions in excess of accumulated earnings</w:t>
            </w: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(998,002)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bottom w:val="single" w:sz="8" w:color="CFF0FC"/>
            </w:tcBorders>
            <w:gridSpan w:val="4"/>
          </w:tcPr>
          <w:p>
            <w:pPr>
              <w:ind w:left="500"/>
              <w:spacing w:after="0"/>
              <w:rPr>
                <w:sz w:val="20"/>
                <w:szCs w:val="20"/>
                <w:color w:val="auto"/>
              </w:rPr>
            </w:pPr>
            <w:r>
              <w:rPr>
                <w:rFonts w:ascii="Arial" w:cs="Arial" w:eastAsia="Arial" w:hAnsi="Arial"/>
                <w:sz w:val="18"/>
                <w:szCs w:val="18"/>
                <w:color w:val="auto"/>
              </w:rPr>
              <w:t>Total shareholders' deficit</w:t>
            </w:r>
          </w:p>
        </w:tc>
        <w:tc>
          <w:tcPr>
            <w:tcW w:w="3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2,645,640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2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w w:val="90"/>
              </w:rPr>
              <w:t>Communications Sales &amp; Leasing, Inc.</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w w:val="88"/>
              </w:rPr>
              <w:t>Condensed Consolidated Statement of Income</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2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4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tcPr>
          <w:p>
            <w:pPr>
              <w:spacing w:after="0"/>
              <w:rPr>
                <w:sz w:val="24"/>
                <w:szCs w:val="24"/>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April 24 - June 30,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Rental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124,172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128,748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CLEC operating expense</w:t>
            </w: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14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 applicable to common shareholders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149,827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780" w:type="dxa"/>
            <w:vAlign w:val="bottom"/>
            <w:gridSpan w:val="3"/>
          </w:tcPr>
          <w:p>
            <w:pPr>
              <w:jc w:val="center"/>
              <w:ind w:right="685"/>
              <w:spacing w:after="0"/>
              <w:rPr>
                <w:sz w:val="20"/>
                <w:szCs w:val="20"/>
                <w:color w:val="auto"/>
              </w:rPr>
            </w:pPr>
            <w:r>
              <w:rPr>
                <w:rFonts w:ascii="Arial" w:cs="Arial" w:eastAsia="Arial" w:hAnsi="Arial"/>
                <w:sz w:val="18"/>
                <w:szCs w:val="18"/>
                <w:b w:val="1"/>
                <w:bCs w:val="1"/>
                <w:color w:val="auto"/>
                <w:w w:val="90"/>
              </w:rPr>
              <w:t>Communications Sales &amp; Leasing, Inc.</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5780" w:type="dxa"/>
            <w:vAlign w:val="bottom"/>
            <w:gridSpan w:val="3"/>
          </w:tcPr>
          <w:p>
            <w:pPr>
              <w:jc w:val="center"/>
              <w:ind w:right="685"/>
              <w:spacing w:after="0"/>
              <w:rPr>
                <w:sz w:val="20"/>
                <w:szCs w:val="20"/>
                <w:color w:val="auto"/>
              </w:rPr>
            </w:pPr>
            <w:r>
              <w:rPr>
                <w:rFonts w:ascii="Arial" w:cs="Arial" w:eastAsia="Arial" w:hAnsi="Arial"/>
                <w:sz w:val="18"/>
                <w:szCs w:val="18"/>
                <w:b w:val="1"/>
                <w:bCs w:val="1"/>
                <w:color w:val="auto"/>
                <w:w w:val="88"/>
              </w:rPr>
              <w:t>Condensed Consolidated Statement of Comprehensive Income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5780" w:type="dxa"/>
            <w:vAlign w:val="bottom"/>
            <w:gridSpan w:val="3"/>
          </w:tcPr>
          <w:p>
            <w:pPr>
              <w:jc w:val="center"/>
              <w:ind w:right="685"/>
              <w:spacing w:after="0"/>
              <w:rPr>
                <w:sz w:val="20"/>
                <w:szCs w:val="20"/>
                <w:color w:val="auto"/>
              </w:rPr>
            </w:pPr>
            <w:r>
              <w:rPr>
                <w:rFonts w:ascii="Arial" w:cs="Arial" w:eastAsia="Arial" w:hAnsi="Arial"/>
                <w:sz w:val="18"/>
                <w:szCs w:val="18"/>
                <w:b w:val="1"/>
                <w:bCs w:val="1"/>
                <w:color w:val="auto"/>
                <w:w w:val="91"/>
              </w:rPr>
              <w:t>(unaudited)</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3200" w:type="dxa"/>
            <w:vAlign w:val="bottom"/>
          </w:tcPr>
          <w:p>
            <w:pPr>
              <w:spacing w:after="0"/>
              <w:rPr>
                <w:sz w:val="20"/>
                <w:szCs w:val="20"/>
                <w:color w:val="auto"/>
              </w:rPr>
            </w:pPr>
            <w:r>
              <w:rPr>
                <w:rFonts w:ascii="Arial" w:cs="Arial" w:eastAsia="Arial" w:hAnsi="Arial"/>
                <w:sz w:val="14"/>
                <w:szCs w:val="14"/>
                <w:color w:val="auto"/>
              </w:rPr>
              <w:t>(Thousands)</w:t>
            </w: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2"/>
          </w:tcPr>
          <w:p>
            <w:pPr>
              <w:ind w:left="260"/>
              <w:spacing w:after="0"/>
              <w:rPr>
                <w:sz w:val="20"/>
                <w:szCs w:val="20"/>
                <w:color w:val="auto"/>
              </w:rPr>
            </w:pPr>
            <w:r>
              <w:rPr>
                <w:rFonts w:ascii="Arial" w:cs="Arial" w:eastAsia="Arial" w:hAnsi="Arial"/>
                <w:sz w:val="14"/>
                <w:szCs w:val="14"/>
                <w:b w:val="1"/>
                <w:bCs w:val="1"/>
                <w:color w:val="auto"/>
              </w:rPr>
              <w:t>April 24 - June 30, 2015</w:t>
            </w:r>
          </w:p>
        </w:tc>
      </w:tr>
      <w:tr>
        <w:trPr>
          <w:trHeight w:val="223"/>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Unrealized gain on derivative contracts</w:t>
            </w:r>
          </w:p>
        </w:tc>
        <w:tc>
          <w:tcPr>
            <w:tcW w:w="5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28,551</w:t>
            </w:r>
          </w:p>
        </w:tc>
        <w:tc>
          <w:tcPr>
            <w:tcW w:w="120" w:type="dxa"/>
            <w:vAlign w:val="bottom"/>
            <w:shd w:val="clear" w:color="auto" w:fill="CFF0FC"/>
          </w:tcPr>
          <w:p>
            <w:pPr>
              <w:spacing w:after="0"/>
              <w:rPr>
                <w:sz w:val="19"/>
                <w:szCs w:val="19"/>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36,852</w:t>
            </w:r>
          </w:p>
        </w:tc>
        <w:tc>
          <w:tcPr>
            <w:tcW w:w="12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200" w:type="dxa"/>
            <w:vAlign w:val="bottom"/>
            <w:gridSpan w:val="3"/>
          </w:tcPr>
          <w:p>
            <w:pPr>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4"/>
          </w:tcPr>
          <w:p>
            <w:pPr>
              <w:ind w:left="2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Other</w:t>
            </w:r>
          </w:p>
        </w:tc>
        <w:tc>
          <w:tcPr>
            <w:tcW w:w="1200" w:type="dxa"/>
            <w:vAlign w:val="bottom"/>
            <w:gridSpan w:val="3"/>
          </w:tcPr>
          <w:p>
            <w:pPr>
              <w:ind w:left="40"/>
              <w:spacing w:after="0"/>
              <w:rPr>
                <w:sz w:val="20"/>
                <w:szCs w:val="20"/>
                <w:color w:val="auto"/>
              </w:rPr>
            </w:pPr>
            <w:r>
              <w:rPr>
                <w:rFonts w:ascii="Arial" w:cs="Arial" w:eastAsia="Arial" w:hAnsi="Arial"/>
                <w:sz w:val="18"/>
                <w:szCs w:val="18"/>
                <w:color w:val="auto"/>
              </w:rPr>
              <w:t>in Excess of</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Paid-in</w:t>
            </w:r>
          </w:p>
        </w:tc>
        <w:tc>
          <w:tcPr>
            <w:tcW w:w="144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Comprehensive</w:t>
            </w:r>
          </w:p>
        </w:tc>
        <w:tc>
          <w:tcPr>
            <w:tcW w:w="120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r>
      <w:tr>
        <w:trPr>
          <w:trHeight w:val="230"/>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w w:val="97"/>
              </w:rPr>
              <w:t>Preferred Stock</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w w:val="99"/>
              </w:rPr>
              <w:t>Common Stock</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Earnings</w:t>
            </w: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Deficit</w:t>
            </w:r>
          </w:p>
        </w:tc>
      </w:tr>
      <w:tr>
        <w:trPr>
          <w:trHeight w:val="183"/>
        </w:trPr>
        <w:tc>
          <w:tcPr>
            <w:tcW w:w="2840" w:type="dxa"/>
            <w:vAlign w:val="bottom"/>
            <w:gridSpan w:val="2"/>
          </w:tcPr>
          <w:p>
            <w:pPr>
              <w:spacing w:after="0"/>
              <w:rPr>
                <w:sz w:val="20"/>
                <w:szCs w:val="20"/>
                <w:color w:val="auto"/>
              </w:rPr>
            </w:pPr>
            <w:r>
              <w:rPr>
                <w:rFonts w:ascii="Arial" w:cs="Arial" w:eastAsia="Arial" w:hAnsi="Arial"/>
                <w:sz w:val="14"/>
                <w:szCs w:val="14"/>
                <w:color w:val="auto"/>
              </w:rPr>
              <w:t>(Thousands, except share data)</w:t>
            </w: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80"/>
              </w:rPr>
              <w:t>Shares</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spacing w:after="0" w:line="170" w:lineRule="exact"/>
              <w:rPr>
                <w:sz w:val="20"/>
                <w:szCs w:val="20"/>
                <w:color w:val="auto"/>
              </w:rPr>
            </w:pPr>
            <w:r>
              <w:rPr>
                <w:rFonts w:ascii="Arial" w:cs="Arial" w:eastAsia="Arial" w:hAnsi="Arial"/>
                <w:sz w:val="18"/>
                <w:szCs w:val="18"/>
                <w:color w:val="auto"/>
                <w:w w:val="90"/>
              </w:rPr>
              <w:t>Amount</w:t>
            </w:r>
          </w:p>
        </w:tc>
        <w:tc>
          <w:tcPr>
            <w:tcW w:w="6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80"/>
              </w:rPr>
              <w:t>Shares</w:t>
            </w:r>
          </w:p>
        </w:tc>
        <w:tc>
          <w:tcPr>
            <w:tcW w:w="480" w:type="dxa"/>
            <w:vAlign w:val="bottom"/>
            <w:tcBorders>
              <w:top w:val="single" w:sz="8" w:color="auto"/>
              <w:bottom w:val="single" w:sz="8" w:color="auto"/>
            </w:tcBorders>
            <w:gridSpan w:val="2"/>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gridSpan w:val="2"/>
          </w:tcPr>
          <w:p>
            <w:pPr>
              <w:spacing w:after="0" w:line="170" w:lineRule="exact"/>
              <w:rPr>
                <w:sz w:val="20"/>
                <w:szCs w:val="20"/>
                <w:color w:val="auto"/>
              </w:rPr>
            </w:pPr>
            <w:r>
              <w:rPr>
                <w:rFonts w:ascii="Arial" w:cs="Arial" w:eastAsia="Arial" w:hAnsi="Arial"/>
                <w:sz w:val="18"/>
                <w:szCs w:val="18"/>
                <w:color w:val="auto"/>
                <w:w w:val="93"/>
              </w:rPr>
              <w:t>Amount</w:t>
            </w:r>
          </w:p>
        </w:tc>
        <w:tc>
          <w:tcPr>
            <w:tcW w:w="4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Balance at April 24, 2015</w:t>
            </w:r>
          </w:p>
        </w:tc>
        <w:tc>
          <w:tcPr>
            <w:tcW w:w="10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9"/>
              </w:rPr>
              <w:t>149,827,214</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2,508,270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2,508,420</w:t>
            </w:r>
          </w:p>
        </w:tc>
        <w:tc>
          <w:tcPr>
            <w:tcW w:w="120" w:type="dxa"/>
            <w:vAlign w:val="bottom"/>
            <w:shd w:val="clear" w:color="auto" w:fill="CFF0FC"/>
          </w:tcPr>
          <w:p>
            <w:pPr>
              <w:spacing w:after="0"/>
              <w:rPr>
                <w:sz w:val="19"/>
                <w:szCs w:val="19"/>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19"/>
                <w:szCs w:val="19"/>
                <w:color w:val="auto"/>
              </w:rPr>
            </w:pPr>
          </w:p>
        </w:tc>
      </w:tr>
      <w:tr>
        <w:trPr>
          <w:trHeight w:val="215"/>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Distributions to Windstream related</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 Spin-Off</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(3,447,879)</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(3,447,879)</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28,551</w:t>
            </w:r>
          </w:p>
        </w:tc>
        <w:tc>
          <w:tcPr>
            <w:tcW w:w="120" w:type="dxa"/>
            <w:vAlign w:val="bottom"/>
          </w:tcPr>
          <w:p>
            <w:pPr>
              <w:spacing w:after="0"/>
              <w:rPr>
                <w:sz w:val="19"/>
                <w:szCs w:val="19"/>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dividends</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(66,576)</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(66,576)</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Equity issuance cost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4,440</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Balance at June 30, 2015</w:t>
            </w: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9"/>
              </w:rPr>
              <w:t>149,831,654</w:t>
            </w:r>
          </w:p>
        </w:tc>
        <w:tc>
          <w:tcPr>
            <w:tcW w:w="2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(998,002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(969,301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2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w w:val="90"/>
              </w:rPr>
              <w:t>Communications Sales &amp; Leasing, Inc.</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w w:val="88"/>
              </w:rPr>
              <w:t>Condensed Consolidated Statement of Cash Flows</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2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3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4"/>
                <w:szCs w:val="24"/>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April 24 - June 30,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Straight-line rental revenues</w:t>
            </w:r>
          </w:p>
        </w:tc>
        <w:tc>
          <w:tcPr>
            <w:tcW w:w="16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Changes in:</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tcBorders>
              <w:bottom w:val="single" w:sz="8" w:color="CFF0FC"/>
            </w:tcBorders>
            <w:gridSpan w:val="2"/>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Consideration paid to Windstream Services, LLC</w:t>
            </w:r>
          </w:p>
        </w:tc>
        <w:tc>
          <w:tcPr>
            <w:tcW w:w="16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(1,035,029)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934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Proceeds from issuance of Term Loans</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(29,933)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 issuance costs</w:t>
            </w: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Cash in-lieu of fractional shares</w:t>
            </w:r>
          </w:p>
        </w:tc>
        <w:tc>
          <w:tcPr>
            <w:tcW w:w="16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1,096,592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24,583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 of notes and other debt to Windstream Services, LLC, net of deferred financing costs ($34,681)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2,412,829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Tenant capital improvements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6,303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Accrual of dividends declared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66,576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 and Basis of Presentation</w:t>
      </w:r>
    </w:p>
    <w:p>
      <w:pPr>
        <w:spacing w:after="0" w:line="12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Communications Sales &amp; Leasing, Inc. (the “Company,” “CS&amp;L,” “we,” “us” or “our”) was incorporated in the state of Delaware in February 2014 and reorganized in the state of Maryland on September 4, 2014 as a subsidiary of Windstream Holdings, Inc. (“Windstream Holdings” and, together with its consolidated subsidiaries “Windstream”). On April 24, 2015, in connection with the separation and spin-off of CS&amp;L from Windstream (the “Spin-Off”), Windstream contributed certain telecommunications network assets, including fiber and copper networks and other real estate (the “Distribution Systems”) and a small consumer competitive local exchange carrier (“CLEC”) business (the “Consumer CLEC Business”) to CS&amp;L in exchange for certain consideration paid to Windstream. The assets and liabilities of the Distribution Systems and Consumer CLEC Business were recorded in our Condensed Consolidated Financial statements on a carryover basis as of the date of the Spin-Off.</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result of the Spin-Off, we are an independent, publicly traded company, primarily engaged in the ownership, acquisition, leasing and funding the construction of communication distribution systems. We generate revenues primarily by leasing communications distribution systems to telecommunications operators in triple-net lease arrangements, under which the tenant is primarily responsible for costs relating to the distribution systems (including property taxes, insurance, and maintenance and repair costs). We intend to elect on our U.S. federal income tax return for the taxable year ending December 31, 2015 to be treated as a real estate investment trust (“REIT”).</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Consumer CLEC Business, which historically has been reported as an integrated operation within Windstream,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We have elected to treat the Consumer CLEC Business as a “taxable REIT subsidiary” effective on the first day of the first taxable year that CS&amp;L qualifies as a REIT.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for the period from April 24, 2015 through June 30, 2015 are not necessarily indicative of the results that may be expected for the period ending December 31, 2015. The accompanying Consolidated Financial Statements and related notes should be read in conjunction with the audited consolidated financial statements and notes thereto included in our information statement on Form 10 filed as Exhibit 99.1 to our Current Report on Form 8-K filed with the SEC on March 26, 2015. All material intercompany balances and transactions have been eliminated.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u w:val="single" w:color="auto"/>
          <w:color w:val="auto"/>
        </w:rPr>
        <w:t>Real Estate Investments</w:t>
      </w:r>
      <w:r>
        <w:rPr>
          <w:rFonts w:ascii="Arial" w:cs="Arial" w:eastAsia="Arial" w:hAnsi="Arial"/>
          <w:sz w:val="17"/>
          <w:szCs w:val="17"/>
          <w:color w:val="auto"/>
        </w:rPr>
        <w:t>—Real estate investments are stated at original cost, less accumulated depreciation and consists of land and central office buildings, copper and fiber optic cable lines, telephone poles, underground conduits, concrete pads, pedestals, guy wires, anchors, and attachment hardware. Costs of maintenance and repairs to real estate investments are the responsibility of our tenant under triple-net leasing arrangements.</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Certain real estate investments are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u w:val="single" w:color="auto"/>
          <w:color w:val="auto"/>
        </w:rPr>
        <w:t>Tenant Capital Improvements</w:t>
      </w:r>
      <w:r>
        <w:rPr>
          <w:rFonts w:ascii="Arial" w:cs="Arial" w:eastAsia="Arial" w:hAnsi="Arial"/>
          <w:sz w:val="16"/>
          <w:szCs w:val="16"/>
          <w:color w:val="auto"/>
        </w:rPr>
        <w:t xml:space="preserve"> – Our lease with Windstream provides that tenant funded capital improvements (“TCI’s”), defined as maintenance, repair, overbuild, upgrade or replacements to the leased network, including, without limitation, the replacement of copper distribution systems with fiber distribution systems, automatically become property of CS&amp;L upon their construction by Windstream. We receive non-monetary consideration related to the TCIs as they automatically become our property, and we recognize the cost basis of TCIs that are capital in nature as real estate investments and deferred revenue. Deferred revenue is recorded within accounts payable, accrued expenses and other liabilities. We depreciate the real estate investments over their estimated useful lives and amortize the deferred revenue as additional leasing revenues over the same depreciable life of the TCI assets. At June 30, 2015, the net book value of TCI’s recorded as a component of real estate investments, net on our Condensed Consolidated Balance Sheet was $6.3 million.</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—We review long-lived assets for impairment whenever events or changes in circumstances indicate that the carrying amount of the asset group may not be recoverable from future, undiscounted net cash flows we expected the asset group to generate. If the asset group is not fully recoverable, an impairment loss would be recognized for the difference between the carrying value of the asset group and its estimated fair value based on discounted net future cash flows.</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—Cash and cash equivalents include all non-restricted cash held at financial institutions and other non-restricted highly liquid short-term investments with original maturities of three months or less.</w:t>
      </w:r>
    </w:p>
    <w:p>
      <w:pPr>
        <w:spacing w:after="0" w:line="170" w:lineRule="exact"/>
        <w:rPr>
          <w:sz w:val="20"/>
          <w:szCs w:val="20"/>
          <w:color w:val="auto"/>
        </w:rPr>
      </w:pPr>
    </w:p>
    <w:p>
      <w:pPr>
        <w:ind w:right="80"/>
        <w:spacing w:after="0" w:line="297" w:lineRule="auto"/>
        <w:rPr>
          <w:rFonts w:ascii="Arial" w:cs="Arial" w:eastAsia="Arial" w:hAnsi="Arial"/>
          <w:sz w:val="16"/>
          <w:szCs w:val="16"/>
          <w:color w:val="auto"/>
        </w:rPr>
      </w:pPr>
      <w:r>
        <w:rPr>
          <w:rFonts w:ascii="Arial" w:cs="Arial" w:eastAsia="Arial" w:hAnsi="Arial"/>
          <w:sz w:val="16"/>
          <w:szCs w:val="16"/>
          <w:u w:val="single" w:color="auto"/>
          <w:color w:val="auto"/>
        </w:rPr>
        <w:t>Derivative Instruments and Hedging Activities</w:t>
      </w:r>
      <w:r>
        <w:rPr>
          <w:rFonts w:ascii="Arial" w:cs="Arial" w:eastAsia="Arial" w:hAnsi="Arial"/>
          <w:sz w:val="16"/>
          <w:szCs w:val="16"/>
          <w:color w:val="auto"/>
        </w:rPr>
        <w:t xml:space="preserve">—We account for our derivatives in accordance with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in which we reflect all derivative instruments at fair value as either assets or liabilities on our Condensed Consolidated Balance Sheet. For derivative instruments that are designated and qualify as hedging instruments, we record the effective portion of the gain or loss on the hedge instruments as a component of accumulated other comprehensive income. Any ineffective portion of a derivative’s change in fair value is immediately recognized within net income. For derivatives that do not meet the criteria for hedge accounting, changes in fair value are immediately recognized within net income. See </w:t>
      </w:r>
      <w:hyperlink w:anchor="page14">
        <w:r>
          <w:rPr>
            <w:rFonts w:ascii="Arial" w:cs="Arial" w:eastAsia="Arial" w:hAnsi="Arial"/>
            <w:sz w:val="16"/>
            <w:szCs w:val="16"/>
            <w:u w:val="single" w:color="auto"/>
            <w:color w:val="0000EE"/>
          </w:rPr>
          <w:t>Note 5</w:t>
        </w:r>
      </w:hyperlink>
      <w:r>
        <w:rPr>
          <w:rFonts w:ascii="Arial" w:cs="Arial" w:eastAsia="Arial" w:hAnsi="Arial"/>
          <w:sz w:val="16"/>
          <w:szCs w:val="16"/>
          <w:color w:val="auto"/>
        </w:rPr>
        <w:t>.</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Customer List Intangible Assets</w:t>
      </w:r>
      <w:r>
        <w:rPr>
          <w:rFonts w:ascii="Arial" w:cs="Arial" w:eastAsia="Arial" w:hAnsi="Arial"/>
          <w:sz w:val="18"/>
          <w:szCs w:val="18"/>
          <w:color w:val="auto"/>
        </w:rPr>
        <w:t>—Customer list intangible assets are presented in the financial statements at cost less accumulated amortization and are amortized using the sum-of-the-digits method over their estimated useful lives.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—We recognize leasing revenues on a straight-line basis over the applicable lease term when collectability is reasonably assured. Recognizing leasing income on a straight-line basis generally results in recognized revenues during the first half of the lease term in excess of cash amounts contractually due from our tenants, creating a straight-line rent receivable.</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evaluate the collectability of straight-line rent receivables and record a provision for doubtful accounts if management believes the receivables to be uncollectible. At June 30, 2015 no allowance was recorded related to our straight-line rent receivable.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Consumer CLEC Business revenues are primarily derived from providing access to or usage of leased networks and facilities, and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 value of restricted stock-based payments is based on the market value of our common stock on the date of grant. The fair value of performance-based awards, which have performance conditions, is based on a Monte Carlo simulation. The fair value of all stock-based compensation is recognized over the period during which an employee is required to provide services in exchange for the award.</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—We intend to elect on our U.S. federal income tax return for the taxable year ending December 31, 2015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we could not deduct dividends paid to our shareholders in computing taxable income. Any resulting corporate liability could be substantial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81"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To maintain REIT status, we must distribute a minimum of 90% of our taxable income. We intend to make regular quarterly dividend payments of all or substantially all of our income to holders of our common stock, and therefore no provision is required in the accompanying Condensed Consolidated Financial Statements for federal income taxes related to the activities of the REIT and its pass-through subsidiaries. We are subject to the statutory requirements of the locations in which we conduct business, and state and local income taxes are accrued as deemed required in the best judgment of management base on analysis and interpretation of respective tax laws.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elected to treat certain subsidiaries as taxable REIT subsidiaries (“TRS”). Certain activities that we undertake must be conducted by a TRS, such as our Consumer CLEC Business, that we could otherwise not perform as a REIT, such as holding certain assets directly. A TRS is subject to both corporate level federal and state income taxes.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Deferred income taxes are recognized in certain taxable entities. 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currently have no liabilities for uncertain income tax positions. We have not yet filed our initial corporate tax return and therefore are not yet subject to examination.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will be subject to a federal corporate level tax rate (currently 35%) on any gain recognized from the sale of assets occurring within a specified period (generally 10 years) after the spin-off up to the amount of the built in gain that existed on April 24, 2015, which is based on the fair market value of the assets in excess of the Company’s tax basis as of such date.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—Basic earnings per share includes only the weighted average number of common shares outstanding during the period. Dilutive earnings per share includes the weighted average number of common shares and the dilutive effect of restricted stock and performance-based awards outstanding during the period, when such awards are dilutive.</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u w:val="single" w:color="auto"/>
          <w:color w:val="auto"/>
        </w:rPr>
        <w:t>Fair Value of Financial Instruments</w:t>
      </w:r>
      <w:r>
        <w:rPr>
          <w:rFonts w:ascii="Arial" w:cs="Arial" w:eastAsia="Arial" w:hAnsi="Arial"/>
          <w:sz w:val="16"/>
          <w:szCs w:val="16"/>
          <w:color w:val="auto"/>
        </w:rPr>
        <w:t xml:space="preserve">—FASB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Inputs other than quoted prices included within Level 1 that are observable for the asset or liability, either directly or indirectly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for the asset or liability</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derivative assets, our outstanding notes and other debt, accounts payable and interest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valuation of our financial instruments at June 30,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Prices with Other</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608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154,615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154,615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Accounts and other receivables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Derivative asset</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186,673</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158,122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28,551</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notes - 6.00% , due April 15, 2023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1,082,250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2,086,500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2,086,500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Accounts and interest payable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3,590,797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3,557,750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accounts payable and interest payable approximate fair values due to the short-term nature of these financial instruments. Derivative assets are carried at fair value.</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has determined that the majority of the inputs used to value its derivative assets fall within Level 2 of the fair value hierarchy; however the associated credit valuation adjustments utilized Level 3 inputs, such as estimates of credit spreads, to evaluate the likelihood of default by the Company and its counterparties. As of June 30, 2015,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valuation in Level 2 of the fair value hierarchy.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total principal balance of our Notes and other debt was $3.65 billion at June 30, 2015, with a fair value of $3.56 billion, based on Level 2 inputs.</w:t>
      </w:r>
    </w:p>
    <w:p>
      <w:pPr>
        <w:spacing w:after="0" w:line="23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u w:val="single" w:color="auto"/>
          <w:color w:val="auto"/>
        </w:rPr>
        <w:t>Concentration of Credit Risks</w:t>
      </w:r>
      <w:r>
        <w:rPr>
          <w:rFonts w:ascii="Arial" w:cs="Arial" w:eastAsia="Arial" w:hAnsi="Arial"/>
          <w:sz w:val="16"/>
          <w:szCs w:val="16"/>
          <w:color w:val="auto"/>
        </w:rPr>
        <w:t>—In connection with the Spin-Off, we entered into a long-term exclusive triple-net lease agreement with Windstream (the “Master Lease”), pursuant to which all real property currently owned by CS&amp;L is leased to Windstream and from which all of CS&amp;L’s rental revenues are currently derived. 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5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Because substantially all of our revenue is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lease payments.</w:t>
      </w:r>
    </w:p>
    <w:p>
      <w:pPr>
        <w:spacing w:after="0" w:line="178" w:lineRule="exact"/>
        <w:rPr>
          <w:sz w:val="20"/>
          <w:szCs w:val="20"/>
          <w:color w:val="auto"/>
        </w:rPr>
      </w:pPr>
    </w:p>
    <w:p>
      <w:pPr>
        <w:spacing w:after="0" w:line="273" w:lineRule="auto"/>
        <w:rPr>
          <w:rFonts w:ascii="Arial" w:cs="Arial" w:eastAsia="Arial" w:hAnsi="Arial"/>
          <w:sz w:val="17"/>
          <w:szCs w:val="17"/>
          <w:color w:val="auto"/>
        </w:rPr>
      </w:pPr>
      <w:r>
        <w:rPr>
          <w:rFonts w:ascii="Arial" w:cs="Arial" w:eastAsia="Arial" w:hAnsi="Arial"/>
          <w:sz w:val="17"/>
          <w:szCs w:val="17"/>
          <w:u w:val="single" w:color="auto"/>
          <w:color w:val="auto"/>
        </w:rPr>
        <w:t>Recently Issued Accounting Standards</w:t>
      </w:r>
      <w:r>
        <w:rPr>
          <w:rFonts w:ascii="Arial" w:cs="Arial" w:eastAsia="Arial" w:hAnsi="Arial"/>
          <w:sz w:val="17"/>
          <w:szCs w:val="17"/>
          <w:color w:val="auto"/>
        </w:rPr>
        <w:t xml:space="preserve">—In April 2015, the FASB issued Accounting Standards Update (“ASU”) 2015-03, </w:t>
      </w:r>
      <w:r>
        <w:rPr>
          <w:rFonts w:ascii="Arial" w:cs="Arial" w:eastAsia="Arial" w:hAnsi="Arial"/>
          <w:sz w:val="17"/>
          <w:szCs w:val="17"/>
          <w:i w:val="1"/>
          <w:iCs w:val="1"/>
          <w:color w:val="auto"/>
        </w:rPr>
        <w:t>Simplifying the 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w:t>
      </w:r>
      <w:r>
        <w:rPr>
          <w:rFonts w:ascii="Arial" w:cs="Arial" w:eastAsia="Arial" w:hAnsi="Arial"/>
          <w:sz w:val="17"/>
          <w:szCs w:val="17"/>
          <w:color w:val="auto"/>
        </w:rPr>
        <w:t>(“ASU 2015-03”), which requires that debt issuance costs related to a recognized debt liability be presented in the balance sheet as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direct deduction from the carrying amount of that debt liability, consistent with debt discounts. The recognition and measurement guidance for debt issuance costs are not affected. This guidance is effective for financial statements issued for fiscal years beginning after December 15, 2015; however, early adoption is permitted. We have adopted ASU 2015-03 effective April 24, 2015, and therefore have presented debt issuance costs as a direct deduction from the carrying amount of our debt on our Condensed Consolidated Balance Sheet. See </w:t>
      </w:r>
      <w:hyperlink w:anchor="page15">
        <w:r>
          <w:rPr>
            <w:rFonts w:ascii="Arial" w:cs="Arial" w:eastAsia="Arial" w:hAnsi="Arial"/>
            <w:sz w:val="17"/>
            <w:szCs w:val="17"/>
            <w:u w:val="single" w:color="auto"/>
            <w:color w:val="0000EE"/>
          </w:rPr>
          <w:t>Note 7</w:t>
        </w:r>
      </w:hyperlink>
      <w:r>
        <w:rPr>
          <w:rFonts w:ascii="Arial" w:cs="Arial" w:eastAsia="Arial" w:hAnsi="Arial"/>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Management is in the process of determining the method of adoption and assessing the impact of ASU 2014-09 on our financial statements.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real estate investments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640" w:type="dxa"/>
            <w:vAlign w:val="bottom"/>
            <w:gridSpan w:val="4"/>
          </w:tcPr>
          <w:p>
            <w:pPr>
              <w:jc w:val="right"/>
              <w:ind w:right="950"/>
              <w:spacing w:after="0"/>
              <w:rPr>
                <w:sz w:val="20"/>
                <w:szCs w:val="20"/>
                <w:color w:val="auto"/>
              </w:rPr>
            </w:pPr>
            <w:r>
              <w:rPr>
                <w:rFonts w:ascii="Arial" w:cs="Arial" w:eastAsia="Arial" w:hAnsi="Arial"/>
                <w:sz w:val="14"/>
                <w:szCs w:val="14"/>
                <w:b w:val="1"/>
                <w:bCs w:val="1"/>
                <w:color w:val="auto"/>
              </w:rPr>
              <w:t>Depreciable Lives</w:t>
            </w: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2015</w:t>
            </w:r>
          </w:p>
        </w:tc>
      </w:tr>
      <w:tr>
        <w:trPr>
          <w:trHeight w:val="223"/>
        </w:trPr>
        <w:tc>
          <w:tcPr>
            <w:tcW w:w="20" w:type="dxa"/>
            <w:vAlign w:val="bottom"/>
          </w:tcPr>
          <w:p>
            <w:pPr>
              <w:spacing w:after="0"/>
              <w:rPr>
                <w:sz w:val="19"/>
                <w:szCs w:val="19"/>
                <w:color w:val="auto"/>
              </w:rPr>
            </w:pPr>
          </w:p>
        </w:tc>
        <w:tc>
          <w:tcPr>
            <w:tcW w:w="6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32,669</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Building and improvements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- 40 years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310,171</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Poles</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- 40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224,322</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- 40 years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1,872,728</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Copper</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- 40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3,451,229</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Conduit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- 47 years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89,465</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16,854</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5,997,438</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(3,557,112)</w:t>
            </w:r>
          </w:p>
        </w:tc>
      </w:tr>
      <w:tr>
        <w:trPr>
          <w:trHeight w:val="223"/>
        </w:trPr>
        <w:tc>
          <w:tcPr>
            <w:tcW w:w="20" w:type="dxa"/>
            <w:vAlign w:val="bottom"/>
          </w:tcPr>
          <w:p>
            <w:pPr>
              <w:spacing w:after="0"/>
              <w:rPr>
                <w:sz w:val="19"/>
                <w:szCs w:val="19"/>
                <w:color w:val="auto"/>
              </w:rPr>
            </w:pPr>
          </w:p>
        </w:tc>
        <w:tc>
          <w:tcPr>
            <w:tcW w:w="7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real estate investments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2,440,326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period from April 24, 2015 to June 30, 2015 was $63.8 million.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Construction in progress represents in process capital projects that were transferred to us at Spin-Off. As Windstream completes these projects, amounts are reclassified to depreciable assets. We currently do not engage in any construction or development activities.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 and Hedging Activities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4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April 27, 2015 we entered into interest rate swap agreements to mitigate the interest rate risk inherent in our variable rate Senior Secured Term Loan B facility. These interest rate swaps are designated as cash flow hedges and have a notional value of $2.14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Location on Condensed Consolidated Balance Sheet</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2015</w:t>
            </w:r>
          </w:p>
        </w:tc>
      </w:tr>
      <w:tr>
        <w:trPr>
          <w:trHeight w:val="223"/>
        </w:trPr>
        <w:tc>
          <w:tcPr>
            <w:tcW w:w="6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22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Derivative asset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28,551</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June 30, 2015, all of the interest rate swaps were valued in net unrealized gain positions and recognized as asset balances within the derivative asset balance. For the period from April 24, 2015 to June 30, 2015, the amount recorded in other comprehensive income related to the unrealized gain on derivative instruments was $32.9 million. The amount reclassified out of other comprehensive income into interest expense on our Condensed Consolidated Statement of Income was $4.3 million. For the period from April 24, 2015 to June 30, 2015, there was no ineffective portion of the change in fair value derivatives.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expense as interest payments are made on our variable-rate debt. During the next twelve months, beginning July 1, 2015, we estimate that $22.8 million will be reclassified as an increase to interest expense.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Customer List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customer list intangible assets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June 30, 2015</w:t>
            </w: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52"/>
        </w:trPr>
        <w:tc>
          <w:tcPr>
            <w:tcW w:w="4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1"/>
                <w:szCs w:val="21"/>
                <w:color w:val="auto"/>
              </w:rPr>
            </w:pPr>
          </w:p>
        </w:tc>
        <w:tc>
          <w:tcPr>
            <w:tcW w:w="2000" w:type="dxa"/>
            <w:vAlign w:val="bottom"/>
            <w:gridSpan w:val="2"/>
          </w:tcPr>
          <w:p>
            <w:pPr>
              <w:ind w:left="26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21"/>
                <w:szCs w:val="21"/>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Net Carrying</w:t>
            </w:r>
          </w:p>
        </w:tc>
      </w:tr>
      <w:tr>
        <w:trPr>
          <w:trHeight w:val="228"/>
        </w:trPr>
        <w:tc>
          <w:tcPr>
            <w:tcW w:w="438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9"/>
                <w:szCs w:val="19"/>
                <w:color w:val="auto"/>
              </w:rPr>
            </w:pPr>
          </w:p>
        </w:tc>
        <w:tc>
          <w:tcPr>
            <w:tcW w:w="200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9"/>
                <w:szCs w:val="19"/>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43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Amortization expense for the customer list intangible assets was $0.6 million for the period from April 24, 2015 to June 30, 2015. Amortization expense is estimated to be $2.6 million for the full year of 2015, $3.3 million in 2016, $2.6 million in 2017, $2.0 million in 2018 and $1.4 million in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Notes and Other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Principal amount</w:t>
            </w:r>
          </w:p>
        </w:tc>
        <w:tc>
          <w:tcPr>
            <w:tcW w:w="4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discount and debt issuance costs</w:t>
            </w:r>
          </w:p>
        </w:tc>
        <w:tc>
          <w:tcPr>
            <w:tcW w:w="42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(141,315)</w:t>
            </w:r>
          </w:p>
        </w:tc>
        <w:tc>
          <w:tcPr>
            <w:tcW w:w="0" w:type="dxa"/>
            <w:vAlign w:val="bottom"/>
          </w:tcPr>
          <w:p>
            <w:pPr>
              <w:spacing w:after="0"/>
              <w:rPr>
                <w:sz w:val="1"/>
                <w:szCs w:val="1"/>
                <w:color w:val="auto"/>
              </w:rPr>
            </w:pPr>
          </w:p>
        </w:tc>
      </w:tr>
      <w:tr>
        <w:trPr>
          <w:trHeight w:val="230"/>
        </w:trPr>
        <w:tc>
          <w:tcPr>
            <w:tcW w:w="6900" w:type="dxa"/>
            <w:vAlign w:val="bottom"/>
            <w:gridSpan w:val="3"/>
          </w:tcPr>
          <w:p>
            <w:pPr>
              <w:spacing w:after="0"/>
              <w:rPr>
                <w:sz w:val="20"/>
                <w:szCs w:val="20"/>
                <w:color w:val="auto"/>
              </w:rPr>
            </w:pPr>
            <w:r>
              <w:rPr>
                <w:rFonts w:ascii="Arial" w:cs="Arial" w:eastAsia="Arial" w:hAnsi="Arial"/>
                <w:sz w:val="18"/>
                <w:szCs w:val="18"/>
                <w:color w:val="auto"/>
              </w:rPr>
              <w:t>Notes and other debt less unamortized discount and debt issuance costs</w:t>
            </w: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3,508,685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Notes and other debt at June 30, 2015 consisted of the following:</w:t>
            </w: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Unamortized Discount and Debt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gridSpan w:val="4"/>
            <w:vMerge w:val="restart"/>
          </w:tcPr>
          <w:p>
            <w:pPr>
              <w:jc w:val="right"/>
              <w:ind w:right="905"/>
              <w:spacing w:after="0"/>
              <w:rPr>
                <w:sz w:val="20"/>
                <w:szCs w:val="20"/>
                <w:color w:val="auto"/>
              </w:rPr>
            </w:pPr>
            <w:r>
              <w:rPr>
                <w:rFonts w:ascii="Arial" w:cs="Arial" w:eastAsia="Arial" w:hAnsi="Arial"/>
                <w:sz w:val="14"/>
                <w:szCs w:val="14"/>
                <w:b w:val="1"/>
                <w:bCs w:val="1"/>
                <w:color w:val="auto"/>
              </w:rPr>
              <w:t>Principal</w:t>
            </w:r>
          </w:p>
        </w:tc>
        <w:tc>
          <w:tcPr>
            <w:tcW w:w="2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2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Senior secured notes - 6.00% , due April 15, 2023</w:t>
            </w:r>
          </w:p>
        </w:tc>
        <w:tc>
          <w:tcPr>
            <w:tcW w:w="1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6.29%)</w:t>
            </w: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Senior unsecured notes - 8.25%, due October 15, 2023</w:t>
            </w: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3"/>
          </w:tcPr>
          <w:p>
            <w:pPr>
              <w:spacing w:after="0"/>
              <w:rPr>
                <w:sz w:val="20"/>
                <w:szCs w:val="20"/>
                <w:color w:val="auto"/>
              </w:rPr>
            </w:pPr>
            <w:r>
              <w:rPr>
                <w:rFonts w:ascii="Arial" w:cs="Arial" w:eastAsia="Arial" w:hAnsi="Arial"/>
                <w:sz w:val="18"/>
                <w:szCs w:val="18"/>
                <w:color w:val="auto"/>
              </w:rPr>
              <w:t>(discount is based on imputed interest rate of 9.06%)</w:t>
            </w:r>
          </w:p>
        </w:tc>
        <w:tc>
          <w:tcPr>
            <w:tcW w:w="4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1,110,000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(52,252)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term loan B - variable rate, due October 24, 2022</w:t>
            </w: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5.66%)</w:t>
            </w:r>
          </w:p>
        </w:tc>
        <w:tc>
          <w:tcPr>
            <w:tcW w:w="4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(81,936)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4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3,650,000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April 24, 2015 we, along with our wholly owned subsidiary CSL Capital, LLC (“CSL Capital”), co-issued $400 million aggregate principal amount of 6.00% Senior Secured Notes due April 15, 2023 (the “Secured Notes”) and $1.11 billion aggregate principal amount of 8.25% Senior Unsecured Notes due October 15, 2023 (the “Senior Notes” and together with the Secured Notes, the “Notes”). The Secured Notes were issued at an issue price of 100% of par value, while the Senior Notes were issued at an issue price of 97.055% of par value. The Notes are guaranteed by each of CS&amp;L’s wholly-owned domestic subsidiaries that guarantee indebtedness under CS&amp;L’s senior credit facilities. The Notes were issued to Windstream Services as partial consideration for the contribution of the Distribution Systems and the Consumer CLEC Business in connection with the Spin-Off. As such, CS&amp;L did not receive any proceeds from the issuance of the Notes. The issuance of the Notes and their exchange by Windstream Services for certain of its outstanding indebtedness were not registered under the Securities Act of 1933, as amended (the “Securities Act”), but were exempt from registration under Rule 144A, Regulation S and other applicable exemptions of the Securities Act. Pursuant to a registration rights agreement entered into by the Company in connection with the sale of the Senior Notes, the Company subsequently filed with the SEC a registration statement relating to an exchange offer pursuant to which exchange notes registered with the SEC, containing substantially identical terms to the Senior Notes, will be offered in exchange for Senior Notes that are tendered by the holders of those notes.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Notes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the ability of the CS&amp;L, CSL Capital and our restricted subsidiaries to pay dividends. The covenants are subject to a number of important and significant limitations, qualifications and exceptions. As of June 30, 2015, we were in compliance with all of the covenants under the Notes.</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on April 24, 2015 the Company and CSL Capital entered into a credit agreement (the “Credit Agreement”), which provides for a $2.14 billion Senior Secured Term Loan B facility due October 24, 2022 (the “Term Loan Facility”) and a $500 million senior secured revolving credit facility maturing April 24, 2020 (the “Revolving Credit Facility” and, together with the Term Loan Facility, the “Facilities”). The term loans under the Facilities were issued at an issue price of 98.00% of par value, bear interest at a rate equal to a Eurodollar rate, subject to a 1.0% floor, plus an applicable margin equal to 4.00%, and are subject to amortization of 1.0% per annum. The loans have been incurred by the Company and CSL Capital, are guaranteed by certain of CS&amp;L’s wholly-owned subsidiaries (the “Guarantors”), and are secured by substantially all of the assets of CS&amp;L, CSL Capital and the Guarantors, subject to certain exceptions, which assets also secure the Secured Notes. The Revolving Credit Facility bears interest at a rate equal to LIBOR plus 1.75% to 2.25% based on our consolidated secured leverage ratio, as defined in the Credit Agreement.</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customary covenants under the Credit Agreement, including an obligation to maintain a consolidated secured leverage ratio, as defined in the Credit Agreement, not to exceed 5.00 to 1.00. We are permitted, subject to customary conditions, to incur incremental term loan borrowings and/or increased commitments under the Credit Agreement in an aggregate amount equal to $150 million plus, an unlimited amount, so long as, on a pro forma basis after giving effect to any such increases, our consolidated total leverage ratio, as defined in the Credit Agreement, does not exceed 6.50 to 1.00 and our consolidated secured leverage ratio, as defined, does not exceed 4.00 to 1.00. As of June 30, 2015, we were in compliance with all of the covenants under the Credit Agreement.</w:t>
      </w:r>
    </w:p>
    <w:p>
      <w:pPr>
        <w:spacing w:after="0" w:line="193"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Company transferred $1.04 billion of cash proceeds under the Facilities to Windstream Services, the Company’s parent immediately preceding the Spin-Off, as partial consideration for the contribution of the Distribution Systems and the Consumer CLEC Business in connection with the Spin-Off. After giving effect to the borrowings under the Facilities, the issuance of the Notes and the transfer of cash to Windstream Services, the Company retained net borrowing proceeds of $62.2 million, which are available to us for general corporate purposes.</w:t>
      </w:r>
    </w:p>
    <w:p>
      <w:pPr>
        <w:spacing w:after="0" w:line="17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 of Income. For the period from April 24, 2015 to June 30, 2015, we recognized $1.3 million of non-cash interest expense related to the amortization of deferred financing costs.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Board of Directors has adopted the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Spin-Off, the Company issued 538,819 restricted shares and 70,889 performance-based restricted stock units to employees of Windstream in accordance with the terms of the Employee Matters Agreement between the Company and Windstream. Under the Employee Matters Agreement, which governs the compensation and employee benefit obligations of CS&amp;L and Windstream with respect to the current and former employees of each company, employees of Windstream who held equity awards as of the date of the Spin-Off were entitled to receive equity awards of CS&amp;L in the same proportion as if the equity awards had been common shares on the date of the Spin-Off. The CS&amp;L awards issued have the same form and vesting requirements as the underlying Windstream awards. For the purposes of vesting in the CS&amp;L awards, continued service with Windstream is deemed to be continued service with CS&amp;L. We do not recognize any compensation expense in our Condensed Consolidated Statement of Income related to these awards, as none of the employees granted awards provide service to CS&amp;L. At June 30, 2015, 511,387 restricted shares, and 63,723 performance-based restricted stock units issued to Windstream employees remained outstanding.</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Certain employees of CS&amp;L have retained their unvested Windstream awards that were held prior to the Spin-Off. Unrecognized compensation expense related to these awards was $0.3 million at June 30, 2015, and will be amortized to compensation expense in our Condensed Consolidated Statement of Income on a straight-line basis over the vesting period. For the period from April 24, 2015 to June 30, 2015, we recognized $53,000 of compensation expense related to these awards, which is recorded in general and administrative expense on our Condensed Consolidated Statement of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Awards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period April 24, 2015 to June 30, 2015, the Company granted 229,080 shares of restricted stock to employees, which had a fair value of $5.9 million as of the date of grant. The restricted stock awards are amortized on a straight-line basis to expense over the vesting period. The following table sets forth the number of unvested restricted stock awards and the weighted-average fair value of these awards at the date of grant: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80" w:type="dxa"/>
            <w:vAlign w:val="bottom"/>
            <w:vMerge w:val="restart"/>
          </w:tcPr>
          <w:p>
            <w:pPr>
              <w:ind w:left="700"/>
              <w:spacing w:after="0"/>
              <w:rPr>
                <w:sz w:val="20"/>
                <w:szCs w:val="20"/>
                <w:color w:val="auto"/>
              </w:rPr>
            </w:pPr>
            <w:r>
              <w:rPr>
                <w:rFonts w:ascii="Arial" w:cs="Arial" w:eastAsia="Arial" w:hAnsi="Arial"/>
                <w:sz w:val="14"/>
                <w:szCs w:val="14"/>
                <w:b w:val="1"/>
                <w:bCs w:val="1"/>
                <w:color w:val="auto"/>
                <w:w w:val="94"/>
              </w:rPr>
              <w:t>Restricted Awards</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Weighted Average Fair Value at Grant</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Unvested balance April 24, 2015</w:t>
            </w:r>
          </w:p>
        </w:tc>
        <w:tc>
          <w:tcPr>
            <w:tcW w:w="18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ind w:right="406"/>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229,080</w:t>
            </w:r>
          </w:p>
        </w:tc>
        <w:tc>
          <w:tcPr>
            <w:tcW w:w="4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6"/>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80" w:type="dxa"/>
            <w:vAlign w:val="bottom"/>
            <w:gridSpan w:val="2"/>
          </w:tcPr>
          <w:p>
            <w:pPr>
              <w:jc w:val="right"/>
              <w:ind w:right="406"/>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6"/>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Unvested balance, June 30, 2015</w:t>
            </w:r>
          </w:p>
        </w:tc>
        <w:tc>
          <w:tcPr>
            <w:tcW w:w="18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229,080</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2015, total unrecognized compensation expense on restricted awards was approximately $5.6 million, and the weighted average vesting period was 2.9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150%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quarterly and paid in cash upon the vesting of a PSU. Dividend equivalents are forfeited to the extent that the underlying PSU is forfeited.</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29, 2015, we issued 60,970 PSUs equal to 100% of the target amount, with an aggregate value of $1.3 million on the grant date. The PSUs, in addition to a service condition, are subject to the Company’s performance versus the total return version of the RMZ Market Equity REIT Index and a triple-net lease peer group, as defined by the Compensation Committee, which are market conditions and impacts the number of shares that ultimately vest. Upon evaluating the results of the market conditions, the final number of shares is determined and such shares vest based on satisfaction of the service condition. The PSUs are amortized on a straight-line based over the vesting period. During the period from April 24, 2015 to June 30, 2015, no PSUs were forfeited due to termination of service.</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June 30, 2015, total unrecognized compensation expense related to PSUs was approximately $1.3 million, and the weighted-average vesting period was 2.9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period from April 24, 2015 to June 30, 2015: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vMerge w:val="restart"/>
          </w:tcPr>
          <w:p>
            <w:pPr>
              <w:spacing w:after="0"/>
              <w:rPr>
                <w:sz w:val="20"/>
                <w:szCs w:val="20"/>
                <w:color w:val="auto"/>
              </w:rPr>
            </w:pPr>
            <w:r>
              <w:rPr>
                <w:rFonts w:ascii="Arial" w:cs="Arial" w:eastAsia="Arial" w:hAnsi="Arial"/>
                <w:sz w:val="18"/>
                <w:szCs w:val="18"/>
                <w:color w:val="auto"/>
              </w:rPr>
              <w:t>Expected term (years)</w:t>
            </w:r>
          </w:p>
        </w:tc>
        <w:tc>
          <w:tcPr>
            <w:tcW w:w="4140" w:type="dxa"/>
            <w:vAlign w:val="bottom"/>
          </w:tcPr>
          <w:p>
            <w:pPr>
              <w:spacing w:after="0"/>
              <w:rPr>
                <w:sz w:val="14"/>
                <w:szCs w:val="14"/>
                <w:color w:val="auto"/>
              </w:rPr>
            </w:pPr>
          </w:p>
        </w:tc>
        <w:tc>
          <w:tcPr>
            <w:tcW w:w="35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April 24, 2015 - June 30, 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4140" w:type="dxa"/>
            <w:vAlign w:val="bottom"/>
          </w:tcPr>
          <w:p>
            <w:pPr>
              <w:spacing w:after="0"/>
              <w:rPr>
                <w:sz w:val="19"/>
                <w:szCs w:val="19"/>
                <w:color w:val="auto"/>
              </w:rPr>
            </w:pPr>
          </w:p>
        </w:tc>
        <w:tc>
          <w:tcPr>
            <w:tcW w:w="3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Expected annual dividend</w:t>
            </w:r>
          </w:p>
        </w:tc>
        <w:tc>
          <w:tcPr>
            <w:tcW w:w="766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Risk free rate</w:t>
            </w:r>
          </w:p>
        </w:tc>
        <w:tc>
          <w:tcPr>
            <w:tcW w:w="7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3760" w:type="dxa"/>
            <w:vAlign w:val="bottom"/>
          </w:tcPr>
          <w:p>
            <w:pPr>
              <w:spacing w:after="0"/>
              <w:rPr>
                <w:sz w:val="24"/>
                <w:szCs w:val="24"/>
                <w:color w:val="auto"/>
              </w:rPr>
            </w:pPr>
          </w:p>
        </w:tc>
        <w:tc>
          <w:tcPr>
            <w:tcW w:w="4140" w:type="dxa"/>
            <w:vAlign w:val="bottom"/>
          </w:tcPr>
          <w:p>
            <w:pPr>
              <w:jc w:val="right"/>
              <w:ind w:right="2010"/>
              <w:spacing w:after="0"/>
              <w:rPr>
                <w:sz w:val="20"/>
                <w:szCs w:val="20"/>
                <w:color w:val="auto"/>
              </w:rPr>
            </w:pPr>
            <w:r>
              <w:rPr>
                <w:rFonts w:ascii="Arial" w:cs="Arial" w:eastAsia="Arial" w:hAnsi="Arial"/>
                <w:sz w:val="18"/>
                <w:szCs w:val="18"/>
                <w:color w:val="auto"/>
              </w:rPr>
              <w:t>17</w:t>
            </w: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For the period April 24, 2015 to June 30, 2015, we recognized $0.3 million of compensation expense related to restricted stock awards and performance-based awards, which is recorded in general and administrative expense on our condensed consolidated statement of income.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Spin-Off, we issued approximately 149.8 million shares of our common stock, par value $0.0001 per share, to Windstream as partial consideration for the contribution of the Distribution Systems and the Consumer CLEC Business. Windstream Holdings distributed approximately 80.4% of the CS&amp;L shares it received to existing stockholders of Windstream Holdings and retained a passive ownership interest of approximately 19.6% of the common stock of CS&amp;L. As a result of this ownership Windstream is deemed to be a related party. Our Condensed Consolidated Financial Statements reflect the following transactions with Windstream.</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Revenues</w:t>
      </w:r>
      <w:r>
        <w:rPr>
          <w:rFonts w:ascii="Arial" w:cs="Arial" w:eastAsia="Arial" w:hAnsi="Arial"/>
          <w:sz w:val="18"/>
          <w:szCs w:val="18"/>
          <w:color w:val="auto"/>
        </w:rPr>
        <w:t xml:space="preserve"> – The Company records leasing revenue pursuant to the Master Lease. For the period from April 24, 2015 to June 30, 2015, we recognized leasing revenues of $124.2 million related to the Master Lease.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–We are party to a Transition Services Agreement (“TSA”) pursuant to which Windstream and its affiliates provides, on an interim basis, various services, including but not limited to information technology services, payment processing and collection services, financial and tax services, regulatory compliance and other support services. For the period from April 24, 2015 to June 30, 2015 we incurred $33 thousand of expense under the TSA.</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CLEC Operating Expenses</w:t>
      </w:r>
      <w:r>
        <w:rPr>
          <w:rFonts w:ascii="Arial" w:cs="Arial" w:eastAsia="Arial" w:hAnsi="Arial"/>
          <w:sz w:val="18"/>
          <w:szCs w:val="18"/>
          <w:color w:val="auto"/>
        </w:rPr>
        <w:t xml:space="preserve"> –We are party to a Wholesale Master Services Agreement (“Wholesale Agreement”) and a Master Services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CS&amp;L. For the period from April 24, 2015 to June 30, 2015 we incurred expenses of $2.8 million and $0.3 million related to the Wholesale Agreement and Master Services Agreement, respectively.</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June 30, 2015 there was a $13.0 million dividend payable to Windstream related to the pro-rata dividend declared on May 6, 2015, based on Windstream ownership of CS&amp;L shares as of the June 30, 2015 record date. In addition, there was $0.8 million accounts receivable from Windstream related to the collection of Consumer CLEC Business revenues, net of amounts owed to Windstream under the Wholesale Agreement and Master Services Agreement recorded in accounts receivable on our Condensed Consolidated Balance Sheet.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also issue PSUs; however these units contain forfeitable rights to receive dividends and are therefore considered non-participating restrictive shares and are not dilutive under the two-class method until performance conditions are met.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00" w:type="dxa"/>
            <w:vAlign w:val="bottom"/>
            <w:gridSpan w:val="2"/>
          </w:tcPr>
          <w:p>
            <w:pPr>
              <w:ind w:left="4200"/>
              <w:spacing w:after="0"/>
              <w:rPr>
                <w:sz w:val="20"/>
                <w:szCs w:val="20"/>
                <w:color w:val="auto"/>
              </w:rPr>
            </w:pPr>
            <w:r>
              <w:rPr>
                <w:rFonts w:ascii="Arial" w:cs="Arial" w:eastAsia="Arial" w:hAnsi="Arial"/>
                <w:sz w:val="18"/>
                <w:szCs w:val="18"/>
                <w:b w:val="1"/>
                <w:bCs w:val="1"/>
                <w:color w:val="auto"/>
              </w:rPr>
              <w:t>Communications Sales &amp; Leasing, Inc.</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100" w:type="dxa"/>
            <w:vAlign w:val="bottom"/>
            <w:gridSpan w:val="2"/>
          </w:tcPr>
          <w:p>
            <w:pPr>
              <w:ind w:left="2940"/>
              <w:spacing w:after="0"/>
              <w:rPr>
                <w:sz w:val="20"/>
                <w:szCs w:val="20"/>
                <w:color w:val="auto"/>
              </w:rPr>
            </w:pPr>
            <w:r>
              <w:rPr>
                <w:rFonts w:ascii="Arial" w:cs="Arial" w:eastAsia="Arial" w:hAnsi="Arial"/>
                <w:sz w:val="18"/>
                <w:szCs w:val="18"/>
                <w:b w:val="1"/>
                <w:bCs w:val="1"/>
                <w:color w:val="auto"/>
                <w:w w:val="99"/>
              </w:rPr>
              <w:t>Notes to the Condensed Consolidated Financial Statements – Continued</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48"/>
        </w:trPr>
        <w:tc>
          <w:tcPr>
            <w:tcW w:w="9120" w:type="dxa"/>
            <w:vAlign w:val="bottom"/>
            <w:gridSpan w:val="3"/>
          </w:tcPr>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912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220" w:type="dxa"/>
            <w:vAlign w:val="bottom"/>
          </w:tcPr>
          <w:p>
            <w:pPr>
              <w:spacing w:after="0"/>
              <w:rPr>
                <w:sz w:val="24"/>
                <w:szCs w:val="24"/>
                <w:color w:val="auto"/>
              </w:rPr>
            </w:pPr>
          </w:p>
        </w:tc>
        <w:tc>
          <w:tcPr>
            <w:tcW w:w="2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April 24 - June 30, 2015</w:t>
            </w:r>
          </w:p>
        </w:tc>
      </w:tr>
      <w:tr>
        <w:trPr>
          <w:trHeight w:val="223"/>
        </w:trPr>
        <w:tc>
          <w:tcPr>
            <w:tcW w:w="20" w:type="dxa"/>
            <w:vAlign w:val="bottom"/>
          </w:tcPr>
          <w:p>
            <w:pPr>
              <w:spacing w:after="0"/>
              <w:rPr>
                <w:sz w:val="19"/>
                <w:szCs w:val="19"/>
                <w:color w:val="auto"/>
              </w:rPr>
            </w:pPr>
          </w:p>
        </w:tc>
        <w:tc>
          <w:tcPr>
            <w:tcW w:w="8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Less: Income allocated to participating securities</w:t>
            </w:r>
          </w:p>
        </w:tc>
        <w:tc>
          <w:tcPr>
            <w:tcW w:w="22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w:t>
            </w:r>
          </w:p>
        </w:tc>
      </w:tr>
      <w:tr>
        <w:trPr>
          <w:trHeight w:val="223"/>
        </w:trPr>
        <w:tc>
          <w:tcPr>
            <w:tcW w:w="20" w:type="dxa"/>
            <w:vAlign w:val="bottom"/>
          </w:tcPr>
          <w:p>
            <w:pPr>
              <w:spacing w:after="0"/>
              <w:rPr>
                <w:sz w:val="19"/>
                <w:szCs w:val="19"/>
                <w:color w:val="auto"/>
              </w:rPr>
            </w:pPr>
          </w:p>
        </w:tc>
        <w:tc>
          <w:tcPr>
            <w:tcW w:w="9100" w:type="dxa"/>
            <w:vAlign w:val="bottom"/>
            <w:gridSpan w:val="2"/>
          </w:tcPr>
          <w:p>
            <w:pPr>
              <w:ind w:left="240"/>
              <w:spacing w:after="0"/>
              <w:rPr>
                <w:sz w:val="20"/>
                <w:szCs w:val="20"/>
                <w:color w:val="auto"/>
              </w:rPr>
            </w:pPr>
            <w:r>
              <w:rPr>
                <w:rFonts w:ascii="Arial" w:cs="Arial" w:eastAsia="Arial" w:hAnsi="Arial"/>
                <w:sz w:val="18"/>
                <w:szCs w:val="18"/>
                <w:color w:val="auto"/>
              </w:rPr>
              <w:t>Net income applicable to common shares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Basic weighted-average common shares outstanding</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149,827</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912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220" w:type="dxa"/>
            <w:vAlign w:val="bottom"/>
          </w:tcPr>
          <w:p>
            <w:pPr>
              <w:spacing w:after="0"/>
              <w:rPr>
                <w:sz w:val="24"/>
                <w:szCs w:val="24"/>
                <w:color w:val="auto"/>
              </w:rPr>
            </w:pPr>
          </w:p>
        </w:tc>
        <w:tc>
          <w:tcPr>
            <w:tcW w:w="2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April 24 - June 30, 2015</w:t>
            </w:r>
          </w:p>
        </w:tc>
      </w:tr>
      <w:tr>
        <w:trPr>
          <w:trHeight w:val="223"/>
        </w:trPr>
        <w:tc>
          <w:tcPr>
            <w:tcW w:w="20" w:type="dxa"/>
            <w:vAlign w:val="bottom"/>
          </w:tcPr>
          <w:p>
            <w:pPr>
              <w:spacing w:after="0"/>
              <w:rPr>
                <w:sz w:val="19"/>
                <w:szCs w:val="19"/>
                <w:color w:val="auto"/>
              </w:rPr>
            </w:pPr>
          </w:p>
        </w:tc>
        <w:tc>
          <w:tcPr>
            <w:tcW w:w="8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Less: Income allocated to participating securities</w:t>
            </w:r>
          </w:p>
        </w:tc>
        <w:tc>
          <w:tcPr>
            <w:tcW w:w="22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w:t>
            </w:r>
          </w:p>
        </w:tc>
      </w:tr>
      <w:tr>
        <w:trPr>
          <w:trHeight w:val="223"/>
        </w:trPr>
        <w:tc>
          <w:tcPr>
            <w:tcW w:w="20" w:type="dxa"/>
            <w:vAlign w:val="bottom"/>
          </w:tcPr>
          <w:p>
            <w:pPr>
              <w:spacing w:after="0"/>
              <w:rPr>
                <w:sz w:val="19"/>
                <w:szCs w:val="19"/>
                <w:color w:val="auto"/>
              </w:rPr>
            </w:pPr>
          </w:p>
        </w:tc>
        <w:tc>
          <w:tcPr>
            <w:tcW w:w="9100" w:type="dxa"/>
            <w:vAlign w:val="bottom"/>
            <w:gridSpan w:val="2"/>
          </w:tcPr>
          <w:p>
            <w:pPr>
              <w:ind w:left="240"/>
              <w:spacing w:after="0"/>
              <w:rPr>
                <w:sz w:val="20"/>
                <w:szCs w:val="20"/>
                <w:color w:val="auto"/>
              </w:rPr>
            </w:pPr>
            <w:r>
              <w:rPr>
                <w:rFonts w:ascii="Arial" w:cs="Arial" w:eastAsia="Arial" w:hAnsi="Arial"/>
                <w:sz w:val="18"/>
                <w:szCs w:val="18"/>
                <w:color w:val="auto"/>
              </w:rPr>
              <w:t>Net income applicable to common shares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tcPr>
          <w:p>
            <w:pPr>
              <w:ind w:left="240"/>
              <w:spacing w:after="0"/>
              <w:rPr>
                <w:sz w:val="20"/>
                <w:szCs w:val="20"/>
                <w:color w:val="auto"/>
              </w:rPr>
            </w:pPr>
            <w:r>
              <w:rPr>
                <w:rFonts w:ascii="Arial" w:cs="Arial" w:eastAsia="Arial" w:hAnsi="Arial"/>
                <w:sz w:val="18"/>
                <w:szCs w:val="18"/>
                <w:color w:val="auto"/>
              </w:rPr>
              <w:t>Basic weighted-average common shares outstanding</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149,827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Effect of dilutive non-participating securities</w:t>
            </w:r>
          </w:p>
        </w:tc>
        <w:tc>
          <w:tcPr>
            <w:tcW w:w="22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Weighted-average shares for dilutive earnings per common share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149,827</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Dilutive earnings per common share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33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management, including our chief executive officer, who is our chief operating decision maker, manages our operations as two reportable business segments: Leasing and Consumer CLEC. Our Leasing segment represents our REIT operations and corporate expenses not directly attributable to the Consumer CLEC segment. The Consumer CLEC segment represents the operations of our Consumer CLEC Business and corporate expenses directly attributable to the operation of that business. We evaluate the performance of each segment based on Adjusted EBITDA, which is an operating performance measure defined as net income determined in accordance with GAAP, before interest expense, provision for income taxes, depreciation and amortization, stock-based compensation expense and the impact, which may be recurring in nature, of acquisition and transaction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Leasing Operations</w:t>
            </w:r>
          </w:p>
        </w:tc>
        <w:tc>
          <w:tcPr>
            <w:tcW w:w="280" w:type="dxa"/>
            <w:vAlign w:val="bottom"/>
          </w:tcPr>
          <w:p>
            <w:pPr>
              <w:spacing w:after="0"/>
              <w:rPr>
                <w:sz w:val="14"/>
                <w:szCs w:val="14"/>
                <w:color w:val="auto"/>
              </w:rPr>
            </w:pPr>
          </w:p>
        </w:tc>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Consumer CLEC</w:t>
            </w: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w w:val="96"/>
              </w:rPr>
              <w:t>Subtotal of Reportable 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124,172</w:t>
            </w:r>
          </w:p>
        </w:tc>
        <w:tc>
          <w:tcPr>
            <w:tcW w:w="3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32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121,349</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transaction related costs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7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2,629,399</w:t>
            </w:r>
          </w:p>
        </w:tc>
        <w:tc>
          <w:tcPr>
            <w:tcW w:w="3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16,241</w:t>
            </w:r>
          </w:p>
        </w:tc>
        <w:tc>
          <w:tcPr>
            <w:tcW w:w="320" w:type="dxa"/>
            <w:vAlign w:val="bottom"/>
            <w:tcBorders>
              <w:bottom w:val="single" w:sz="8" w:color="CFF0FC"/>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2,645,640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3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Windstream has requested, and we have agreed, to fund up to $50 million of capital expenditures during the remainder of 2015. Monthly rent paid by Windstream will increase in accordance with the Master Lease effective as of the date of the funding. As of June 30, 2015,we have not funded any amounts under this commitment.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by component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Changes in Fair Value of</w:t>
            </w:r>
          </w:p>
        </w:tc>
        <w:tc>
          <w:tcPr>
            <w:tcW w:w="480" w:type="dxa"/>
            <w:vAlign w:val="bottom"/>
          </w:tcPr>
          <w:p>
            <w:pPr>
              <w:spacing w:after="0"/>
              <w:rPr>
                <w:sz w:val="14"/>
                <w:szCs w:val="14"/>
                <w:color w:val="auto"/>
              </w:rPr>
            </w:pPr>
          </w:p>
        </w:tc>
        <w:tc>
          <w:tcPr>
            <w:tcW w:w="166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Effective Cash Flow Hedge</w:t>
            </w:r>
          </w:p>
        </w:tc>
        <w:tc>
          <w:tcPr>
            <w:tcW w:w="4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April 24, 2015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32,821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(4,270)</w:t>
            </w:r>
          </w:p>
        </w:tc>
        <w:tc>
          <w:tcPr>
            <w:tcW w:w="4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28,551</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Supplemental Guarantor Information</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connection with the issuance of our 6.00% Senior Secured Notes due 2023, 8.25% Senior Unsecured Notes due 2023 and Term Loan B Facility due 2022, the Guarantors provided guarantees of that indebtedness. These guarantees are full and unconditional as well as joint and several. All property assets and related operations of the Guarantors are pledged as collateral under these obligations and the Guarantors are subject to restrictions on certain investments and payments. Subject to the terms and provisions of the debt agreements, in certain circumstances, a Guarantor may be released from its guarantee obligation including, upon the sale or transfer of any portion of its equity interest or all or substantially all its property, and upon any Guarantor being designated an Unrestricted Subsidiary or otherwise no longer being required to remain a Guarantor given its size or regulatory restrictions.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summarizes our condensed consolidating information as of June 30, 2015 and for the period from April 24, 2015 to June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8"/>
          </w:tcPr>
          <w:p>
            <w:pPr>
              <w:jc w:val="center"/>
              <w:ind w:left="791"/>
              <w:spacing w:after="0"/>
              <w:rPr>
                <w:sz w:val="20"/>
                <w:szCs w:val="20"/>
                <w:color w:val="auto"/>
              </w:rPr>
            </w:pPr>
            <w:r>
              <w:rPr>
                <w:rFonts w:ascii="Arial" w:cs="Arial" w:eastAsia="Arial" w:hAnsi="Arial"/>
                <w:sz w:val="14"/>
                <w:szCs w:val="14"/>
                <w:b w:val="1"/>
                <w:bCs w:val="1"/>
                <w:color w:val="auto"/>
                <w:w w:val="90"/>
              </w:rPr>
              <w:t>Condensed Consolidated Balance Sheet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2"/>
              </w:rPr>
              <w:t>As of June 30, 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CS&amp;L</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CSL Capital</w:t>
            </w: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1"/>
                <w:szCs w:val="11"/>
                <w:color w:val="auto"/>
              </w:rPr>
            </w:pPr>
          </w:p>
        </w:tc>
        <w:tc>
          <w:tcPr>
            <w:tcW w:w="8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1"/>
                <w:szCs w:val="11"/>
                <w:color w:val="auto"/>
              </w:rPr>
            </w:pP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1"/>
                <w:szCs w:val="11"/>
                <w:color w:val="auto"/>
              </w:rPr>
            </w:pP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45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3"/>
              </w:rPr>
              <w:t>Real estate investments, net of accumulated depreciation</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1,907,626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532,700</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2,440,326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154,592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Affiliate receivable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(38,607)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Customer list intangible assets, net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Derivative asset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Straight-line rent receivable</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Investment in consolidated subsidiaries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2,561,457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2,561,457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(5,122,914)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2,627,948</w:t>
            </w:r>
          </w:p>
        </w:tc>
        <w:tc>
          <w:tcPr>
            <w:tcW w:w="2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2,590,008</w:t>
            </w:r>
          </w:p>
        </w:tc>
        <w:tc>
          <w:tcPr>
            <w:tcW w:w="2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2,068,816</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548,940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(5,190,072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2,645,640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6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CFF0FC"/>
            </w:tcBorders>
            <w:shd w:val="clear" w:color="auto" w:fill="CFF0FC"/>
          </w:tcPr>
          <w:p>
            <w:pPr>
              <w:spacing w:after="0"/>
              <w:rPr>
                <w:sz w:val="24"/>
                <w:szCs w:val="24"/>
                <w:color w:val="auto"/>
              </w:rPr>
            </w:pPr>
          </w:p>
        </w:tc>
        <w:tc>
          <w:tcPr>
            <w:tcW w:w="120" w:type="dxa"/>
            <w:vAlign w:val="bottom"/>
            <w:tcBorders>
              <w:top w:val="single" w:sz="8" w:color="auto"/>
            </w:tcBorders>
            <w:shd w:val="clear" w:color="auto" w:fill="CFF0FC"/>
          </w:tcPr>
          <w:p>
            <w:pPr>
              <w:spacing w:after="0"/>
              <w:rPr>
                <w:sz w:val="24"/>
                <w:szCs w:val="24"/>
                <w:color w:val="auto"/>
              </w:rPr>
            </w:pPr>
          </w:p>
        </w:tc>
        <w:tc>
          <w:tcPr>
            <w:tcW w:w="94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CFF0FC"/>
            </w:tcBorders>
            <w:shd w:val="clear" w:color="auto" w:fill="CFF0FC"/>
          </w:tcPr>
          <w:p>
            <w:pPr>
              <w:spacing w:after="0"/>
              <w:rPr>
                <w:sz w:val="24"/>
                <w:szCs w:val="24"/>
                <w:color w:val="auto"/>
              </w:rPr>
            </w:pPr>
          </w:p>
        </w:tc>
        <w:tc>
          <w:tcPr>
            <w:tcW w:w="12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CFF0FC"/>
            </w:tcBorders>
            <w:shd w:val="clear" w:color="auto" w:fill="CFF0FC"/>
          </w:tcPr>
          <w:p>
            <w:pPr>
              <w:spacing w:after="0"/>
              <w:rPr>
                <w:sz w:val="24"/>
                <w:szCs w:val="24"/>
                <w:color w:val="auto"/>
              </w:rPr>
            </w:pPr>
          </w:p>
        </w:tc>
        <w:tc>
          <w:tcPr>
            <w:tcW w:w="140" w:type="dxa"/>
            <w:vAlign w:val="bottom"/>
            <w:tcBorders>
              <w:top w:val="single" w:sz="8" w:color="auto"/>
            </w:tcBorders>
            <w:shd w:val="clear" w:color="auto" w:fill="CFF0FC"/>
          </w:tcPr>
          <w:p>
            <w:pPr>
              <w:spacing w:after="0"/>
              <w:rPr>
                <w:sz w:val="24"/>
                <w:szCs w:val="24"/>
                <w:color w:val="auto"/>
              </w:rPr>
            </w:pPr>
          </w:p>
        </w:tc>
        <w:tc>
          <w:tcPr>
            <w:tcW w:w="680" w:type="dxa"/>
            <w:vAlign w:val="bottom"/>
            <w:tcBorders>
              <w:top w:val="single" w:sz="8" w:color="auto"/>
            </w:tcBorders>
            <w:shd w:val="clear" w:color="auto" w:fill="CFF0FC"/>
          </w:tcPr>
          <w:p>
            <w:pPr>
              <w:spacing w:after="0"/>
              <w:rPr>
                <w:sz w:val="24"/>
                <w:szCs w:val="24"/>
                <w:color w:val="auto"/>
              </w:rPr>
            </w:pPr>
          </w:p>
        </w:tc>
        <w:tc>
          <w:tcPr>
            <w:tcW w:w="200" w:type="dxa"/>
            <w:vAlign w:val="bottom"/>
            <w:tcBorders>
              <w:top w:val="single" w:sz="8" w:color="CFF0FC"/>
            </w:tcBorders>
            <w:shd w:val="clear" w:color="auto" w:fill="CFF0FC"/>
          </w:tcPr>
          <w:p>
            <w:pPr>
              <w:spacing w:after="0"/>
              <w:rPr>
                <w:sz w:val="24"/>
                <w:szCs w:val="24"/>
                <w:color w:val="auto"/>
              </w:rPr>
            </w:pPr>
          </w:p>
        </w:tc>
        <w:tc>
          <w:tcPr>
            <w:tcW w:w="20" w:type="dxa"/>
            <w:vAlign w:val="bottom"/>
            <w:tcBorders>
              <w:top w:val="single" w:sz="8" w:color="CFF0FC"/>
            </w:tcBorders>
            <w:shd w:val="clear" w:color="auto" w:fill="CFF0FC"/>
          </w:tcPr>
          <w:p>
            <w:pPr>
              <w:spacing w:after="0"/>
              <w:rPr>
                <w:sz w:val="24"/>
                <w:szCs w:val="24"/>
                <w:color w:val="auto"/>
              </w:rPr>
            </w:pPr>
          </w:p>
        </w:tc>
        <w:tc>
          <w:tcPr>
            <w:tcW w:w="120" w:type="dxa"/>
            <w:vAlign w:val="bottom"/>
            <w:tcBorders>
              <w:top w:val="single" w:sz="8" w:color="auto"/>
            </w:tcBorders>
            <w:shd w:val="clear" w:color="auto" w:fill="CFF0FC"/>
          </w:tcPr>
          <w:p>
            <w:pPr>
              <w:spacing w:after="0"/>
              <w:rPr>
                <w:sz w:val="24"/>
                <w:szCs w:val="24"/>
                <w:color w:val="auto"/>
              </w:rPr>
            </w:pPr>
          </w:p>
        </w:tc>
        <w:tc>
          <w:tcPr>
            <w:tcW w:w="840" w:type="dxa"/>
            <w:vAlign w:val="bottom"/>
            <w:tcBorders>
              <w:top w:val="single" w:sz="8" w:color="auto"/>
            </w:tcBorders>
            <w:shd w:val="clear" w:color="auto" w:fill="CFF0FC"/>
          </w:tcPr>
          <w:p>
            <w:pPr>
              <w:spacing w:after="0"/>
              <w:rPr>
                <w:sz w:val="24"/>
                <w:szCs w:val="24"/>
                <w:color w:val="auto"/>
              </w:rPr>
            </w:pPr>
          </w:p>
        </w:tc>
        <w:tc>
          <w:tcPr>
            <w:tcW w:w="240" w:type="dxa"/>
            <w:vAlign w:val="bottom"/>
            <w:tcBorders>
              <w:top w:val="single" w:sz="8" w:color="CFF0FC"/>
            </w:tcBorders>
            <w:shd w:val="clear" w:color="auto" w:fill="CFF0FC"/>
          </w:tcPr>
          <w:p>
            <w:pPr>
              <w:spacing w:after="0"/>
              <w:rPr>
                <w:sz w:val="24"/>
                <w:szCs w:val="24"/>
                <w:color w:val="auto"/>
              </w:rPr>
            </w:pPr>
          </w:p>
        </w:tc>
        <w:tc>
          <w:tcPr>
            <w:tcW w:w="20" w:type="dxa"/>
            <w:vAlign w:val="bottom"/>
            <w:tcBorders>
              <w:top w:val="single" w:sz="8" w:color="CFF0FC"/>
            </w:tcBorders>
            <w:shd w:val="clear" w:color="auto" w:fill="CFF0FC"/>
          </w:tcPr>
          <w:p>
            <w:pPr>
              <w:spacing w:after="0"/>
              <w:rPr>
                <w:sz w:val="24"/>
                <w:szCs w:val="24"/>
                <w:color w:val="auto"/>
              </w:rPr>
            </w:pPr>
          </w:p>
        </w:tc>
        <w:tc>
          <w:tcPr>
            <w:tcW w:w="12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120" w:type="dxa"/>
            <w:vAlign w:val="bottom"/>
            <w:tcBorders>
              <w:top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w w:val="94"/>
              </w:rPr>
              <w:t>Accounts payable, accrued expenses and other liabilities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21,595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48,797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8,962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2,490</w:t>
            </w:r>
          </w:p>
        </w:tc>
        <w:tc>
          <w:tcPr>
            <w:tcW w:w="2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(48,797)</w:t>
            </w:r>
          </w:p>
        </w:tc>
        <w:tc>
          <w:tcPr>
            <w:tcW w:w="14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Affiliate payable</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(38,607)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Dividend payable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Notes and other debt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3,508,685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3,508,685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(3,508,685)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3,508,685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3,597,249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3,557,482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(3,596,089</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3,614,941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(28,551)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40"/>
              <w:spacing w:after="0"/>
              <w:rPr>
                <w:sz w:val="20"/>
                <w:szCs w:val="20"/>
                <w:color w:val="auto"/>
              </w:rPr>
            </w:pPr>
            <w:r>
              <w:rPr>
                <w:rFonts w:ascii="Arial" w:cs="Arial" w:eastAsia="Arial" w:hAnsi="Arial"/>
                <w:sz w:val="18"/>
                <w:szCs w:val="18"/>
                <w:color w:val="auto"/>
              </w:rPr>
              <w:t>Distributions in excess of earnings</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(998,002)</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(996,025)</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2,019,954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541,440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(1,565,369)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(998,002)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shareholders' deficit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(969,301)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(967,474)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2,020,017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541,440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(1,593,983</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(969,301</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2,627,948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2,590,008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2,068,816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548,940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(5,190,072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2,645,640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gridSpan w:val="19"/>
          </w:tcPr>
          <w:p>
            <w:pPr>
              <w:jc w:val="center"/>
              <w:ind w:right="60"/>
              <w:spacing w:after="0"/>
              <w:rPr>
                <w:sz w:val="20"/>
                <w:szCs w:val="20"/>
                <w:color w:val="auto"/>
              </w:rPr>
            </w:pPr>
            <w:r>
              <w:rPr>
                <w:rFonts w:ascii="Arial" w:cs="Arial" w:eastAsia="Arial" w:hAnsi="Arial"/>
                <w:sz w:val="14"/>
                <w:szCs w:val="14"/>
                <w:b w:val="1"/>
                <w:bCs w:val="1"/>
                <w:color w:val="auto"/>
                <w:w w:val="91"/>
              </w:rPr>
              <w:t>Condensed Consolidated Statement of Comprehensive Income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6"/>
          </w:tcPr>
          <w:p>
            <w:pPr>
              <w:jc w:val="center"/>
              <w:spacing w:after="0"/>
              <w:rPr>
                <w:sz w:val="20"/>
                <w:szCs w:val="20"/>
                <w:color w:val="auto"/>
              </w:rPr>
            </w:pPr>
            <w:r>
              <w:rPr>
                <w:rFonts w:ascii="Arial" w:cs="Arial" w:eastAsia="Arial" w:hAnsi="Arial"/>
                <w:sz w:val="14"/>
                <w:szCs w:val="14"/>
                <w:b w:val="1"/>
                <w:bCs w:val="1"/>
                <w:color w:val="auto"/>
                <w:w w:val="94"/>
              </w:rPr>
              <w:t>For the Period from April 24, 2015 to June 30, 2015</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CS&amp;L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CSL Capital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right"/>
              <w:ind w:right="39"/>
              <w:spacing w:after="0" w:line="155" w:lineRule="exact"/>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Non-Guarantors</w:t>
            </w:r>
          </w:p>
        </w:tc>
        <w:tc>
          <w:tcPr>
            <w:tcW w:w="1240" w:type="dxa"/>
            <w:vAlign w:val="bottom"/>
            <w:gridSpan w:val="4"/>
          </w:tcPr>
          <w:p>
            <w:pPr>
              <w:ind w:left="180"/>
              <w:spacing w:after="0" w:line="155"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Rental revenues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124,172</w:t>
            </w:r>
          </w:p>
        </w:tc>
        <w:tc>
          <w:tcPr>
            <w:tcW w:w="580" w:type="dxa"/>
            <w:vAlign w:val="bottom"/>
            <w:gridSpan w:val="2"/>
          </w:tcPr>
          <w:p>
            <w:pPr>
              <w:jc w:val="right"/>
              <w:ind w:right="30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Consumer CLEC</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124,172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48,797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48,797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(48,797)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46,744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17,700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2,896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CLEC operating expense</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49,135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48,797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49,640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w w:val="92"/>
              </w:rPr>
              <w:t>Earnings (losses) from consolidated subsidiaries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57,436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(66,075)</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(40,496)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8,639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74,532</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(16,865)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(40,496)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8,639</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74,438</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(17,002)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37,190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74,438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(17,002)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13"/>
          </w:tcPr>
          <w:p>
            <w:pPr>
              <w:jc w:val="right"/>
              <w:ind w:right="340"/>
              <w:spacing w:after="0"/>
              <w:rPr>
                <w:sz w:val="20"/>
                <w:szCs w:val="20"/>
                <w:color w:val="auto"/>
              </w:rPr>
            </w:pPr>
            <w:r>
              <w:rPr>
                <w:rFonts w:ascii="Arial" w:cs="Arial" w:eastAsia="Arial" w:hAnsi="Arial"/>
                <w:sz w:val="14"/>
                <w:szCs w:val="14"/>
                <w:b w:val="1"/>
                <w:bCs w:val="1"/>
                <w:color w:val="auto"/>
                <w:w w:val="96"/>
              </w:rPr>
              <w:t>Condensed Consolidated Statement of Cash Flows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3"/>
          </w:tcPr>
          <w:p>
            <w:pPr>
              <w:jc w:val="right"/>
              <w:ind w:right="300"/>
              <w:spacing w:after="0"/>
              <w:rPr>
                <w:sz w:val="20"/>
                <w:szCs w:val="20"/>
                <w:color w:val="auto"/>
              </w:rPr>
            </w:pPr>
            <w:r>
              <w:rPr>
                <w:rFonts w:ascii="Arial" w:cs="Arial" w:eastAsia="Arial" w:hAnsi="Arial"/>
                <w:sz w:val="14"/>
                <w:szCs w:val="14"/>
                <w:b w:val="1"/>
                <w:bCs w:val="1"/>
                <w:color w:val="auto"/>
                <w:w w:val="98"/>
              </w:rPr>
              <w:t>For the Period from April 24, 2015 to June 30, 2015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CS&amp;L</w:t>
            </w:r>
          </w:p>
        </w:tc>
        <w:tc>
          <w:tcPr>
            <w:tcW w:w="120" w:type="dxa"/>
            <w:vAlign w:val="bottom"/>
          </w:tcPr>
          <w:p>
            <w:pPr>
              <w:spacing w:after="0"/>
              <w:rPr>
                <w:sz w:val="11"/>
                <w:szCs w:val="11"/>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9"/>
              </w:rPr>
              <w:t>CSL Capital</w:t>
            </w:r>
          </w:p>
        </w:tc>
        <w:tc>
          <w:tcPr>
            <w:tcW w:w="120" w:type="dxa"/>
            <w:vAlign w:val="bottom"/>
          </w:tcPr>
          <w:p>
            <w:pPr>
              <w:spacing w:after="0"/>
              <w:rPr>
                <w:sz w:val="11"/>
                <w:szCs w:val="11"/>
                <w:color w:val="auto"/>
              </w:rPr>
            </w:pPr>
          </w:p>
        </w:tc>
        <w:tc>
          <w:tcPr>
            <w:tcW w:w="104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rPr>
              <w:t>Guarantors</w:t>
            </w:r>
          </w:p>
        </w:tc>
        <w:tc>
          <w:tcPr>
            <w:tcW w:w="680" w:type="dxa"/>
            <w:vAlign w:val="bottom"/>
            <w:gridSpan w:val="2"/>
          </w:tcPr>
          <w:p>
            <w:pPr>
              <w:jc w:val="center"/>
              <w:ind w:left="252"/>
              <w:spacing w:after="0" w:line="133" w:lineRule="exact"/>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5"/>
            <w:vMerge w:val="restart"/>
          </w:tcPr>
          <w:p>
            <w:pPr>
              <w:jc w:val="right"/>
              <w:ind w:right="19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6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Guarantors</w:t>
            </w:r>
          </w:p>
        </w:tc>
        <w:tc>
          <w:tcPr>
            <w:tcW w:w="11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Arial" w:cs="Arial" w:eastAsia="Arial" w:hAnsi="Arial"/>
                <w:sz w:val="18"/>
                <w:szCs w:val="18"/>
                <w:color w:val="auto"/>
                <w:w w:val="95"/>
              </w:rPr>
              <w:t>Net cash provided by operating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(61,540)</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154,971</w:t>
            </w:r>
          </w:p>
        </w:tc>
        <w:tc>
          <w:tcPr>
            <w:tcW w:w="120" w:type="dxa"/>
            <w:vAlign w:val="bottom"/>
          </w:tcPr>
          <w:p>
            <w:pPr>
              <w:spacing w:after="0"/>
              <w:rPr>
                <w:sz w:val="19"/>
                <w:szCs w:val="19"/>
                <w:color w:val="auto"/>
              </w:rPr>
            </w:pP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8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Consideration paid to Windstream Services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(1,035,029)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(1,035,029)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(397)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(1,035,029)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(1,035,426)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Proceeds from issuance of Term Loans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1,127,000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(29,933)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Common stock issuance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Cash in-lieu of fractional shares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Arial" w:cs="Arial" w:eastAsia="Arial" w:hAnsi="Arial"/>
                <w:sz w:val="18"/>
                <w:szCs w:val="18"/>
                <w:color w:val="auto"/>
                <w:w w:val="96"/>
              </w:rPr>
              <w:t>Net cash provided by investing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1,096,592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154,574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April 24, 2015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w w:val="99"/>
              </w:rPr>
              <w:t>Cash and cash equivalents, June 30, 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154,592</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15, 2015 we paid the previously announced pro-rata dividend of $0.4418 per share payable to shareholders of record at the close of business on June 30, 2015.</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August 5, 2015, we and CSL Capital launched an offer to exchange up to $1.11 billion aggregate principal of our registered 8.25% Senior Notes due 2023 (“Exchange Notes”), for a like principal amount of certain of the outstanding Senior Notes. The terms of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Exchange Notes are substantially identical to the terms of the Senior Notes in all material respects, except that the Exchange Notes are registered under the Securities Act and the transfer restrictions, registration rights and additional interest provisions applicable to the Senior Notes do not apply to the Exchange Notes.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11, 2015, our Board of Directors declared a regular quarterly cash dividend of $0.60 per share, payable October 15, 2015, to stockholders of record on September 30,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CLEC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Assets Contributed and Liabilities Assumed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30"/>
        </w:trPr>
        <w:tc>
          <w:tcPr>
            <w:tcW w:w="934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64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40" w:type="dxa"/>
            <w:vAlign w:val="bottom"/>
            <w:gridSpan w:val="2"/>
          </w:tcPr>
          <w:p>
            <w:pPr>
              <w:ind w:left="260"/>
              <w:spacing w:after="0"/>
              <w:rPr>
                <w:sz w:val="20"/>
                <w:szCs w:val="20"/>
                <w:color w:val="auto"/>
              </w:rPr>
            </w:pPr>
            <w:r>
              <w:rPr>
                <w:rFonts w:ascii="Arial" w:cs="Arial" w:eastAsia="Arial" w:hAnsi="Arial"/>
                <w:sz w:val="18"/>
                <w:szCs w:val="18"/>
                <w:color w:val="auto"/>
              </w:rPr>
              <w:t>Accounts receivable (less allowance for doubtful accounts of $104)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Customer list intangible assets, net</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Advance payments and customer deposits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40" w:type="dxa"/>
            <w:vAlign w:val="bottom"/>
            <w:gridSpan w:val="2"/>
          </w:tcPr>
          <w:p>
            <w:pPr>
              <w:ind w:left="260"/>
              <w:spacing w:after="0"/>
              <w:rPr>
                <w:sz w:val="20"/>
                <w:szCs w:val="20"/>
                <w:color w:val="auto"/>
              </w:rPr>
            </w:pPr>
            <w:r>
              <w:rPr>
                <w:rFonts w:ascii="Arial" w:cs="Arial" w:eastAsia="Arial" w:hAnsi="Arial"/>
                <w:sz w:val="18"/>
                <w:szCs w:val="18"/>
                <w:color w:val="auto"/>
              </w:rPr>
              <w:t>Accrued payroll and commissions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interconnection costs</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Deferred taxes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Net Assets Contributed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CLEC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Revenues and Direct Expenses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For the Period</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For the Period</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8"/>
              </w:rPr>
              <w:t>April 1 - April 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2014</w:t>
            </w:r>
          </w:p>
        </w:tc>
        <w:tc>
          <w:tcPr>
            <w:tcW w:w="13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January 1 - April 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Direct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direct expenses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Consumer CLEC Business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Communications Sales &amp; Leasing, Inc. (the “Company,” “CS&amp;L,” “we,” “us” or “our”) was incorporated in the state of Delaware in February 2014 and reorganized in the state of Maryland on September 4, 2014. On April 24, 2015, in connection with the separation and spin-off of CS&amp;L from Windstream Holdings, Inc. (“Windstream Holdings” and together with its consolidated subsidiaries “Windstream”), Windstream contributed certain telecommunications network assets, including fiber and copper networks and other real estate (the “Distribution Systems”) and a small consumer competitive local exchange carrier (“CLEC”) business (the “Consumer CLEC Business”) to CS&amp;L in exchange for cash, shares of common stock of CS&amp;L and certain indebtedness of CS&amp;L (the “Spin-Off”).</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the Spin-Off, CS&amp;L is an independent, publicly traded company, primarily engaged in the ownership, acquisition and leasing of communications distribution systems. We generate revenues primarily by leasing communications distribution systems to telecommunications operators in triple-net lease arrangements, under which the tenant is primarily responsible for costs relating to the distribution systems (including property taxes, insurance, and maintenance and repair costs). We intend to elect on our U.S. federal income tax return for the taxable year ending December 31, 2015 to be treated as a real estate investment trust (“REIT”).</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Consumer CLEC Business, which historically has been reported as an integrated operation within Windstream,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Prior to the Spin-Off, Windstream ceased accepting new residential customers in the service areas covered by the Consumer CLEC Business. We will elect to treat the Consumer CLEC Business as a “taxable REIT subsidiary” effective on the first day of the first taxable year that CS&amp;L qualifies as a REIT.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accompanying unaudited Statement of Assets Contributed and Liabilities Assumed of the Consumer CLEC Business as of December 31, 2014 and the related Statements of Revenues and Direct Expenses for the periods from April 1, 2015 to April 24, 2015 (the “Spin Date”) and January 1, 2015 to Spin Date and the three and six months ended June 30, 2014 have been prepared for the purpose of complying with the rules and regulations of the Securities and Exchange Commission (the “SEC”), as permitted by the SEC and are not intended to be a complete presentation of the financial position or results of operations of the Consumer CLEC Business. Additionally, the interim financial statements have been prepared consistent with Article 10 of Regulation S-X. The elements of the financial statements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of the interim periods presented have been included. The results of operations for the interim periods are not necessarily indicative of results for the full year.</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accompanying Statements of Assets Contributed and Liabilities Assumed include only certain assets and liabilities directly related to the Consumer CLEC Business that were transferred by Windstream to CS&amp;L pursuant to the Separation and Distribution Agreement between CS&amp;L and Windstream dated March 26, 2015. Windstream has retained certain assets and liabilities of the Consumer CLEC Business consisting of the following: cash and cash equivalents, intercompany receivables and payables, certain trade accounts payable, liabilities related to employee benefit plans, income taxes payable and deferred income taxes. Accordingly, the assets and liabilities retained by Windstream have been excluded from the Statements of Assets Contributed and Liabilities Assumed. In addition, the Consumer CLEC Business primarily uses leased network facilities to provide telecommunications services to its customers and does not hold legal title to any property, plant and equipment.</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accompanying Statements of Revenues and Direct Expenses include all direct costs incurred in connection with the operation of the Consumer CLEC Business for which specific identification was practicable. In addition, direct costs incurred by Windstream to operate the Consumer CLEC Business for which specific identification was not practicable have been allocated based on assumptions that management believes reasonable under the circumstances as more fully discussed in Note 6. The Statements of Revenues and Direct Expenses exclude costs that are not directly related to the Consumer CLEC Business including general corporate overhead costs, interest expense and income taxes. These costs are incurred by the Consumer CLEC.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Consumer CLEC Business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xml:space="preserve"> —The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w:t>
      </w:r>
      <w:r>
        <w:rPr>
          <w:rFonts w:ascii="Arial" w:cs="Arial" w:eastAsia="Arial" w:hAnsi="Arial"/>
          <w:sz w:val="16"/>
          <w:szCs w:val="16"/>
          <w:color w:val="auto"/>
        </w:rPr>
        <w:t>—Accounts receivable consist of trade account receivable from customers and are generally unsecured and due within 30 days. Expected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credit losses related to trade accounts receivable are recorded as an allowance for doubtful accounts in the accompanying Statement of Assets Contributed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Assumed. In establishing the allowance for doubtful accounts, management considers a number of factors, including historical collection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experience, aging of the accounts receivable balances and current economic conditions. When internal collection efforts on accounts have been exhausted,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accounts are written off by reducing the allowance for doubtful accounts. The provision for doubtful accounts, which is included in cost of service,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$28,000 and $111,000 for the period from April 1, 2015 to Spin Date and the period from January 1, 2015 to Spin Date, respectively. For the three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six-months ended June 30, 2014, the provision for doubtful accounts was $34,000 and $183,000, respectively. Concentration of credit risk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is limited because a large number of geographically diverse customers make up the Consumer CLEC Business customer base.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varying customer billing cycle cut-off, management must estimate service revenues earned but not yet billed at the end of each reporting period.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are unbilled receivables related to communications services and product sales of $94,000 at December 31, 2014.</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Customer List Intangible Assets</w:t>
      </w:r>
      <w:r>
        <w:rPr>
          <w:rFonts w:ascii="Arial" w:cs="Arial" w:eastAsia="Arial" w:hAnsi="Arial"/>
          <w:sz w:val="18"/>
          <w:szCs w:val="18"/>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are presented in the financial statements at cost less accumulated amortization and are amortized using the sum-of-the-digits method over their estimated useful lives.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—The operations of the Consumer CLEC Business have historically been included in Windstream’s federal and state income tax returns and all income tax liabilities have been paid by Windstream. Income tax information included in the financial statements is presented on a separate tax return basis. Management believes that the assumptions and estimates used to determine the tax amounts are reasonable. However, the financial statements herein may not necessarily reflect the income tax liabilities or future income tax payments if the Consumer CLEC Business had been operated as a stand-alone business during the periods presented.</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Deferred income taxes are recognized in accordance with guidance on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Recently Issued Accounting Standards</w:t>
      </w: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CLEC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 – Continued</w:t>
      </w:r>
    </w:p>
    <w:p>
      <w:pPr>
        <w:spacing w:after="0" w:line="200" w:lineRule="exact"/>
        <w:rPr>
          <w:sz w:val="20"/>
          <w:szCs w:val="20"/>
          <w:color w:val="auto"/>
        </w:rPr>
      </w:pPr>
    </w:p>
    <w:p>
      <w:pPr>
        <w:spacing w:after="0" w:line="227"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u w:val="single" w:color="auto"/>
          <w:color w:val="auto"/>
        </w:rPr>
        <w:t>Subsequent Events</w:t>
      </w:r>
      <w:r>
        <w:rPr>
          <w:rFonts w:ascii="Arial" w:cs="Arial" w:eastAsia="Arial" w:hAnsi="Arial"/>
          <w:sz w:val="17"/>
          <w:szCs w:val="17"/>
          <w:color w:val="auto"/>
        </w:rPr>
        <w:t>—The accompanying financial statements of the Consumer CLEC Business are derived from the consolidated financial statements of Windstream, which issued its interim unaudited consolidated financial statements as of and for the quarterly period ended June 30, 2015 on August 6, 2015. Accordingly, management has evaluated transactions for consideration as recognized subsequent events in the accompanying financial statement through the date of August 6, 2015. In addition, management has evaluated transactions that occurred as of the issuance of these financial statements on August 13, 2015 for purposes of disclosure of unrecognized subsequent events.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Customer List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customer list intangible assets at December 31, 2014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1"/>
              </w:rPr>
              <w:t>December 31, 2014</w:t>
            </w: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52"/>
        </w:trPr>
        <w:tc>
          <w:tcPr>
            <w:tcW w:w="4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gridSpan w:val="2"/>
          </w:tcPr>
          <w:p>
            <w:pPr>
              <w:jc w:val="center"/>
              <w:ind w:right="800"/>
              <w:spacing w:after="0"/>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21"/>
                <w:szCs w:val="21"/>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4"/>
                <w:szCs w:val="14"/>
                <w:color w:val="auto"/>
                <w:w w:val="93"/>
              </w:rPr>
              <w:t>Accumulated</w:t>
            </w:r>
          </w:p>
        </w:tc>
        <w:tc>
          <w:tcPr>
            <w:tcW w:w="360" w:type="dxa"/>
            <w:vAlign w:val="bottom"/>
          </w:tcPr>
          <w:p>
            <w:pPr>
              <w:spacing w:after="0"/>
              <w:rPr>
                <w:sz w:val="21"/>
                <w:szCs w:val="21"/>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Net Carrying</w:t>
            </w:r>
          </w:p>
        </w:tc>
      </w:tr>
      <w:tr>
        <w:trPr>
          <w:trHeight w:val="228"/>
        </w:trPr>
        <w:tc>
          <w:tcPr>
            <w:tcW w:w="438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gridSpan w:val="2"/>
          </w:tcPr>
          <w:p>
            <w:pPr>
              <w:jc w:val="center"/>
              <w:ind w:right="80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9"/>
                <w:szCs w:val="19"/>
                <w:color w:val="auto"/>
              </w:rPr>
            </w:pPr>
          </w:p>
        </w:tc>
        <w:tc>
          <w:tcPr>
            <w:tcW w:w="2080" w:type="dxa"/>
            <w:vAlign w:val="bottom"/>
            <w:gridSpan w:val="2"/>
          </w:tcPr>
          <w:p>
            <w:pPr>
              <w:jc w:val="center"/>
              <w:ind w:right="600"/>
              <w:spacing w:after="0"/>
              <w:rPr>
                <w:sz w:val="20"/>
                <w:szCs w:val="20"/>
                <w:color w:val="auto"/>
              </w:rPr>
            </w:pPr>
            <w:r>
              <w:rPr>
                <w:rFonts w:ascii="Arial" w:cs="Arial" w:eastAsia="Arial" w:hAnsi="Arial"/>
                <w:sz w:val="14"/>
                <w:szCs w:val="14"/>
                <w:color w:val="auto"/>
                <w:w w:val="97"/>
              </w:rPr>
              <w:t>Amortization</w:t>
            </w:r>
          </w:p>
        </w:tc>
        <w:tc>
          <w:tcPr>
            <w:tcW w:w="360" w:type="dxa"/>
            <w:vAlign w:val="bottom"/>
          </w:tcPr>
          <w:p>
            <w:pPr>
              <w:spacing w:after="0"/>
              <w:rPr>
                <w:sz w:val="19"/>
                <w:szCs w:val="19"/>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Value</w:t>
            </w:r>
          </w:p>
        </w:tc>
      </w:tr>
      <w:tr>
        <w:trPr>
          <w:trHeight w:val="223"/>
        </w:trPr>
        <w:tc>
          <w:tcPr>
            <w:tcW w:w="43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right="80"/>
        <w:spacing w:after="0" w:line="255" w:lineRule="auto"/>
        <w:rPr>
          <w:sz w:val="20"/>
          <w:szCs w:val="20"/>
          <w:color w:val="auto"/>
        </w:rPr>
      </w:pPr>
      <w:r>
        <w:rPr>
          <w:rFonts w:ascii="Arial" w:cs="Arial" w:eastAsia="Arial" w:hAnsi="Arial"/>
          <w:sz w:val="18"/>
          <w:szCs w:val="18"/>
          <w:color w:val="auto"/>
        </w:rPr>
        <w:t>Amortization expense for the customer list intangible assets was $0.3 million and $1.3 million for the period from April 1, 2015 to the Spin Date and January 1, 2015 to the Spin Date, respectively. Amortization expense for the customer list intangible assets was $1.1 million and $2.3 million for the three and six months ended June 30, 2014, respectively</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Deferred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net deferred tax liability at December 31, 2014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December 31,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Customer list intangible assets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Bad debt reserve</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Allocations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described in Note 2, the accompanying Statements of Revenues and Direct Expenses of the Consumer CLEC Business include all direct costs incurred in connection with the operation of the Consumer CLEC Business for which specific identification was practicable. In addition, certain costs incurred by Windstream to operate the Consumer CLEC Business for which specific identification was not practicable have been allocated based on revenues and sales. These allocated expenses are included in “Cost of services” and “Selling, general and administrative.”</w:t>
      </w:r>
    </w:p>
    <w:p>
      <w:pPr>
        <w:spacing w:after="0" w:line="17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980" w:type="dxa"/>
            <w:vAlign w:val="bottom"/>
            <w:gridSpan w:val="3"/>
          </w:tcPr>
          <w:p>
            <w:pPr>
              <w:jc w:val="center"/>
              <w:ind w:right="1810"/>
              <w:spacing w:after="0"/>
              <w:rPr>
                <w:sz w:val="20"/>
                <w:szCs w:val="20"/>
                <w:color w:val="auto"/>
              </w:rPr>
            </w:pPr>
            <w:r>
              <w:rPr>
                <w:rFonts w:ascii="Arial" w:cs="Arial" w:eastAsia="Arial" w:hAnsi="Arial"/>
                <w:sz w:val="18"/>
                <w:szCs w:val="18"/>
                <w:b w:val="1"/>
                <w:bCs w:val="1"/>
                <w:color w:val="auto"/>
                <w:w w:val="88"/>
              </w:rPr>
              <w:t>Distribution Systems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980" w:type="dxa"/>
            <w:vAlign w:val="bottom"/>
            <w:gridSpan w:val="3"/>
          </w:tcPr>
          <w:p>
            <w:pPr>
              <w:jc w:val="center"/>
              <w:ind w:right="1810"/>
              <w:spacing w:after="0"/>
              <w:rPr>
                <w:sz w:val="20"/>
                <w:szCs w:val="20"/>
                <w:color w:val="auto"/>
              </w:rPr>
            </w:pPr>
            <w:r>
              <w:rPr>
                <w:rFonts w:ascii="Arial" w:cs="Arial" w:eastAsia="Arial" w:hAnsi="Arial"/>
                <w:sz w:val="18"/>
                <w:szCs w:val="18"/>
                <w:b w:val="1"/>
                <w:bCs w:val="1"/>
                <w:color w:val="auto"/>
                <w:w w:val="88"/>
              </w:rPr>
              <w:t>Combined Balance Sheet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980" w:type="dxa"/>
            <w:vAlign w:val="bottom"/>
            <w:gridSpan w:val="3"/>
          </w:tcPr>
          <w:p>
            <w:pPr>
              <w:jc w:val="center"/>
              <w:ind w:right="1830"/>
              <w:spacing w:after="0"/>
              <w:rPr>
                <w:sz w:val="20"/>
                <w:szCs w:val="20"/>
                <w:color w:val="auto"/>
              </w:rPr>
            </w:pPr>
            <w:r>
              <w:rPr>
                <w:rFonts w:ascii="Arial" w:cs="Arial" w:eastAsia="Arial" w:hAnsi="Arial"/>
                <w:sz w:val="18"/>
                <w:szCs w:val="18"/>
                <w:b w:val="1"/>
                <w:bCs w:val="1"/>
                <w:color w:val="auto"/>
                <w:w w:val="91"/>
              </w:rPr>
              <w:t>(unaudited)</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680" w:type="dxa"/>
            <w:vAlign w:val="bottom"/>
            <w:gridSpan w:val="2"/>
          </w:tcPr>
          <w:p>
            <w:pPr>
              <w:spacing w:after="0"/>
              <w:rPr>
                <w:sz w:val="20"/>
                <w:szCs w:val="20"/>
                <w:color w:val="auto"/>
              </w:rPr>
            </w:pPr>
            <w:r>
              <w:rPr>
                <w:rFonts w:ascii="Arial" w:cs="Arial" w:eastAsia="Arial" w:hAnsi="Arial"/>
                <w:sz w:val="14"/>
                <w:szCs w:val="14"/>
                <w:color w:val="auto"/>
              </w:rPr>
              <w:t>(Millions)</w:t>
            </w: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59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6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5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Invested equity</w:t>
            </w:r>
          </w:p>
        </w:tc>
        <w:tc>
          <w:tcPr>
            <w:tcW w:w="59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Equity</w:t>
            </w:r>
          </w:p>
        </w:tc>
        <w:tc>
          <w:tcPr>
            <w:tcW w:w="56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combined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 Systems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Balance Sheet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Separation from Windstream Holdings, Inc. and Description of Transferred Assets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April, 24, 2015, in connection with the separation and spin-off of Communications Sales &amp; Leasing, Inc. (“CS&amp;L”), from Windstream Holdings, Inc. (“Windstream Holdings” and together with its subsidiaries, “Windstream”), Windstream contributed certain telecommunications network assets, including fiber and copper network and other real estate (the “Distribution Systems”), and a small competitive local exchange carrier (“CLEC”) business to CS&amp;L in exchange for cash, shares of common stock of CS&amp;L and certain indebtedness of CS&amp;L. Windstream Holdings distributed approximately 80.4% of the outstanding common stock of CS&amp;L that it received to existing stockholders of Windstream Holdings in a tax-free spin-off (the “Spin-Off”).</w:t>
      </w:r>
    </w:p>
    <w:p>
      <w:pPr>
        <w:spacing w:after="0" w:line="1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Spin-Off, CS&amp;L is an independent, publicly traded company, primarily engaged in leasing activities, which currently principally consists of leasing back to Windstream the Distribution Systems through a triple-net master lease agreement (the “Master Lease”).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balance sheet reflect the Distribution System assets of Windstream that were transferred to CS&amp;L in connection with the Spin-Off. The balance sheet presented herein are combined on the basis of common control. The accompanying balance sheet have been prepared in accordance with accounting principles generally accepted in the United States (“GAAP”) and have been derived from the accounting records of Windstream. The Distribution System assets presented in the accompanying balance sheet reflects Windstream’s historical carrying value of the assets as of the balance sheet date consistent with the accounting for spin-off transactions in accordance with GAAP.</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—The preparation of financial statements, in accordance with GAAP, requires management to make estimates and assumptions that affect the reported amounts of assets, liabilities, and disclosure of contingent assets and liabilities.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1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—Property, plant and equipment are stated at original cost, less accumulated depreciation. Property, plant and equipment consists of land and central office buildings, copper and fiber optic cable lines, telephone poles, underground conduits, concrete pads, pedestals, guy wires, anchors, and attachment hardware. The costs of additions, replacements, substantial improvements and extension of the network to the customer premise, including related labor costs, are capitalized, while the costs of maintenance and repairs are expensed as incurred. Interest costs incurred in connection with the acquisition or construction of plant assets are capitalized and included in the cost of the asset.</w:t>
      </w:r>
    </w:p>
    <w:p>
      <w:pPr>
        <w:spacing w:after="0" w:line="1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Certain property, plant and equipment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depreciation is computed using the straight-line method over the estimated useful life of the respective property, and when the property is retired or otherwise disposed of, the related cost and accumulated depreciation are written-off, with the corresponding gain or loss reflected in operating results.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—Management reviews long-lived assets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based on discounted net future cash flows.</w:t>
      </w:r>
    </w:p>
    <w:p>
      <w:pPr>
        <w:spacing w:after="0" w:line="14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u w:val="single" w:color="auto"/>
          <w:color w:val="auto"/>
        </w:rPr>
        <w:t>Subsequent Events</w:t>
      </w:r>
      <w:r>
        <w:rPr>
          <w:rFonts w:ascii="Arial" w:cs="Arial" w:eastAsia="Arial" w:hAnsi="Arial"/>
          <w:sz w:val="16"/>
          <w:szCs w:val="16"/>
          <w:color w:val="auto"/>
        </w:rPr>
        <w:t>—The accompanying balance sheet is derived from the consolidated financial statements of Windstream, which issued its interim unaudited consolidated financial statements as of and for the quarterly period ended June 30, 2015 on August 6, 2015. Accordingly, management has evaluated transactions for consideration as recognized subsequent events in the accompanying financial statement through the date of August 6, 2015. In addition, management has evaluated transactions that occurred as of the issuance of these financial statements on August 13, 2015 for purposes of disclosure of unrecognized subsequent events. No additional disclosures are required other than those matters that are reflected within this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Systems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Balance Sheets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48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2"/>
              </w:rPr>
              <w:t>Depreciable Lives</w:t>
            </w:r>
          </w:p>
        </w:tc>
        <w:tc>
          <w:tcPr>
            <w:tcW w:w="1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6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2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2480" w:type="dxa"/>
            <w:vAlign w:val="bottom"/>
            <w:gridSpan w:val="4"/>
          </w:tcPr>
          <w:p>
            <w:pPr>
              <w:jc w:val="center"/>
              <w:ind w:right="350"/>
              <w:spacing w:after="0"/>
              <w:rPr>
                <w:sz w:val="20"/>
                <w:szCs w:val="20"/>
                <w:color w:val="auto"/>
              </w:rPr>
            </w:pPr>
            <w:r>
              <w:rPr>
                <w:rFonts w:ascii="Arial" w:cs="Arial" w:eastAsia="Arial" w:hAnsi="Arial"/>
                <w:sz w:val="18"/>
                <w:szCs w:val="18"/>
                <w:color w:val="auto"/>
                <w:w w:val="88"/>
              </w:rPr>
              <w:t>3 - 40 years</w:t>
            </w:r>
          </w:p>
        </w:tc>
        <w:tc>
          <w:tcPr>
            <w:tcW w:w="1740" w:type="dxa"/>
            <w:vAlign w:val="bottom"/>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19"/>
                <w:szCs w:val="19"/>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Poles</w:t>
            </w:r>
          </w:p>
        </w:tc>
        <w:tc>
          <w:tcPr>
            <w:tcW w:w="2480" w:type="dxa"/>
            <w:vAlign w:val="bottom"/>
            <w:gridSpan w:val="4"/>
            <w:shd w:val="clear" w:color="auto" w:fill="CFF0FC"/>
          </w:tcPr>
          <w:p>
            <w:pPr>
              <w:jc w:val="center"/>
              <w:ind w:right="330"/>
              <w:spacing w:after="0"/>
              <w:rPr>
                <w:sz w:val="20"/>
                <w:szCs w:val="20"/>
                <w:color w:val="auto"/>
              </w:rPr>
            </w:pPr>
            <w:r>
              <w:rPr>
                <w:rFonts w:ascii="Arial" w:cs="Arial" w:eastAsia="Arial" w:hAnsi="Arial"/>
                <w:sz w:val="18"/>
                <w:szCs w:val="18"/>
                <w:color w:val="auto"/>
                <w:w w:val="89"/>
              </w:rPr>
              <w:t>13 - 40 years</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Fiber</w:t>
            </w:r>
          </w:p>
        </w:tc>
        <w:tc>
          <w:tcPr>
            <w:tcW w:w="2480" w:type="dxa"/>
            <w:vAlign w:val="bottom"/>
            <w:gridSpan w:val="4"/>
          </w:tcPr>
          <w:p>
            <w:pPr>
              <w:jc w:val="center"/>
              <w:ind w:right="350"/>
              <w:spacing w:after="0"/>
              <w:rPr>
                <w:sz w:val="20"/>
                <w:szCs w:val="20"/>
                <w:color w:val="auto"/>
              </w:rPr>
            </w:pPr>
            <w:r>
              <w:rPr>
                <w:rFonts w:ascii="Arial" w:cs="Arial" w:eastAsia="Arial" w:hAnsi="Arial"/>
                <w:sz w:val="18"/>
                <w:szCs w:val="18"/>
                <w:color w:val="auto"/>
                <w:w w:val="88"/>
              </w:rPr>
              <w:t>7 - 40 years</w:t>
            </w:r>
          </w:p>
        </w:tc>
        <w:tc>
          <w:tcPr>
            <w:tcW w:w="1740" w:type="dxa"/>
            <w:vAlign w:val="bottom"/>
          </w:tcPr>
          <w:p>
            <w:pPr>
              <w:jc w:val="right"/>
              <w:spacing w:after="0"/>
              <w:rPr>
                <w:sz w:val="20"/>
                <w:szCs w:val="20"/>
                <w:color w:val="auto"/>
              </w:rPr>
            </w:pPr>
            <w:r>
              <w:rPr>
                <w:rFonts w:ascii="Arial" w:cs="Arial" w:eastAsia="Arial" w:hAnsi="Arial"/>
                <w:sz w:val="18"/>
                <w:szCs w:val="18"/>
                <w:color w:val="auto"/>
              </w:rPr>
              <w:t>1,841.2</w:t>
            </w:r>
          </w:p>
        </w:tc>
        <w:tc>
          <w:tcPr>
            <w:tcW w:w="120" w:type="dxa"/>
            <w:vAlign w:val="bottom"/>
          </w:tcPr>
          <w:p>
            <w:pPr>
              <w:spacing w:after="0"/>
              <w:rPr>
                <w:sz w:val="19"/>
                <w:szCs w:val="19"/>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2480" w:type="dxa"/>
            <w:vAlign w:val="bottom"/>
            <w:gridSpan w:val="4"/>
            <w:shd w:val="clear" w:color="auto" w:fill="CFF0FC"/>
          </w:tcPr>
          <w:p>
            <w:pPr>
              <w:jc w:val="center"/>
              <w:ind w:right="350"/>
              <w:spacing w:after="0"/>
              <w:rPr>
                <w:sz w:val="20"/>
                <w:szCs w:val="20"/>
                <w:color w:val="auto"/>
              </w:rPr>
            </w:pPr>
            <w:r>
              <w:rPr>
                <w:rFonts w:ascii="Arial" w:cs="Arial" w:eastAsia="Arial" w:hAnsi="Arial"/>
                <w:sz w:val="18"/>
                <w:szCs w:val="18"/>
                <w:color w:val="auto"/>
                <w:w w:val="88"/>
              </w:rPr>
              <w:t>7 - 40 years</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3,430.8</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2480" w:type="dxa"/>
            <w:vAlign w:val="bottom"/>
            <w:gridSpan w:val="4"/>
          </w:tcPr>
          <w:p>
            <w:pPr>
              <w:jc w:val="center"/>
              <w:ind w:right="330"/>
              <w:spacing w:after="0"/>
              <w:rPr>
                <w:sz w:val="20"/>
                <w:szCs w:val="20"/>
                <w:color w:val="auto"/>
              </w:rPr>
            </w:pPr>
            <w:r>
              <w:rPr>
                <w:rFonts w:ascii="Arial" w:cs="Arial" w:eastAsia="Arial" w:hAnsi="Arial"/>
                <w:sz w:val="18"/>
                <w:szCs w:val="18"/>
                <w:color w:val="auto"/>
                <w:w w:val="89"/>
              </w:rPr>
              <w:t>13 - 47 years</w:t>
            </w:r>
          </w:p>
        </w:tc>
        <w:tc>
          <w:tcPr>
            <w:tcW w:w="174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r>
      <w:tr>
        <w:trPr>
          <w:trHeight w:val="223"/>
        </w:trPr>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5,956.7</w:t>
            </w:r>
          </w:p>
        </w:tc>
        <w:tc>
          <w:tcPr>
            <w:tcW w:w="120" w:type="dxa"/>
            <w:vAlign w:val="bottom"/>
          </w:tcPr>
          <w:p>
            <w:pPr>
              <w:spacing w:after="0"/>
              <w:rPr>
                <w:sz w:val="19"/>
                <w:szCs w:val="19"/>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(3,384.9)</w:t>
            </w: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2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our operations, financial condition, and changes in financial condition for the second quarter of 2015. Because we were formed in connection with a spin-off from Windstream Holdings on April 24, 2015, financial results discussed in this section cover only 68 days of operations and no quarter-over-quarter comparisons are included. This discussion should be read in conjunction with the accompanying unaudited financial statements, and the notes thereto set forth in Part I, Item 1 of this Quarterly Report on Form 10-Q and our information statement on Form 10 filed as Exhibit 99.1 to our Current Report on Form 8-K filed with the Securities and Exchange Commission (“SEC”) on March 26,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24, 2015, CS&amp;L completed the Spin-Off from Windstream Holdings pursuant to which Windstream contributed the Distribution Systems and the Consumer CLEC Business to CS&amp;L and CS&amp;L issued common stock and indebtedness and paid cash obtained from borrowings under CS&amp;L's senior credit facilities to Windstream. In connection with the Spin-Off, we entered into a long-term exclusive triple-net lease agreement with Windstream (the “Master Lease”), pursuant to which all real property currently owned by CS&amp;L is leased to Windstream Holdings and from which all of CS&amp;L's rental revenues are currently derived.</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an independent, publicly-traded REIT, primarily engaged in the ownership, acquisition, leasing, and funding the construction of communications distribution systems (we intend to elect to be taxed a REIT for U.S. federal income tax purposes starting with our taxable year ending December 31, 2015). We generate revenues primarily by leasing communications distribution systems to telecommunications operators in triple-net lease arrangements, under which the tenant is primarily responsible for costs relating to the distribution systems (including property taxes, insurance, and maintenance and repair costs).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Consumer CLEC Business, which was historically reported as an integrated operation within Windstream,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Prior to the Spin-Off, Windstream ceased accepting new residential customers in the service areas covered by the Consumer CLEC Business. We have elected to treat the Consumer CLEC Business as a "taxable REIT subsidiary" effective on the first day of the first taxable year that CS&amp;L qualifies as a REIT.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expect to grow and diversify our portfolio and tenant base by pursuing a range of transaction structures with communication service providers, including</w:t>
      </w:r>
    </w:p>
    <w:p>
      <w:pPr>
        <w:spacing w:after="0" w:line="46" w:lineRule="exact"/>
        <w:rPr>
          <w:sz w:val="20"/>
          <w:szCs w:val="20"/>
          <w:color w:val="auto"/>
        </w:rPr>
      </w:pPr>
    </w:p>
    <w:p>
      <w:pPr>
        <w:ind w:right="160" w:firstLine="8"/>
        <w:spacing w:after="0" w:line="271" w:lineRule="auto"/>
        <w:tabs>
          <w:tab w:leader="none" w:pos="21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Sale Leaseback Transactions</w:t>
      </w:r>
      <w:r>
        <w:rPr>
          <w:rFonts w:ascii="Arial" w:cs="Arial" w:eastAsia="Arial" w:hAnsi="Arial"/>
          <w:sz w:val="17"/>
          <w:szCs w:val="17"/>
          <w:color w:val="auto"/>
        </w:rPr>
        <w:t>, whereby we acquire existing distribution systems from communication service providers and lease these assets back on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long-term triple net basis; </w:t>
      </w:r>
      <w:r>
        <w:rPr>
          <w:rFonts w:ascii="Arial" w:cs="Arial" w:eastAsia="Arial" w:hAnsi="Arial"/>
          <w:sz w:val="17"/>
          <w:szCs w:val="17"/>
          <w:i w:val="1"/>
          <w:iCs w:val="1"/>
          <w:color w:val="auto"/>
        </w:rPr>
        <w:t>(ii) Capital Investment Financing</w:t>
      </w:r>
      <w:r>
        <w:rPr>
          <w:rFonts w:ascii="Arial" w:cs="Arial" w:eastAsia="Arial" w:hAnsi="Arial"/>
          <w:sz w:val="17"/>
          <w:szCs w:val="17"/>
          <w:color w:val="auto"/>
        </w:rPr>
        <w:t xml:space="preserve">, whereby we offer communication service providers a cost efficient method of raising funds for discrete capital investments to upgrade or expand their network; </w:t>
      </w:r>
      <w:r>
        <w:rPr>
          <w:rFonts w:ascii="Arial" w:cs="Arial" w:eastAsia="Arial" w:hAnsi="Arial"/>
          <w:sz w:val="17"/>
          <w:szCs w:val="17"/>
          <w:i w:val="1"/>
          <w:iCs w:val="1"/>
          <w:color w:val="auto"/>
        </w:rPr>
        <w:t>(iii) Mergers and Acquisitions Financing</w:t>
      </w:r>
      <w:r>
        <w:rPr>
          <w:rFonts w:ascii="Arial" w:cs="Arial" w:eastAsia="Arial" w:hAnsi="Arial"/>
          <w:sz w:val="17"/>
          <w:szCs w:val="17"/>
          <w:color w:val="auto"/>
        </w:rPr>
        <w:t xml:space="preserve">, whereby we facilitate merger and acquisition transactions as a capital partner; and </w:t>
      </w:r>
      <w:r>
        <w:rPr>
          <w:rFonts w:ascii="Arial" w:cs="Arial" w:eastAsia="Arial" w:hAnsi="Arial"/>
          <w:sz w:val="17"/>
          <w:szCs w:val="17"/>
          <w:i w:val="1"/>
          <w:iCs w:val="1"/>
          <w:color w:val="auto"/>
        </w:rPr>
        <w:t>(iv) Whole Company Acquisitions</w:t>
      </w:r>
      <w:r>
        <w:rPr>
          <w:rFonts w:ascii="Arial" w:cs="Arial" w:eastAsia="Arial" w:hAnsi="Arial"/>
          <w:sz w:val="17"/>
          <w:szCs w:val="17"/>
          <w:color w:val="auto"/>
        </w:rPr>
        <w:t>, which may include the use of one or more “taxable REIT subsidiaries” (“TRS”), which are permitted under the tax laws to acquire non-REIT operating businesses and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Quarterly Business Developments</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April 24, 2015, we, along with our wholly-owned subsidiary CSL Capital, LLC ("CSL Capital"), co-issued $400 million aggregate principal amount of 6.00% Senior Secured Notes due April 15, 2023 (the “Secured Notes”) and $1.11 billion aggregate principal amount of 8.25% Senior Unsecured Notes due October 15, 2023 (the “Senior Notes” and together with the Secured Notes, the “Notes”), both of which were issued to Windstream Services in connection with the Spin-Off. Additionally, we and CSL Capital entered into a credit agreement (the "Credit Agreement"), which provides for a $2.14 billion Senior Secured Term Loan B facility due October 24, 2022 (the “Term Loan Facility”) and a $500 million senior secured revolving credit facility maturing April 2020 (the “Revolving Credit Facility” and together with the Term Loan Facility, the “Facilities”).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April 27, 2015, we entered into interest rate swap agreements to mitigate the interest rate risk inherent in our variable rate Term Loan Facility. These interest rate swaps are designated as cash flow hedges and have a notional value of $2.14 billion and mature on October 24, 2022. See “Liquidity and Capital Resources” below for additional information regarding the Notes, Credit Agreement and interest rate swaps.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May 6, 2015, we announced that our Board of Directors (the “Board”) declared a pro-rated cash dividend on the Company’s common stock of $0.4418 per share for the period of from April 25, 2015 through June 30, 2015, which was paid on July 15, 2015 to shareholders of record as of the close of business on June 30, 2015.</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May 29, 2015, the Board approved an increase in the size of the Board from two to four members and the appointments of Jennifer Banner and David Solomon to fill the newly created vacancies. The Board also approved the appointment of both Ms. Banner and Mr. Solomon to serve on the Compensation, Audit and Governance Committees of the Board and the appointment of Ms. Banner to serve as chair of the Audit Committee and Mr. Solomon to serve as chair of the Compensation Committee. Francis X. Frantz will remain the chair of the Board and the Governance Committee. The increase in the size of the Board and each of the appointments of Ms. Banner and Mr. Solomon described above were effective June 1, 2015.</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June 25, 2015, we filed with the SEC a Registration Statement on Form S-11 related to the shares of our common stock held by Windstream Services which are expected to be exchanged by Windstream Services in a debt-for-equity exchange.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5, 2015, we and CSL Capital launched an offer to exchange up to $1.11 billion aggregate principal of our registered 8.25% Senior Notes due 2023 (“Exchange Notes”), for a like principal amount of certain of the outstanding Senior Notes. The terms of the Exchange Notes are substantially identical to the terms of the Senior Notes in all material respects, except that the Exchange Notes are registered under the Securities Act of 1933, as amended, and the transfer restrictions, registration rights and additional interest provisions applicable to the original notes do not apply to the Exchange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Income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present, our revenues are primarily attributable to rental revenue from leasing our Distribution Systems to Windstream Holdings pursuant to the Master Lease. Under the Master Lease, Windstream Holdings is primarily responsible for the costs related to operating the Distribution Systems, including property taxes, insurance, and maintenance and repair costs. The Master Lease has an initial term of 15 years with four (4) five-year renewal options and encompasses 29 states. The rent for the initial term is an annual fixed amount of $650 million during the first three years of the Master Lease. Commencing with the fourth year of the Master Lease and continuing for the remainder of the initial term, rent under the Master Lease is subject to annual escalation of 0.5%. Rental revenues over the 15 year initial term of the Master Lease will be recognized in the financial statements on a straight line basis, representing approximately $667.2 million per year. For the period from April 24, 2015 through June 30, 2015 we recognized $124.2 million of revenue under the Master Lease.</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Because substantially all of our revenue is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lease payments.</w:t>
      </w:r>
    </w:p>
    <w:p>
      <w:pPr>
        <w:spacing w:after="0" w:line="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to periodic financial statements, pursuant to the Master Lease we are entitled to receive (i) a detailed consolidated budget on an annual basis and any significant revisions approved by its board of directors, (ii) prompt notice of any adverse action or investigation by a governmental authority relating to Windstream’s licenses affecting the leased property, and (iii) information we require to comply with our reporting and filing obligations with the SEC and the Sarbanes-Oxley Act of 2002.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(to its knowledge), the amount of rent and additional charges payable thereunder, the dates the same were paid, and any other questions or statements of fact we reasonably request.</w:t>
      </w:r>
    </w:p>
    <w:p>
      <w:pPr>
        <w:spacing w:after="0" w:line="70"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For the period from April 24, 2015 through June 30, 2015 we recognized $4.6 million of revenue from the Consumer CLEC Business. As of June 30, 2015, we serviced 47,000 customers as compared to 69,000 customers serviced by Windstream at June 30, 2014. The decrease in customers is due to the effects of competition and customer attrition resulting from Windstream’s previous decision to no longer market those services to residential customers. Beginning in 2015, we plan to offer services to new customers in select markets in which we operate in an attempt to slow the rate of customer attrition.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Interest expense for the period from April 24, 2015 through June 30, 2015 totaled $48.8 million, which includes non-cash interest expense of $2.6 million resulting from the amortization of our debt discounts and debt issuance costs. Our interest expense includes the impact of our interest rate swap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incur depreciation and amortization expense related to our real estate investments, corporate assets and customer list intangible assets. Charges for depreciation and amortization for the period from April 24, 2015 through June 30, 2015 totaled $64.4 million, which included real estate investment depreciation of $63.8 million and intangible asset amortization of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services, corporate office costs and other costs associated with administrative activities. For the period from April 24, 2015 through June 30, 2015, general and administrative costs totaled $3.2 million (representing 2.5% of revenue), which includes $0.3 million of stock-based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CLEC Operating Expense</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Expense associated with the Consumer CLEC Business, for the period from April 24, 2015 through June 30, 2015, primarily related to the Wholesale Master Services Agreement ($2.8 million) and the Master Services Agreement ($0.3 million) entered into between us and Windstream in connection with the Spin-Off, and also included costs arising under the interconnection agreements with other telecommunication carriers.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 from April 24, 2015 through June 30, 2015, revenues and Adjusted EBITDA of our reportable segments: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Leasing Operations</w:t>
            </w:r>
          </w:p>
        </w:tc>
        <w:tc>
          <w:tcPr>
            <w:tcW w:w="280" w:type="dxa"/>
            <w:vAlign w:val="bottom"/>
          </w:tcPr>
          <w:p>
            <w:pPr>
              <w:spacing w:after="0"/>
              <w:rPr>
                <w:sz w:val="14"/>
                <w:szCs w:val="14"/>
                <w:color w:val="auto"/>
              </w:rPr>
            </w:pPr>
          </w:p>
        </w:tc>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Consumer CLEC</w:t>
            </w: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w w:val="96"/>
              </w:rPr>
              <w:t>Subtotal of Reportable 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124,172</w:t>
            </w:r>
          </w:p>
        </w:tc>
        <w:tc>
          <w:tcPr>
            <w:tcW w:w="3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3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121,349</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122,184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transaction related costs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manage our operations as two reportable business segments: Leasing and Consumer CLEC. Our Leasing segment represents our REIT operations and corporate expenses not directly attributable to the Consumer CLEC. The Consumer CLEC segment represents the operations of our Consumer CLEC Business and corporate expenses directly attributable to the operation of that business. We evaluate the performance of each segment based on Adjusted EBITDA.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refer to EBITDA, Adjusted EBITDA, Funds From Operations, or “FFO” (as defined by the National Association of Real Estate Investment Trusts (“NAREIT”)), and Adjusted Funds From Operations, or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define "EBITDA" as net income, as defined by GAAP, before interest expense, provision for income taxes and depreciation and amortization. We define "Adjusted EBITDA" as EBITDA less stock-based compensation expense and the impact, which may be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recurring in nature, of acquisition and transaction related expenses, the write off of unamortized deferred financing costs, costs incurred as a result of the early repayment of debt, changes in the fair value of contingent consideration and financial instruments, and other similar items.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 We define AFFO as FFO excluding (i) noncash revenues and expenses such as stock-based compensation expense, amortization of debt discounts, amortization of deferred financing costs, amortization of intangible assets, and straight-line rental revenue and (ii) the impact, which may be recurring in nature, of the following items: acquisition and transaction related expenses, the write off of unamortized deferred financing costs, costs incurred as a result of the early repayment of debt, changes in the fair value of contingent consideration and financial instruments, and other similar items. We believe that the use of FFO and AFFO, combined with the required GAAP presentations, improves the understanding of operating results of REITs among investors and makes comparisons of operating results among such companies more meaningful. We consider FFO and AFFO to be useful measures for reviewing comparative operating and financial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acquisition and transaction related costs.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 FFO and AFFO do not purport to be indicative of cash available to fund our future cash requirements.</w:t>
      </w:r>
    </w:p>
    <w:p>
      <w:pPr>
        <w:spacing w:after="0" w:line="3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reconciliation of our net income to EBITDA and Adjusted EBITDA and of our net income applicable to common shareholders to FFO and AFFO for the period from April 24, 2015 through June 30, 2015 is as follows:</w:t>
      </w:r>
    </w:p>
    <w:p>
      <w:pPr>
        <w:sectPr>
          <w:pgSz w:w="11900" w:h="16838" w:orient="portrait"/>
          <w:cols w:equalWidth="0" w:num="1">
            <w:col w:w="11420"/>
          </w:cols>
          <w:pgMar w:left="240" w:top="125" w:right="23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(Thousands)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related costs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500" w:type="dxa"/>
            <w:vAlign w:val="bottom"/>
          </w:tcPr>
          <w:p>
            <w:pPr>
              <w:spacing w:after="0"/>
              <w:rPr>
                <w:sz w:val="12"/>
                <w:szCs w:val="12"/>
                <w:color w:val="auto"/>
              </w:rPr>
            </w:pPr>
          </w:p>
        </w:tc>
        <w:tc>
          <w:tcPr>
            <w:tcW w:w="2820" w:type="dxa"/>
            <w:vAlign w:val="bottom"/>
          </w:tcPr>
          <w:p>
            <w:pPr>
              <w:jc w:val="right"/>
              <w:ind w:right="1214"/>
              <w:spacing w:after="0" w:line="141" w:lineRule="exact"/>
              <w:rPr>
                <w:sz w:val="20"/>
                <w:szCs w:val="20"/>
                <w:color w:val="auto"/>
              </w:rPr>
            </w:pPr>
            <w:r>
              <w:rPr>
                <w:rFonts w:ascii="Arial" w:cs="Arial" w:eastAsia="Arial" w:hAnsi="Arial"/>
                <w:sz w:val="14"/>
                <w:szCs w:val="14"/>
                <w:b w:val="1"/>
                <w:bCs w:val="1"/>
                <w:color w:val="auto"/>
              </w:rPr>
              <w:t>Period from</w:t>
            </w:r>
          </w:p>
        </w:tc>
      </w:tr>
      <w:tr>
        <w:trPr>
          <w:trHeight w:val="171"/>
        </w:trPr>
        <w:tc>
          <w:tcPr>
            <w:tcW w:w="5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April 24 - June 30, 2015</w:t>
            </w:r>
          </w:p>
        </w:tc>
      </w:tr>
      <w:tr>
        <w:trPr>
          <w:trHeight w:val="222"/>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2820" w:type="dxa"/>
            <w:vAlign w:val="bottom"/>
          </w:tcPr>
          <w:p>
            <w:pPr>
              <w:jc w:val="right"/>
              <w:spacing w:after="0"/>
              <w:rPr>
                <w:sz w:val="20"/>
                <w:szCs w:val="20"/>
                <w:color w:val="auto"/>
              </w:rPr>
            </w:pPr>
            <w:r>
              <w:rPr>
                <w:rFonts w:ascii="Arial" w:cs="Arial" w:eastAsia="Arial" w:hAnsi="Arial"/>
                <w:sz w:val="18"/>
                <w:szCs w:val="18"/>
                <w:color w:val="auto"/>
              </w:rPr>
              <w:t>8,301</w:t>
            </w:r>
          </w:p>
        </w:tc>
      </w:tr>
      <w:tr>
        <w:trPr>
          <w:trHeight w:val="230"/>
        </w:trPr>
        <w:tc>
          <w:tcPr>
            <w:tcW w:w="50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64,444</w:t>
            </w:r>
          </w:p>
        </w:tc>
      </w:tr>
      <w:tr>
        <w:trPr>
          <w:trHeight w:val="230"/>
        </w:trPr>
        <w:tc>
          <w:tcPr>
            <w:tcW w:w="50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48,797</w:t>
            </w:r>
          </w:p>
        </w:tc>
      </w:tr>
      <w:tr>
        <w:trPr>
          <w:trHeight w:val="230"/>
        </w:trPr>
        <w:tc>
          <w:tcPr>
            <w:tcW w:w="5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22"/>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2820" w:type="dxa"/>
            <w:vAlign w:val="bottom"/>
          </w:tcPr>
          <w:p>
            <w:pPr>
              <w:jc w:val="right"/>
              <w:spacing w:after="0"/>
              <w:rPr>
                <w:sz w:val="20"/>
                <w:szCs w:val="20"/>
                <w:color w:val="auto"/>
              </w:rPr>
            </w:pPr>
            <w:r>
              <w:rPr>
                <w:rFonts w:ascii="Arial" w:cs="Arial" w:eastAsia="Arial" w:hAnsi="Arial"/>
                <w:sz w:val="18"/>
                <w:szCs w:val="18"/>
                <w:color w:val="auto"/>
              </w:rPr>
              <w:t>121,773</w:t>
            </w:r>
          </w:p>
        </w:tc>
      </w:tr>
      <w:tr>
        <w:trPr>
          <w:trHeight w:val="230"/>
        </w:trPr>
        <w:tc>
          <w:tcPr>
            <w:tcW w:w="50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5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-1200150</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-899795</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-608330</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-307975</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Period from</w:t>
      </w:r>
    </w:p>
    <w:p>
      <w:pPr>
        <w:jc w:val="center"/>
        <w:ind w:right="120"/>
        <w:spacing w:after="0" w:line="236" w:lineRule="auto"/>
        <w:rPr>
          <w:sz w:val="20"/>
          <w:szCs w:val="20"/>
          <w:color w:val="auto"/>
        </w:rPr>
      </w:pPr>
      <w:r>
        <w:rPr>
          <w:rFonts w:ascii="Arial" w:cs="Arial" w:eastAsia="Arial" w:hAnsi="Arial"/>
          <w:sz w:val="14"/>
          <w:szCs w:val="14"/>
          <w:b w:val="1"/>
          <w:bCs w:val="1"/>
          <w:color w:val="auto"/>
        </w:rPr>
        <w:t>April 24 - June 30, 2015</w:t>
      </w:r>
    </w:p>
    <w:p>
      <w:pPr>
        <w:spacing w:after="0" w:line="1" w:lineRule="exact"/>
        <w:rPr>
          <w:sz w:val="20"/>
          <w:szCs w:val="20"/>
          <w:color w:val="auto"/>
        </w:rPr>
      </w:pPr>
    </w:p>
    <w:p>
      <w:pPr>
        <w:sectPr>
          <w:pgSz w:w="11900" w:h="16838" w:orient="portrait"/>
          <w:cols w:equalWidth="0" w:num="2">
            <w:col w:w="7280" w:space="720"/>
            <w:col w:w="34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1440" w:type="dxa"/>
            <w:vAlign w:val="bottom"/>
            <w:tcBorders>
              <w:top w:val="single" w:sz="8" w:color="auto"/>
            </w:tcBorders>
            <w:shd w:val="clear" w:color="auto" w:fill="CFF0FC"/>
          </w:tcPr>
          <w:p>
            <w:pPr>
              <w:jc w:val="right"/>
              <w:ind w:right="12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14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63,801</w:t>
            </w: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14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Participating securities share in FFO</w:t>
            </w:r>
          </w:p>
        </w:tc>
        <w:tc>
          <w:tcPr>
            <w:tcW w:w="144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FFO applicable to common shareholders</w:t>
            </w:r>
          </w:p>
        </w:tc>
        <w:tc>
          <w:tcPr>
            <w:tcW w:w="1440" w:type="dxa"/>
            <w:vAlign w:val="bottom"/>
            <w:tcBorders>
              <w:top w:val="single" w:sz="8" w:color="auto"/>
            </w:tcBorders>
            <w:shd w:val="clear" w:color="auto" w:fill="CFF0FC"/>
          </w:tcPr>
          <w:p>
            <w:pPr>
              <w:jc w:val="right"/>
              <w:ind w:right="12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4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4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transaction related costs</w:t>
            </w:r>
          </w:p>
        </w:tc>
        <w:tc>
          <w:tcPr>
            <w:tcW w:w="14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Amortization of customer list intangibles</w:t>
            </w:r>
          </w:p>
        </w:tc>
        <w:tc>
          <w:tcPr>
            <w:tcW w:w="14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Straight-line rental revenue</w:t>
            </w:r>
          </w:p>
        </w:tc>
        <w:tc>
          <w:tcPr>
            <w:tcW w:w="144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(3,200)</w:t>
            </w:r>
          </w:p>
        </w:tc>
      </w:tr>
      <w:tr>
        <w:trPr>
          <w:trHeight w:val="230"/>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tcPr>
          <w:p>
            <w:pPr>
              <w:spacing w:after="0"/>
              <w:rPr>
                <w:sz w:val="19"/>
                <w:szCs w:val="19"/>
                <w:color w:val="auto"/>
              </w:rPr>
            </w:pPr>
          </w:p>
        </w:tc>
      </w:tr>
      <w:tr>
        <w:trPr>
          <w:trHeight w:val="223"/>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FFO applicable to common shareholders</w:t>
            </w:r>
          </w:p>
        </w:tc>
        <w:tc>
          <w:tcPr>
            <w:tcW w:w="1440" w:type="dxa"/>
            <w:vAlign w:val="bottom"/>
            <w:tcBorders>
              <w:bottom w:val="single" w:sz="8" w:color="auto"/>
            </w:tcBorders>
            <w:shd w:val="clear" w:color="auto" w:fill="CFF0FC"/>
          </w:tcPr>
          <w:p>
            <w:pPr>
              <w:jc w:val="right"/>
              <w:ind w:right="12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For further information on our critical accounting estimates, see “Management’s Discussion and Analysis of Financial Condition and Results of Operations” and the notes to our audited financial statements included in our information statement on Form 10 filed as Exhibit 99.1 to our Current Report on Form 8-K filed with the SEC on March 26, 2015. There has been no material change to these estimates for the period from April 24, 2015 through June 30,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provided by operating activities was $93.4 million for the period April 24, 2015 through June 30, 2015 driven by favorable changes in working capital, primarily attributable to our leasing activities.</w:t>
      </w:r>
    </w:p>
    <w:p>
      <w:pPr>
        <w:spacing w:after="0" w:line="62"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Cash used in investing activities was $1.04 billion for the period April 24, 2015 through June 30, 2015, which represents the consideration paid to Windstream for their contribution of the Distribution Systems and the Consumer CLEC Business in connection with the Spin-Off.</w:t>
      </w:r>
    </w:p>
    <w:p>
      <w:pPr>
        <w:spacing w:after="0" w:line="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provided by financing activities was $1.1 billion April 24, 2015 through June 30, 2015, which represents the proceeds received from the Term Loan Facility.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principal liquidity needs are to (i) fund operating expenses, (ii) meet debt service requirements, (iii) fund investment activities and (iv) make dividend distributions. As of June 30, 2015, we had approximately $654.6 million of liquidity, consisting of unrestricted cash and cash equivalents of $154.6 million and $500 million of unused borrowing availability under the Revolving Credit Agreement.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anticipate that our cash on hand and borrowing availability under our Revolving Credit Facility, combined with our cash flows provided by leasing activities will be sufficient to fund our business operations, debt service and distributions to our shareholders over the next twelve months. However, we may take advantage of opportunities to generate additional liquidity through capital markets transactions.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April 24, 2015 we, along with our wholly owned subsidiary CSL Capital, co-issued $400 million aggregate principal amount of Secured Notes and $1.11 billion aggregate principal amount of Senior Notes. The Secured Notes were issued at an issue price of 100% of par value, while the Senior Notes were issued at an issue price of 97.055% of par value. The Notes are guaranteed by each of our wholly owned domestic subsidiaries that guarantee indebtedness under our senior credit facilities. The Notes were issued to Windstream Services in connection with the Spin-Off and we did not receive any proceeds from the issuance of the Notes. The issuance of the Notes was not registered under the Securities Act, but was exempt from registration under Rule 144A, Regulation S and other applicable exemptions of the Securities Act. Pursuant to a registration rights agreement entered into in connection with the sale of the Senior Notes, on July 2, 2015, we filed with the SEC a registration statement relating to an exchange offer pursuant to which exchange notes registered with the SEC, containing substantially identical terms to the Senior Notes, will be offered in exchange for Senior Notes that are tendered by the holders of those notes.</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Notes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our ability to pay dividends. The covenants are subject to a number of important and significant limitations, qualifications and exceptions.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on April 24, 2015, we entered into the Credit Agreement, which provides for the Term Loan Facility and the Revolving Credit Facility. The term loans under the Facilities were issued at an issue price of 98.00%, bear interest at a rate equal to a Eurodollar rate, subject to a 1.00% floor, plus an applicable margin equal to 4.00%, and are subject to amortization of 1.00% per annum. The loans have been incurred by the Company and CSL Capital, are guaranteed by certain of our wholly owned domestic subsidiaries (the “Guarantors”), and are secured by substantially all of the assets of the Company, CSL Capital and Guarantors, subject to certain exceptions, which assets also secure the Secured Notes. The Revolving Credit Facility bears interest at a rate equal to LIBOR plus 1.75% to 2.25% based on our consolidated secured leverage ratio as defined in the Credit Agreement.</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subject to customary covenants under the Credit Agreement, including an obligation to maintain a consolidated secured leverage ratio, as defined in the Credit Agreement, not to exceed 5.00 to 1.00. We are permitted, subject to customary conditions, to incur incremental term loan borrowings and/or increased commitments under the Credit Agreement in an aggregate amount equal to $150 million plus, an unlimited amount, so long as, on a pro forma basis after giving effect to any such increases, our consolidated total leverage ratio, as defined in the Credit Agreement, does not exceed 6.50 to 1.00 and our consolidated secured leverage ratio, as defined in the Credit Agreement, does not exceed 4.00 to 1.00.</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transferred $1.04 billion of cash proceeds under the Facilities to Windstream Services as partial consideration for the contribution of the Distribution Systems and the Consumer CLEC Business in connection with the Spin-Off. After giving effect to the borrowings under the Facilities, the issuance of the Notes and the transfer of cash to Windstream Services, the Company retained net borrowing proceeds of $62.2 million, which are available to us for general corporate purposes.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Spin-Off, we entered into the Master Lease pursuant to which we leased the Distribution System back to Windstream. The Master Lease has an initial term of 15 years which, at the option of Windstream, may be extended for up to four renewal terms of five years each beyond the initial term. In addition, Windstream has the right to extend the initial term from 15 years to 20 years and, if exercised, the number of renewal terms will be reduced to three so that the maximum term (taking into account all renewals) is 35 years. The initial annual rent under the Master Lease is $650 million during the first three years. Commencing with the fourth year the rent is subject to annual escalation of 0.5%. The rent for the first year of each renewal term will be an amount agreed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by us and Windstream, or if we are unable to agree, the renewal rent will be determined by an independent appraisal process. Commencing with the second year of each renewal term, the renewal rent will increase at an escalation rate of 0.5%. In addition, if we fund any capital improvements by Windstream, the rent will be increased to account for such funding.</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April 27, 2015 we entered into interest rate swap agreements to mitigate the interest rate risk inherent in our variable rate Term Loan Facility. These interest rate swaps are designated as cash flow hedges and have a notional value of $2.14 billion and mature on October 24, 2022. The weighted average fixed rate paid is 2.105%, and the variable rate received resets monthly to the one-month LIBOR subject to a minimum rate of 1.0%.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we had contractual obligations and commitments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Payments Due by Period</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Less than 1</w:t>
            </w:r>
          </w:p>
        </w:tc>
        <w:tc>
          <w:tcPr>
            <w:tcW w:w="680" w:type="dxa"/>
            <w:vAlign w:val="bottom"/>
          </w:tcPr>
          <w:p>
            <w:pPr>
              <w:jc w:val="right"/>
              <w:ind w:right="19"/>
              <w:spacing w:after="0" w:line="133" w:lineRule="exact"/>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More than</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gridSpan w:val="2"/>
          </w:tcPr>
          <w:p>
            <w:pPr>
              <w:spacing w:after="0"/>
              <w:rPr>
                <w:sz w:val="20"/>
                <w:szCs w:val="20"/>
                <w:color w:val="auto"/>
              </w:rPr>
            </w:pPr>
            <w:r>
              <w:rPr>
                <w:rFonts w:ascii="Arial" w:cs="Arial" w:eastAsia="Arial" w:hAnsi="Arial"/>
                <w:sz w:val="14"/>
                <w:szCs w:val="14"/>
                <w:color w:val="auto"/>
              </w:rPr>
              <w:t>(millions)</w:t>
            </w:r>
          </w:p>
        </w:tc>
        <w:tc>
          <w:tcPr>
            <w:tcW w:w="10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 (a)</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Interest payments on long-term debt obligations (b)</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expenditure funding under Master Lease</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 projected obligations and commitments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530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$141.3 million of unamortized discounts on long-term debt and deferred financing costs</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rates on our Term Loan Facility are based on our swap rates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elect to be taxed as a REIT for U.S. federal income tax purposes beginning with our 2015 tax year.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15, 2015, we paid, to shareholders of record as of the close of business on June 30, 2015, a pro-rated cash dividend on our common stock of $0.4418 per share for the period from April 24, 2015 through June 30,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do not anticipate incurring significant capital expenditures on an annual basis in connection with operating our Consumer CLEC Business or related to our corporate assets. For the period from April 24, 2015 through June 30, 2015, we incurred capital expenditures of $0.4 million related to the build-out of our corporate office. Capital expenditures for the Distribution Systems leased under the Master Lease are generally the responsibility of Windstream Holdings. The Master Lease stipulates that Windstream Holdings can request that we fund $50 million of capital expenditures per year for five years (but in no event to extend beyond the end of the sixth year of the Master Lease); however, Windstream cannot require CS&amp;L to make such capital expenditures. If we elect to fund requested capital expenditures, the annual lease payments will be increased by 8.125% of the capital expenditures funded by us during the first two years and at a floating rate based on our cost of capital thereafter.</w:t>
      </w:r>
    </w:p>
    <w:p>
      <w:pPr>
        <w:spacing w:after="0" w:line="17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Separate from the above capital expenditure funding option, Windstream Holdings has requested, and we have agreed, to fund up to $50 million of capital expenditures related to the Distribution System during the remainder of 2015. Monthly rent paid by Windstream will increase in accordance with the Master Lease effective as of the date we provide the funding. As of June 30, 2015, we have not funded any amounts under this commitment.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primary market risk exposure is interest rate risk with respect to our indebtedness. In connection with the Spin-Off, we raised approximately $3.65 billion in long-term debt by the issuance of the Notes and borrowings under the variable rate Term Loan Facility. In addition, we entered into the Revolving Credit Facility in an aggregate principal amount of $500 million, which is undrawn as of the date of this Quarterly Report on Form 10-Q. To manage this exposure, we have entered into interest rate swap agreements in order to mitigate the interest rate risk inherent in our variable rate Term Loan Facility. We also expect to manage our exposure to interest rate risk by maintaining a mix of fixed and variable rates for our indebtedness.</w:t>
      </w:r>
    </w:p>
    <w:p>
      <w:pPr>
        <w:spacing w:after="0" w:line="17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2015. Based on this evaluation, our principal executive officer and principal financial officer concluded that our disclosure controls and procedures were effective as of June 30,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SEC, as required by Section 404 of the Sarbanes-Oxley Act, adopted rules that generally require every company that files reports with the SEC to evaluate its effectiveness of internal controls over financial reporting. Our management is not required to evaluate the effectiveness of our internal controls over financial reporting until the filing of our 2016 Annual Report on Form 10-K, due to a transition period established by SEC rules applicable to new public companies. As a result, this Quarterly Report on Form 10-Q does not address whether there have been any changes in internal control over financial reporting. We intend to include an evaluation of our internal controls over financial reporting in our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Business</w:t>
      </w:r>
    </w:p>
    <w:p>
      <w:pPr>
        <w:spacing w:after="0" w:line="21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are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181" w:lineRule="exact"/>
        <w:rPr>
          <w:sz w:val="20"/>
          <w:szCs w:val="20"/>
          <w:color w:val="auto"/>
        </w:rPr>
      </w:pPr>
    </w:p>
    <w:p>
      <w:pPr>
        <w:ind w:firstLine="761"/>
        <w:spacing w:after="0" w:line="268" w:lineRule="auto"/>
        <w:rPr>
          <w:sz w:val="20"/>
          <w:szCs w:val="20"/>
          <w:color w:val="auto"/>
        </w:rPr>
      </w:pPr>
      <w:r>
        <w:rPr>
          <w:rFonts w:ascii="Arial" w:cs="Arial" w:eastAsia="Arial" w:hAnsi="Arial"/>
          <w:sz w:val="17"/>
          <w:szCs w:val="17"/>
          <w:color w:val="auto"/>
        </w:rPr>
        <w:t>Windstream Holdings is the lessee of the Distribution Systems pursuant to the Master Lease and, therefore, is presently the source of substantially all of our revenues. Additionally, because the Master Lease is a triple-net lease, we depend on Windstream Holdings to pay all insurance, taxes, utilities, charges relating to the easements, permits and pole arrangements and maintenance and repair expenses in connection with the Distribution Systems, subject to limited carveouts, and to indemnify, defend and hold us harmless from and against various claims, litigation and liabilities arising in connection with its business. There can be no assurance that Windstream Holdings will have sufficient assets, income and access to financing to enable it to satisfy its payment obligations under the Master Lease. The inability or unwillingness of Windstream Holdings to meet its rent obligations under the Master Lease could materially adversely affect our business, financial position or results of operations, including our ability to pay dividends to our shareholders as required to maintain our status as a REIT. The inability of Windstream Holdings to satisfy its other obligations under the Master Lease, such as the payment of insurance, taxes and utilities, could materially and adversely affect the condition of the Distribution Systems as well as the business, financial position and results of operations of Windstream. Since Windstream Holdings is a holding company, it will be dependent on distributions from Windstream Services and its subsidiaries in order to satisfy the payment obligations under the Master Lease, and the ability of Windstream Services and its subsidiaries to make such distributions may be adversely impacted in the event of the insolvency or bankruptcy of such entities or by covenants in its subsidiaries’ debt that restrict the amount of the distributions that may be made by such entities. For these reasons, if Windstream Holdings, Windstream Services or their subsidiaries were to experience a material and adverse effect on its business, financial position or results of operations, our business, financial position or results of operations could also be materially and adversely affected.</w:t>
      </w:r>
    </w:p>
    <w:p>
      <w:pPr>
        <w:spacing w:after="0" w:line="183" w:lineRule="exact"/>
        <w:rPr>
          <w:sz w:val="20"/>
          <w:szCs w:val="20"/>
          <w:color w:val="auto"/>
        </w:rPr>
      </w:pPr>
    </w:p>
    <w:p>
      <w:pPr>
        <w:ind w:right="100" w:firstLine="761"/>
        <w:spacing w:after="0" w:line="259" w:lineRule="auto"/>
        <w:rPr>
          <w:sz w:val="20"/>
          <w:szCs w:val="20"/>
          <w:color w:val="auto"/>
        </w:rPr>
      </w:pPr>
      <w:r>
        <w:rPr>
          <w:rFonts w:ascii="Arial" w:cs="Arial" w:eastAsia="Arial" w:hAnsi="Arial"/>
          <w:sz w:val="18"/>
          <w:szCs w:val="18"/>
          <w:color w:val="auto"/>
        </w:rPr>
        <w:t>Due to our dependence on rental payments from Windstream Holdings as our primary source of revenues, we may be limited in our ability to enforce our rights under, or to terminate, the Master Lease. Failure by Windstream Holdings to comply with the terms of the Master Lease or to comply with the regulations to which the Distribution Systems are subject could require us to find another lessee for such Distribution Systems and there could be a decrease or cessation of rental payments by Windstream Holdings.</w:t>
      </w:r>
    </w:p>
    <w:p>
      <w:pPr>
        <w:spacing w:after="0" w:line="187" w:lineRule="exact"/>
        <w:rPr>
          <w:sz w:val="20"/>
          <w:szCs w:val="20"/>
          <w:color w:val="auto"/>
        </w:rPr>
      </w:pPr>
    </w:p>
    <w:p>
      <w:pPr>
        <w:ind w:right="100" w:firstLine="761"/>
        <w:spacing w:after="0" w:line="273" w:lineRule="auto"/>
        <w:rPr>
          <w:sz w:val="20"/>
          <w:szCs w:val="20"/>
          <w:color w:val="auto"/>
        </w:rPr>
      </w:pPr>
      <w:r>
        <w:rPr>
          <w:rFonts w:ascii="Arial" w:cs="Arial" w:eastAsia="Arial" w:hAnsi="Arial"/>
          <w:sz w:val="17"/>
          <w:szCs w:val="17"/>
          <w:color w:val="auto"/>
        </w:rPr>
        <w:t>There is no assurance that we would be able to lease the Distribution Systems to another lessee on substantially equivalent or better terms than the Master Lease,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24" w:lineRule="exact"/>
        <w:rPr>
          <w:sz w:val="20"/>
          <w:szCs w:val="20"/>
          <w:color w:val="auto"/>
        </w:rPr>
      </w:pPr>
    </w:p>
    <w:p>
      <w:pPr>
        <w:ind w:right="80" w:firstLine="761"/>
        <w:spacing w:after="0" w:line="272" w:lineRule="auto"/>
        <w:rPr>
          <w:sz w:val="20"/>
          <w:szCs w:val="20"/>
          <w:color w:val="auto"/>
        </w:rPr>
      </w:pPr>
      <w:r>
        <w:rPr>
          <w:rFonts w:ascii="Arial" w:cs="Arial" w:eastAsia="Arial" w:hAnsi="Arial"/>
          <w:sz w:val="17"/>
          <w:szCs w:val="17"/>
          <w:color w:val="auto"/>
        </w:rPr>
        <w:t>We intend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in combining our operations if such a transaction is completed. In the event that we consummate an acquisition or strategic alternative in the future, there is no assurance that we would fully realize the potential benefits of such a transaction.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761"/>
        <w:spacing w:after="0" w:line="270" w:lineRule="auto"/>
        <w:rPr>
          <w:sz w:val="20"/>
          <w:szCs w:val="20"/>
          <w:color w:val="auto"/>
        </w:rPr>
      </w:pPr>
      <w:r>
        <w:rPr>
          <w:rFonts w:ascii="Arial" w:cs="Arial" w:eastAsia="Arial" w:hAnsi="Arial"/>
          <w:sz w:val="17"/>
          <w:szCs w:val="17"/>
          <w:color w:val="auto"/>
        </w:rPr>
        <w:t>We operate in a highly competitive market and face competition from other REITs, investment companies, private equity and hedge fund investors, sovereign funds, telecommunications operators, lenders and other investors, some of whom are significantly larger and have greater resources and lower costs of capital. Increased competition makes it more challenging to identify and successfully capitalize on acquisition opportunities that meet our investment objectives. Our board of directors may change our investment objectives at any time without shareholder approval. If we cannot identify and purchase a sufficient quantity of suitable properties at favorable prices or if we are unable to finance acquisitions on commercially favorable terms, our business, financial position or results of operations could be materially and adversely affected. Additionally, the fact that we must distribute 90% of our net taxable income in order to maintain our qualification as a REIT and, in order to preserve the tax-free treatment to Windstream of the Spin-Off, may be limited in our ability to issue equity for two years after the Spin-Off, may limit our ability to finance acquisitions. As a result, if debt or equity financing is not available on acceptable terms, further acquisitions might be limited or curtailed.</w:t>
      </w:r>
    </w:p>
    <w:p>
      <w:pPr>
        <w:spacing w:after="0" w:line="182" w:lineRule="exact"/>
        <w:rPr>
          <w:sz w:val="20"/>
          <w:szCs w:val="20"/>
          <w:color w:val="auto"/>
        </w:rPr>
      </w:pPr>
    </w:p>
    <w:p>
      <w:pPr>
        <w:jc w:val="both"/>
        <w:ind w:right="60" w:firstLine="761"/>
        <w:spacing w:after="0" w:line="264" w:lineRule="auto"/>
        <w:rPr>
          <w:sz w:val="20"/>
          <w:szCs w:val="20"/>
          <w:color w:val="auto"/>
        </w:rPr>
      </w:pPr>
      <w:r>
        <w:rPr>
          <w:rFonts w:ascii="Arial" w:cs="Arial" w:eastAsia="Arial" w:hAnsi="Arial"/>
          <w:sz w:val="18"/>
          <w:szCs w:val="18"/>
          <w:color w:val="auto"/>
        </w:rPr>
        <w:t>The Master Lease contains certain non-compete provisions, which, during the term of the lease, limit our ability to construct fiber, copper, coaxial and fixed wireless distribution assets in territories where Windstream is both an incumbent local exchange carrier and where the distribution system is subject to the Master Lease.</w:t>
      </w:r>
    </w:p>
    <w:p>
      <w:pPr>
        <w:spacing w:after="0" w:line="181" w:lineRule="exact"/>
        <w:rPr>
          <w:sz w:val="20"/>
          <w:szCs w:val="20"/>
          <w:color w:val="auto"/>
        </w:rPr>
      </w:pPr>
    </w:p>
    <w:p>
      <w:pPr>
        <w:ind w:right="280" w:firstLine="761"/>
        <w:spacing w:after="0" w:line="277" w:lineRule="auto"/>
        <w:rPr>
          <w:sz w:val="20"/>
          <w:szCs w:val="20"/>
          <w:color w:val="auto"/>
        </w:rPr>
      </w:pPr>
      <w:r>
        <w:rPr>
          <w:rFonts w:ascii="Arial" w:cs="Arial" w:eastAsia="Arial" w:hAnsi="Arial"/>
          <w:sz w:val="18"/>
          <w:szCs w:val="18"/>
          <w:color w:val="auto"/>
        </w:rPr>
        <w:t>Acquisitions of properties we might seek to acquire entail risks associated with real estate investments generally, including that the investment’s performance will fail to meet expectations or that the tenant, operator or manager will underperform.</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the rights to use our real property utilized by telecommunications operators, which could result in periods in which we are unable to receive rent for such assets.</w:t>
      </w:r>
    </w:p>
    <w:p>
      <w:pPr>
        <w:spacing w:after="0" w:line="170"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Some of our tenants may be operators of telecommunications assets, which operators must be licensed under applicable state and federal laws. Prior to the transfer of the rights to use our real property to successor operators, the new operator generally must become licensed under state and federal laws. If an existing lease is terminated or expires and a new tenant is found, then any delays in the new tenant receiving regulatory approvals from the applicable federal, state or local government agencies, or the inability to receive such approvals, may prolong the period during which we are unable to collect the applicable rent. The Master Lease with Windstream provides that if it is terminated and we find a new tenant but cannot obtain regulatory approvals, Windstream would continue as the tenant for a period of time pursuant to a management agreement, although such arrangement would only be temporary and at a higher cost.</w:t>
      </w:r>
    </w:p>
    <w:p>
      <w:pPr>
        <w:spacing w:after="0" w:line="189"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Our level of indebtedness could materially and adversely affect our financial position, including reducing funds available for other business purposes and reducing our operational flexibility, and we may have future capital needs and may not be able to obtain additional financing on acceptable terms.</w:t>
      </w:r>
    </w:p>
    <w:p>
      <w:pPr>
        <w:spacing w:after="0" w:line="101"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As of June 30, 2015, we had outstanding long term indebtedness of approximately $3.65 billion consisting of a combination of senior notes and term loans. Additionally, we have entered into a revolving credit facility in an aggregate principal amount of up to $500 million (which was undrawn as of June 30, 2015), provided by a syndicate of banks and other financial institutions. Although our debt agreements restrict the amount of our future indebtedness, we may incur additional indebtedness in the future to refinance our existing indebtedness, to finance newly-acquired assets or for other purposes. Our governing documents do not contain any limitations on the amount of debt we may incur and we do not have a formal policy limiting the amount of debt we may incur in the future. Subject to the restrictions set forth in our debt agreements, our board of directors may establish and change our leverage policy at any time without shareholder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contribute assets to joint ventures or sell assets as needed.</w:t>
      </w:r>
    </w:p>
    <w:p>
      <w:pPr>
        <w:spacing w:after="0" w:line="180"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Moreover, our ability to obtain additional financing and satisfy our financial obligations under our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A worsening of credit market conditions could materially and adversely affect our ability to obtain financing on favorable terms, if at all.</w:t>
      </w:r>
    </w:p>
    <w:p>
      <w:pPr>
        <w:spacing w:after="0" w:line="187" w:lineRule="exact"/>
        <w:rPr>
          <w:sz w:val="20"/>
          <w:szCs w:val="20"/>
          <w:color w:val="auto"/>
        </w:rPr>
      </w:pPr>
    </w:p>
    <w:p>
      <w:pPr>
        <w:ind w:right="480" w:firstLine="761"/>
        <w:spacing w:after="0" w:line="277" w:lineRule="auto"/>
        <w:rPr>
          <w:sz w:val="20"/>
          <w:szCs w:val="20"/>
          <w:color w:val="auto"/>
        </w:rPr>
      </w:pPr>
      <w:r>
        <w:rPr>
          <w:rFonts w:ascii="Arial" w:cs="Arial" w:eastAsia="Arial" w:hAnsi="Arial"/>
          <w:sz w:val="18"/>
          <w:szCs w:val="18"/>
          <w:color w:val="auto"/>
        </w:rPr>
        <w:t>We may be unable to obtain additional financing or financing on favorable terms or our operating cash flow may be insufficient to satisfy our financial obligations under our indebtedness outstanding from time to time (if any). Among other things,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absence of an investment grade credit rating or any credit rating downgrade could increase our financing costs and could limit our access to financing sources. If financing is not available when needed, or is available on unfavorable terms, we may be unable to complete acquisitions or otherwise take advantage of business opportunities or respond to competitive pressures, any of which could materially and adversely affect our business, financial condition and results of operations.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and adversely affect our business, financial position or results of operations.</w:t>
      </w:r>
    </w:p>
    <w:p>
      <w:pPr>
        <w:spacing w:after="0" w:line="170" w:lineRule="exact"/>
        <w:rPr>
          <w:sz w:val="20"/>
          <w:szCs w:val="20"/>
          <w:color w:val="auto"/>
        </w:rPr>
      </w:pPr>
    </w:p>
    <w:p>
      <w:pPr>
        <w:ind w:right="80" w:firstLine="761"/>
        <w:spacing w:after="0" w:line="289" w:lineRule="auto"/>
        <w:rPr>
          <w:sz w:val="20"/>
          <w:szCs w:val="20"/>
          <w:color w:val="auto"/>
        </w:rPr>
      </w:pPr>
      <w:r>
        <w:rPr>
          <w:rFonts w:ascii="Arial" w:cs="Arial" w:eastAsia="Arial" w:hAnsi="Arial"/>
          <w:sz w:val="16"/>
          <w:szCs w:val="16"/>
          <w:color w:val="auto"/>
        </w:rPr>
        <w:t>The agreements governing our indebtedness, including the indentures and our new senior secured credit facilities, contain customary covenants, which may limit our operational flexibility. The indentures have terms customary for high yield senior notes, including covenants relating to debt incurrence, liens, restricted payments, asset sales, transactions with affiliates, and mergers or sales of all or substantially all of our assets, and customary provisions regarding optional redemption and events of default. Our credit agreement contains customary covenants that, among other things, restrict, subject to certain exceptions, our ability to grant liens on assets, incur indebtedness, sell assets, make investments, engage in acquisitions, mergers or consolidations and pay certain dividends and other restricted payments. The credit agreement also contains customary events of default and requires us to comply with specified financial maintenance covenants. Breaches of certain covenants may result in defaults and cross-defaults under certain of our other indebtedness, even if we satisfy our payment obligations to the respective obligee. In addition, defaults under the Master Lease, including defaults associated with the bankruptcy of the tenant or the termination of the Master Lease, may result in cross-defaults under certain of our indebtedness.</w:t>
      </w:r>
    </w:p>
    <w:p>
      <w:pPr>
        <w:spacing w:after="0" w:line="167" w:lineRule="exact"/>
        <w:rPr>
          <w:sz w:val="20"/>
          <w:szCs w:val="20"/>
          <w:color w:val="auto"/>
        </w:rPr>
      </w:pPr>
    </w:p>
    <w:p>
      <w:pPr>
        <w:ind w:right="40" w:firstLine="761"/>
        <w:spacing w:after="0" w:line="342" w:lineRule="auto"/>
        <w:rPr>
          <w:sz w:val="20"/>
          <w:szCs w:val="20"/>
          <w:color w:val="auto"/>
        </w:rPr>
      </w:pPr>
      <w:r>
        <w:rPr>
          <w:rFonts w:ascii="Arial" w:cs="Arial" w:eastAsia="Arial" w:hAnsi="Arial"/>
          <w:sz w:val="16"/>
          <w:szCs w:val="16"/>
          <w:color w:val="auto"/>
        </w:rPr>
        <w:t>Covenants that limit our operational flexibility, as well as covenant breaches or defaults under our debt instruments, could materially and adversely affect our business, financial position or results of operations, or our ability to incur additional indebtedness or refinance existing indebtedness.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increase our interest costs on existing and future debt and could adversely affect our stock price.</w:t>
      </w:r>
    </w:p>
    <w:p>
      <w:pPr>
        <w:spacing w:after="0" w:line="237"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If interest rates increase, so could our interest costs for any new debt and our variable rate debt obligations under the credit agreement.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 Further, the dividend yield on our common stock, as a percentage of the price of such common stock, will influence the price of such common stock. Thus, an increase in market interest rates may lead prospective purchasers of our common stock to expect a higher dividend yield, which could adversely affect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hire, or if we lose, key management personnel, we may not be able to successfully manage our business and achieve our objectives.</w:t>
      </w:r>
    </w:p>
    <w:p>
      <w:pPr>
        <w:spacing w:after="0" w:line="260" w:lineRule="exact"/>
        <w:rPr>
          <w:sz w:val="20"/>
          <w:szCs w:val="20"/>
          <w:color w:val="auto"/>
        </w:rPr>
      </w:pPr>
    </w:p>
    <w:p>
      <w:pPr>
        <w:jc w:val="both"/>
        <w:ind w:right="220" w:firstLine="761"/>
        <w:spacing w:after="0" w:line="264" w:lineRule="auto"/>
        <w:rPr>
          <w:sz w:val="20"/>
          <w:szCs w:val="20"/>
          <w:color w:val="auto"/>
        </w:rPr>
      </w:pPr>
      <w:r>
        <w:rPr>
          <w:rFonts w:ascii="Arial" w:cs="Arial" w:eastAsia="Arial" w:hAnsi="Arial"/>
          <w:sz w:val="18"/>
          <w:szCs w:val="18"/>
          <w:color w:val="auto"/>
        </w:rPr>
        <w:t>Our success depends in large part upon the leadership and performance of our executive management team, particularly our President and Chief Executive Officer, Kenneth Gunderman, and other key employees. If we lose the services of Mr. Gunderman or are not able to hire, or if we lose, other key employees we may not be able to successfully manage our business or achieve our business objectives.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70" w:lineRule="exact"/>
        <w:rPr>
          <w:sz w:val="20"/>
          <w:szCs w:val="20"/>
          <w:color w:val="auto"/>
        </w:rPr>
      </w:pPr>
    </w:p>
    <w:p>
      <w:pPr>
        <w:ind w:right="100" w:firstLine="761"/>
        <w:spacing w:after="0" w:line="273" w:lineRule="auto"/>
        <w:rPr>
          <w:sz w:val="20"/>
          <w:szCs w:val="20"/>
          <w:color w:val="auto"/>
        </w:rPr>
      </w:pPr>
      <w:r>
        <w:rPr>
          <w:rFonts w:ascii="Arial" w:cs="Arial" w:eastAsia="Arial" w:hAnsi="Arial"/>
          <w:sz w:val="17"/>
          <w:szCs w:val="17"/>
          <w:color w:val="auto"/>
        </w:rPr>
        <w:t>The Master Lease requires, and new lease agreements that we enter into are expected to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761"/>
        <w:spacing w:after="0" w:line="286" w:lineRule="auto"/>
        <w:rPr>
          <w:sz w:val="20"/>
          <w:szCs w:val="20"/>
          <w:color w:val="auto"/>
        </w:rPr>
      </w:pPr>
      <w:r>
        <w:rPr>
          <w:rFonts w:ascii="Arial" w:cs="Arial" w:eastAsia="Arial" w:hAnsi="Arial"/>
          <w:sz w:val="17"/>
          <w:szCs w:val="17"/>
          <w:color w:val="auto"/>
        </w:rPr>
        <w:t>Our properties are located in 29 states, and if one of our properties experiences a loss that is uninsured or that exceeds policy coverage limits, we could lose the capital invested in the damaged property as well as the anticipated future cash flows from the property. If the damaged property is subject to recourse indebtedness, we could continue to be liable for the indebtedness even if the property is irreparably damaged.</w:t>
      </w:r>
    </w:p>
    <w:p>
      <w:pPr>
        <w:spacing w:after="0" w:line="166" w:lineRule="exact"/>
        <w:rPr>
          <w:sz w:val="20"/>
          <w:szCs w:val="20"/>
          <w:color w:val="auto"/>
        </w:rPr>
      </w:pPr>
    </w:p>
    <w:p>
      <w:pPr>
        <w:ind w:right="440" w:firstLine="761"/>
        <w:spacing w:after="0" w:line="264" w:lineRule="auto"/>
        <w:rPr>
          <w:sz w:val="20"/>
          <w:szCs w:val="20"/>
          <w:color w:val="auto"/>
        </w:rPr>
      </w:pPr>
      <w:r>
        <w:rPr>
          <w:rFonts w:ascii="Arial" w:cs="Arial" w:eastAsia="Arial" w:hAnsi="Arial"/>
          <w:sz w:val="18"/>
          <w:szCs w:val="18"/>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70" w:lineRule="exact"/>
        <w:rPr>
          <w:sz w:val="20"/>
          <w:szCs w:val="20"/>
          <w:color w:val="auto"/>
        </w:rPr>
      </w:pPr>
    </w:p>
    <w:p>
      <w:pPr>
        <w:ind w:right="140" w:firstLine="761"/>
        <w:spacing w:after="0" w:line="257" w:lineRule="auto"/>
        <w:rPr>
          <w:sz w:val="20"/>
          <w:szCs w:val="20"/>
          <w:color w:val="auto"/>
        </w:rPr>
      </w:pPr>
      <w:r>
        <w:rPr>
          <w:rFonts w:ascii="Arial" w:cs="Arial" w:eastAsia="Arial" w:hAnsi="Arial"/>
          <w:sz w:val="18"/>
          <w:szCs w:val="18"/>
          <w:color w:val="auto"/>
        </w:rPr>
        <w:t>As the owner of distribution systems serving the communications industry, we are impacted by the risks associated with the communications industry. Therefore, our success is to some degree dependent on the communications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communications business would likely have a greater adverse effect on our revenues than if we owned a more diversified real estate portfolio.</w:t>
      </w:r>
    </w:p>
    <w:p>
      <w:pPr>
        <w:spacing w:after="0" w:line="188" w:lineRule="exact"/>
        <w:rPr>
          <w:sz w:val="20"/>
          <w:szCs w:val="20"/>
          <w:color w:val="auto"/>
        </w:rPr>
      </w:pPr>
    </w:p>
    <w:p>
      <w:pPr>
        <w:ind w:right="140" w:firstLine="761"/>
        <w:spacing w:after="0" w:line="286" w:lineRule="auto"/>
        <w:rPr>
          <w:sz w:val="20"/>
          <w:szCs w:val="20"/>
          <w:color w:val="auto"/>
        </w:rPr>
      </w:pPr>
      <w:r>
        <w:rPr>
          <w:rFonts w:ascii="Arial" w:cs="Arial" w:eastAsia="Arial" w:hAnsi="Arial"/>
          <w:sz w:val="17"/>
          <w:szCs w:val="17"/>
          <w:color w:val="auto"/>
        </w:rPr>
        <w:t>The communications industry is characterized by a high degree of competition among a large number of participants. Competition is intense between telecommunications, wireless and cable operators in most of the markets where our properties are located. As competing properties are constructed, the lease rates we assess for our properties may be negatively impacted upon renewal or new tenant pricing events.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170" w:lineRule="exact"/>
        <w:rPr>
          <w:sz w:val="20"/>
          <w:szCs w:val="20"/>
          <w:color w:val="auto"/>
        </w:rPr>
      </w:pPr>
    </w:p>
    <w:p>
      <w:pPr>
        <w:ind w:right="60" w:firstLine="761"/>
        <w:spacing w:after="0" w:line="273" w:lineRule="auto"/>
        <w:rPr>
          <w:sz w:val="20"/>
          <w:szCs w:val="20"/>
          <w:color w:val="auto"/>
        </w:rPr>
      </w:pPr>
      <w:r>
        <w:rPr>
          <w:rFonts w:ascii="Arial" w:cs="Arial" w:eastAsia="Arial" w:hAnsi="Arial"/>
          <w:sz w:val="17"/>
          <w:szCs w:val="17"/>
          <w:color w:val="auto"/>
        </w:rPr>
        <w:t>Our business, and that of our tenants, is subject to federal, state, local and foreign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the Spin-Off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225" w:lineRule="exact"/>
        <w:rPr>
          <w:sz w:val="20"/>
          <w:szCs w:val="20"/>
          <w:color w:val="auto"/>
        </w:rPr>
      </w:pPr>
    </w:p>
    <w:p>
      <w:pPr>
        <w:ind w:firstLine="761"/>
        <w:spacing w:after="0" w:line="255" w:lineRule="auto"/>
        <w:rPr>
          <w:sz w:val="20"/>
          <w:szCs w:val="20"/>
          <w:color w:val="auto"/>
        </w:rPr>
      </w:pPr>
      <w:r>
        <w:rPr>
          <w:rFonts w:ascii="Arial" w:cs="Arial" w:eastAsia="Arial" w:hAnsi="Arial"/>
          <w:sz w:val="18"/>
          <w:szCs w:val="18"/>
          <w:color w:val="auto"/>
        </w:rPr>
        <w:t>We believe that, as a publicly-traded company independent from Windstream, CS&amp;L has the ability to pursue transactions with other telecommunications operators that would not pursue transactions with Windstream as a current competitor, to fund acquisitions with its equity on significantly more favorable terms than those that would be available to Windstream, and to pursue certain transactions that Windstream otherwise may be disadvantaged by or precluded from pursuing due to regulatory constraints. However, we may not be able to achieve some or all of the benefits that we expect to achieve as a company independent from Windstream in the time we expect, if at all. For instance, it may take longer than anticipated for operators to, or operators may never, embrace a lease structure for distribution system assets.</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If the Spin-Off, together with certain related transactions, fails to qualify as a tax-free transaction for U.S. federal income tax purposes, both we and Windstream could be subject to significant tax liabilities and, in certain circumstances, we could be required to indemnify Windstream for material taxes pursuant to indemnification obligations under the tax matters agreement entered into in connection with the Spin-Off.</w:t>
      </w:r>
    </w:p>
    <w:p>
      <w:pPr>
        <w:spacing w:after="0" w:line="147" w:lineRule="exact"/>
        <w:rPr>
          <w:sz w:val="20"/>
          <w:szCs w:val="20"/>
          <w:color w:val="auto"/>
        </w:rPr>
      </w:pPr>
    </w:p>
    <w:p>
      <w:pPr>
        <w:ind w:right="160" w:firstLine="761"/>
        <w:spacing w:after="0" w:line="259" w:lineRule="auto"/>
        <w:rPr>
          <w:sz w:val="20"/>
          <w:szCs w:val="20"/>
          <w:color w:val="auto"/>
        </w:rPr>
      </w:pPr>
      <w:r>
        <w:rPr>
          <w:rFonts w:ascii="Arial" w:cs="Arial" w:eastAsia="Arial" w:hAnsi="Arial"/>
          <w:sz w:val="18"/>
          <w:szCs w:val="18"/>
          <w:color w:val="auto"/>
        </w:rPr>
        <w:t>Windstream received a private letter ruling (the “IRS Ruling”) from the Internal Revenue Service (the “IRS”) to the effect that, on the basis of certain facts presented and representations and assumptions set forth in the request submitted to the IRS, the Spin-Off will qualify as tax-free under Sections 355 and 368(a)(1)(D) of the Internal Revenue Code of 1986, as amended (the “Code”). Although a private letter ruling from the IRS generally is binding on the IRS, if the factual representations and assumptions made 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letter ruling request are untrue or incomplete in any material respect, then Windstream will not be able to rely on the IRS Ruling. In addition, the IRS Ruling does not address certain requirements for tax-free treatment of the Spin-Off under Sections 355 and 368(a)(1)(D) of the Code and Windstream’s use of CS&amp;L indebtedness and common stock to retire certain of Windstream’s indebtedness (the “debt exchanges”). Accordingly, the Spin-Off was conditioned upon the receipt by Windstream of a tax opinion from its counsel with respect to the requirements on which the IRS did not rule, which concluded that such requirements also should be satisfied. The tax opinion was based on, among other things, the IRS Ruling, current law and certain representations and assumptions as to factual matters made by Windstream and us.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is not binding on the IRS or the courts, and the IRS and/or the courts may not agree with the tax opinion.</w:t>
      </w:r>
    </w:p>
    <w:p>
      <w:pPr>
        <w:spacing w:after="0" w:line="166" w:lineRule="exact"/>
        <w:rPr>
          <w:sz w:val="20"/>
          <w:szCs w:val="20"/>
          <w:color w:val="auto"/>
        </w:rPr>
      </w:pPr>
    </w:p>
    <w:p>
      <w:pPr>
        <w:ind w:firstLine="761"/>
        <w:spacing w:after="0" w:line="290" w:lineRule="auto"/>
        <w:rPr>
          <w:sz w:val="20"/>
          <w:szCs w:val="20"/>
          <w:color w:val="auto"/>
        </w:rPr>
      </w:pPr>
      <w:r>
        <w:rPr>
          <w:rFonts w:ascii="Arial" w:cs="Arial" w:eastAsia="Arial" w:hAnsi="Arial"/>
          <w:sz w:val="16"/>
          <w:szCs w:val="16"/>
          <w:color w:val="auto"/>
        </w:rPr>
        <w:t>If the Spin-Off were determined to be taxable, Windstream would recognize taxable gain. Under the terms of the tax matters agreement entered into with Windstream in connection with the Spin-Off (the “Tax Matters Agreement”),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IRS Ruling or the representations provided in connection with the tax opinion. Our indemnification obligations to Windstream are not limited by any maximum amount and such amounts could be substantial. If we are required to indemnify Windstream under the circumstances set forth in the Tax Matters Agreement, we may also be subject to substantial tax liabilities.</w:t>
      </w:r>
    </w:p>
    <w:p>
      <w:pPr>
        <w:spacing w:after="0" w:line="166" w:lineRule="exact"/>
        <w:rPr>
          <w:sz w:val="20"/>
          <w:szCs w:val="20"/>
          <w:color w:val="auto"/>
        </w:rPr>
      </w:pPr>
    </w:p>
    <w:p>
      <w:pPr>
        <w:ind w:right="700" w:firstLine="761"/>
        <w:spacing w:after="0" w:line="308" w:lineRule="auto"/>
        <w:rPr>
          <w:sz w:val="20"/>
          <w:szCs w:val="20"/>
          <w:color w:val="auto"/>
        </w:rPr>
      </w:pPr>
      <w:r>
        <w:rPr>
          <w:rFonts w:ascii="Arial" w:cs="Arial" w:eastAsia="Arial" w:hAnsi="Arial"/>
          <w:sz w:val="17"/>
          <w:szCs w:val="17"/>
          <w:color w:val="auto"/>
        </w:rPr>
        <w:t>In addition, if the Spin-Off or the debt exchanges failed to qualify as tax free for U.S. federal income tax purposes, Windstream may incur significant tax liabilities that could materially affect Windstream’s ability to make payments under the Master Lease.</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may not be able to engage in desirable strategic transactions and equity issuances for two years following the Spin-Off because of certain restrictions relating to requirements for tax-free distributions for U.S. federal income tax purposes. In addition, we could be liable for adverse tax consequences resulting from engaging in significant strategic or capital-raising transactions.</w:t>
      </w:r>
    </w:p>
    <w:p>
      <w:pPr>
        <w:spacing w:after="0" w:line="181" w:lineRule="exact"/>
        <w:rPr>
          <w:sz w:val="20"/>
          <w:szCs w:val="20"/>
          <w:color w:val="auto"/>
        </w:rPr>
      </w:pPr>
    </w:p>
    <w:p>
      <w:pPr>
        <w:jc w:val="both"/>
        <w:ind w:right="20" w:firstLine="761"/>
        <w:spacing w:after="0" w:line="302" w:lineRule="auto"/>
        <w:rPr>
          <w:sz w:val="20"/>
          <w:szCs w:val="20"/>
          <w:color w:val="auto"/>
        </w:rPr>
      </w:pPr>
      <w:r>
        <w:rPr>
          <w:rFonts w:ascii="Arial" w:cs="Arial" w:eastAsia="Arial" w:hAnsi="Arial"/>
          <w:sz w:val="16"/>
          <w:szCs w:val="16"/>
          <w:color w:val="auto"/>
        </w:rPr>
        <w:t>To preserve the tax-free treatment to Windstream of the Spin-Off, for the two-year period following the Spin-Off, CS&amp;L may be prohibited, except in specific circumstances, from taking certain actions, including: (1) entering into any transaction pursuant to which all or a portion of CS&amp;L’s stock would be acquired, whether by merger or otherwise, (2) issuing equity securities beyond certain thresholds, or (3) repurchasing CS&amp;L’s common stock. In addition, we are prohibited from taking or failing to take any other action that prevents the Spin-Off and related transactions from being tax-free.</w:t>
      </w:r>
    </w:p>
    <w:p>
      <w:pPr>
        <w:spacing w:after="0" w:line="154"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These restrictions may limit CS&amp;L’s ability to pursue strategic transactions or engage in new business or other transactions that may maximize the value of CS&amp;L’s business or to raise additional equity financing to fund debt source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Windstream may not reflect terms that would have resulted from negotiations with unaffiliated third parties.</w:t>
      </w:r>
    </w:p>
    <w:p>
      <w:pPr>
        <w:spacing w:after="0" w:line="225" w:lineRule="exact"/>
        <w:rPr>
          <w:sz w:val="20"/>
          <w:szCs w:val="20"/>
          <w:color w:val="auto"/>
        </w:rPr>
      </w:pPr>
    </w:p>
    <w:p>
      <w:pPr>
        <w:ind w:firstLine="761"/>
        <w:spacing w:after="0" w:line="293" w:lineRule="auto"/>
        <w:rPr>
          <w:sz w:val="20"/>
          <w:szCs w:val="20"/>
          <w:color w:val="auto"/>
        </w:rPr>
      </w:pPr>
      <w:r>
        <w:rPr>
          <w:rFonts w:ascii="Arial" w:cs="Arial" w:eastAsia="Arial" w:hAnsi="Arial"/>
          <w:sz w:val="16"/>
          <w:szCs w:val="16"/>
          <w:color w:val="auto"/>
        </w:rPr>
        <w:t>The agreements that we entered into with Windstream in connection with the Spin-Off, including the Separation and Distribution Agreement, the Master Lease, the Recognition Agreement, the Tax Matters Agreement, the Transition Services Agreement, the Employee Matters Agreement, the Wholesale Master Services Agreement, the Master Services Agreement, the Intellectual Property Matters Agreement, the Reverse Transition Services Agreement and the Stockholder’s and Registration Rights Agreement, were entered into in the context of the Spin-Off while we were still controlled by Windstream. As a result, they may not reflect terms that would have resulted from negotiations between unaffiliated third parties. The terms of the agreements entered into in the context of the Spin-Off concern, among other things, divisions and allocations of assets and liabilities and rights and obligations, between Windstream and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financial information may not be a reliable indicator of future results.</w:t>
      </w:r>
    </w:p>
    <w:p>
      <w:pPr>
        <w:spacing w:after="0" w:line="225"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color w:val="auto"/>
        </w:rPr>
        <w:t>Our historical financial data may not reflect our business, financial position or results of operations had we been an independent, publicly-traded company during the periods presented, or what our business, financial position or results of operations will be in the future. Prior to the Spin-Off, our business was operated by Windstream as part of one corporate organization and not operated as a stand-alone company. Because the Distribution Systems and Consumer CLEC Business assets that comprise our business were not acquired by us until immediately prior to the Spin-Off, there are no historical financial statements for CS&amp;L, and our historical financial statements are not indicative of how we exist following the Spin-Off. Significant changes have and will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continue to occur in our cost structure, financing and business operations as a result of our operation as a stand-alone company and our transactions with Windstream that have not existed historically, including the Master Lease and an estimated $20 to $25 million of incremental operating expenses that we expect to incur.</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Spin-Off could give rise to disputes or other unfavorable effects, which could materially and adversely affect our business, financial position or results of operations.</w:t>
      </w:r>
    </w:p>
    <w:p>
      <w:pPr>
        <w:spacing w:after="0" w:line="170" w:lineRule="exact"/>
        <w:rPr>
          <w:sz w:val="20"/>
          <w:szCs w:val="20"/>
          <w:color w:val="auto"/>
        </w:rPr>
      </w:pPr>
    </w:p>
    <w:p>
      <w:pPr>
        <w:ind w:right="260" w:firstLine="761"/>
        <w:spacing w:after="0" w:line="271" w:lineRule="auto"/>
        <w:rPr>
          <w:sz w:val="20"/>
          <w:szCs w:val="20"/>
          <w:color w:val="auto"/>
        </w:rPr>
      </w:pPr>
      <w:r>
        <w:rPr>
          <w:rFonts w:ascii="Arial" w:cs="Arial" w:eastAsia="Arial" w:hAnsi="Arial"/>
          <w:sz w:val="17"/>
          <w:szCs w:val="17"/>
          <w:color w:val="auto"/>
        </w:rPr>
        <w:t>The Spin-Off may lead to increased operating and other expenses, of both a nonrecurring and a recurring nature, and to changes to certain operations, which expenses or changes could arise pursuant to arrangements made between Windstream and us or could trigger contractual rights of, and obligations to, third parties. Disputes with third parties could also arise out of these transactions. These increased expenses, changes to operations, disputes with third parties, or other effects could materially and adversely affect our business, financial position or results of operations. In addition, disputes with Windstream could arise in connection with the Separation and Distribution Agreement, the Master Lease, the Recognition Agreement, the Tax Matters Agreement, the Transition Services Agreement, the Employee Matters Agreement, the Wholesale Master Services Agreement, the Master Services Agreement, the Intellectual Property Matters Agreement, the Reverse Transition Services Agreement and the Stockholder’s and Registration Rights Agreement entered into in the context of the Spin-Off or other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 may expose us to potential liabilities arising out of state and federal fraudulent conveyance laws.</w:t>
      </w:r>
    </w:p>
    <w:p>
      <w:pPr>
        <w:spacing w:after="0" w:line="225" w:lineRule="exact"/>
        <w:rPr>
          <w:sz w:val="20"/>
          <w:szCs w:val="20"/>
          <w:color w:val="auto"/>
        </w:rPr>
      </w:pPr>
    </w:p>
    <w:p>
      <w:pPr>
        <w:ind w:firstLine="761"/>
        <w:spacing w:after="0" w:line="290" w:lineRule="auto"/>
        <w:rPr>
          <w:sz w:val="20"/>
          <w:szCs w:val="20"/>
          <w:color w:val="auto"/>
        </w:rPr>
      </w:pPr>
      <w:r>
        <w:rPr>
          <w:rFonts w:ascii="Arial" w:cs="Arial" w:eastAsia="Arial" w:hAnsi="Arial"/>
          <w:sz w:val="16"/>
          <w:szCs w:val="16"/>
          <w:color w:val="auto"/>
        </w:rPr>
        <w:t>A court could deem the Spin-Off of CS&amp;L common stock or certain internal restructuring transactions undertaken by Windstream in connection therewith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or impose substantial liabilities upon us, which could adversely affect our financial condition and our results of operations. Among other things, the court could require our shareholders to return to Windstream some or all of the shares of our common stock issued in the distribution, to return some of the purging distribution, if any, to CS&amp;L, or require us to fund liabilities of other companies involved in the restructuring transactions for the benefit of creditors. Whether a transaction is a fraudulent conveyance or transfer will vary depending upon the jurisdiction whose law is being applied.</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If we do not qualify as a REIT, or fail to remain qualified as a REIT, we will be subject to U.S. federal income tax as a regular corporation and could face a substantial tax liability, which could reduce the amount of cash available for distribution to our shareholders.</w:t>
      </w:r>
    </w:p>
    <w:p>
      <w:pPr>
        <w:spacing w:after="0" w:line="147" w:lineRule="exact"/>
        <w:rPr>
          <w:sz w:val="20"/>
          <w:szCs w:val="20"/>
          <w:color w:val="auto"/>
        </w:rPr>
      </w:pPr>
    </w:p>
    <w:p>
      <w:pPr>
        <w:ind w:firstLine="761"/>
        <w:spacing w:after="0" w:line="287" w:lineRule="auto"/>
        <w:rPr>
          <w:sz w:val="20"/>
          <w:szCs w:val="20"/>
          <w:color w:val="auto"/>
        </w:rPr>
      </w:pPr>
      <w:r>
        <w:rPr>
          <w:rFonts w:ascii="Arial" w:cs="Arial" w:eastAsia="Arial" w:hAnsi="Arial"/>
          <w:sz w:val="16"/>
          <w:szCs w:val="16"/>
          <w:color w:val="auto"/>
        </w:rPr>
        <w:t>We intend to operate in a manner that will allow us to qualify as a REIT for U.S. federal income tax purposes commencing with our taxable year ending December 31, 2015. References throughout this document to the “first taxable year” for which we intend to elect to be taxed as a REIT refer to the taxable year ending December 31, 2015. We received an opinion of tax counsel to Windstream with respect to our qualification as a REIT in connection with the Spin-Off. Investors should be aware, however, that opinions of counsel are not binding on the IRS or any court. The opinion of tax counsel represents only the view of such counsel based on its review and analysis of existing law and on certain representations as to factual matters and covenants made by us, including representations relating to the values of our assets and the sources of our income. The opinion is expressed as of the date issued. Tax counsel has no obligation to advise us or the holders of our common stock of any subsequent change in the matters stated, represented or assumed or of any subsequent change in applicable law. Furthermore, both the validity of the opinion of tax counsel and our qualification as a REIT will depend on our satisfaction of certain asset, income, organizational, distribution, shareholder ownership and other requirements on a continuing basis, the results of which will not be monitored by tax counsel.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73" w:lineRule="exact"/>
        <w:rPr>
          <w:sz w:val="20"/>
          <w:szCs w:val="20"/>
          <w:color w:val="auto"/>
        </w:rPr>
      </w:pPr>
    </w:p>
    <w:p>
      <w:pPr>
        <w:ind w:right="20" w:firstLine="761"/>
        <w:spacing w:after="0" w:line="276" w:lineRule="auto"/>
        <w:rPr>
          <w:sz w:val="20"/>
          <w:szCs w:val="20"/>
          <w:color w:val="auto"/>
        </w:rPr>
      </w:pPr>
      <w:r>
        <w:rPr>
          <w:rFonts w:ascii="Arial" w:cs="Arial" w:eastAsia="Arial" w:hAnsi="Arial"/>
          <w:sz w:val="17"/>
          <w:szCs w:val="17"/>
          <w:color w:val="auto"/>
        </w:rPr>
        <w:t>If we were to fail to qualify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could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as a REIT.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761"/>
        <w:spacing w:after="0" w:line="257" w:lineRule="auto"/>
        <w:rPr>
          <w:sz w:val="20"/>
          <w:szCs w:val="20"/>
          <w:color w:val="auto"/>
        </w:rPr>
      </w:pPr>
      <w:r>
        <w:rPr>
          <w:rFonts w:ascii="Arial" w:cs="Arial" w:eastAsia="Arial" w:hAnsi="Arial"/>
          <w:sz w:val="18"/>
          <w:szCs w:val="18"/>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will depend on our satisfaction of certain asset, income, organizational, distribution, shareholder ownership and other requirements on a continuing basis. In addition, our ability to satisfy the requirements to qualify as a REIT may depend in part on the actions of third parties over which we have no control or only limited influence.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w:t>
      </w:r>
    </w:p>
    <w:p>
      <w:pPr>
        <w:spacing w:after="0" w:line="225"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The rules dealing with U.S. federal income taxation are constantly under review by persons involved in the legislative process and by the IRS and the U.S. Department of the Treasury (the “Treasury”). Changes to the tax laws or interpretations thereof, with or without retroactive application, could materially and adversely affect our investors or us. We cannot predict how changes in the tax laws might affect our investors or us. New legislation, Treasury regulations, administrative interpretations or court decisions could significantly and negatively affect our ability to qualify to be taxed as a REIT or the U.S. federal income tax consequences to our investors and us of such qualification.</w:t>
      </w:r>
    </w:p>
    <w:p>
      <w:pPr>
        <w:spacing w:after="0" w:line="188" w:lineRule="exact"/>
        <w:rPr>
          <w:sz w:val="20"/>
          <w:szCs w:val="20"/>
          <w:color w:val="auto"/>
        </w:rPr>
      </w:pPr>
    </w:p>
    <w:p>
      <w:pPr>
        <w:ind w:firstLine="761"/>
        <w:spacing w:after="0" w:line="286" w:lineRule="auto"/>
        <w:rPr>
          <w:sz w:val="20"/>
          <w:szCs w:val="20"/>
          <w:color w:val="auto"/>
        </w:rPr>
      </w:pPr>
      <w:r>
        <w:rPr>
          <w:rFonts w:ascii="Arial" w:cs="Arial" w:eastAsia="Arial" w:hAnsi="Arial"/>
          <w:sz w:val="16"/>
          <w:szCs w:val="16"/>
          <w:color w:val="auto"/>
        </w:rPr>
        <w:t>On February 26, 2014, House Ways and Means Committee Chairman David Camp released a proposal, formally introduced recently as proposed legislation, H.R. 1, the Tax Reform Act of 2014 (the “Camp Proposal”), for comprehensive tax reform. The Camp Proposal includes a number of provisions that, if enacted, would have an adverse effect on corporations seeking to make an election to be taxed as a REIT. These include the following: (i) if the stock of a corporation is distributed in a tax-free spin-off under Section 355 of the Code, such corporation will not be eligible to make an election to be taxed as a REIT for the ten-year period following the taxable year in which the spin-off occurs; (ii) if a corporation elects to be taxed as a REIT, such corporation will be required to recognize certain built-in gains inherent in its property as if all its assets were sold at their fair market value immediately before the close of the taxable year immediately before the corporation became taxed as a REIT; (iii) for purposes of the REIT income and asset tests, “real property” would be defined to exclude all tangible property with a class life of less than 27.5 years (as defined under the depreciation rules); and (iv) any dividend made to satisfy the REIT requirement that a REIT must not have any earnings and profits accumulated during non-REIT years by the end of its first tax year as a REIT must be made in cash instead of a combination of cash and stock. Provisions (i) and (ii), if enacted in their current form, would apply to REIT elections and tax-free spin-off distributions made on or after February 26, 2014. If enacted in its current form, the Camp Proposal would materially and adversely affect our ability to make an election to be taxed as a REIT. See the risk factor captioned “If we do not qualify as a REIT, or fail to remain qualified as a REIT, we will be subject to U.S. federal income tax as a regular corporation and could face a substantial tax liability, which could reduce the amount of cash available for distribution to our shareholders.” It is uncertain whether the Camp Proposal, in its current form as it relates to CS&amp;L, or any other legislation affecting REITs and entities desiring to elect REIT status will be enacted and whether any such legislation will apply to CS&amp;L.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fail to qualify as a REIT if income we receive from Windstream is not treated as qualifying income.</w:t>
      </w:r>
    </w:p>
    <w:p>
      <w:pPr>
        <w:spacing w:after="0" w:line="225" w:lineRule="exact"/>
        <w:rPr>
          <w:sz w:val="20"/>
          <w:szCs w:val="20"/>
          <w:color w:val="auto"/>
        </w:rPr>
      </w:pPr>
    </w:p>
    <w:p>
      <w:pPr>
        <w:jc w:val="both"/>
        <w:ind w:right="20" w:firstLine="761"/>
        <w:spacing w:after="0" w:line="302" w:lineRule="auto"/>
        <w:rPr>
          <w:sz w:val="20"/>
          <w:szCs w:val="20"/>
          <w:color w:val="auto"/>
        </w:rPr>
      </w:pPr>
      <w:r>
        <w:rPr>
          <w:rFonts w:ascii="Arial" w:cs="Arial" w:eastAsia="Arial" w:hAnsi="Arial"/>
          <w:sz w:val="16"/>
          <w:szCs w:val="16"/>
          <w:color w:val="auto"/>
        </w:rPr>
        <w:t>Under applicable provisions of the Code, we will not be treated as a REIT unless we satisfy various requirements, including requirements relating to the sources of our gross income. Rents received or accrued by us from Windstream will not be treated as qualifying rent for purposes of these requirements if the Master Lease is not respected as a true lease for U.S. federal income tax purposes and is instead treated as a service contract, joint venture or some other type of arrangement. If the Master Lease is not respected as a true lease for U.S. federal income tax purposes, we may fail to qualify as a REIT.</w:t>
      </w:r>
    </w:p>
    <w:p>
      <w:pPr>
        <w:spacing w:after="0" w:line="154" w:lineRule="exact"/>
        <w:rPr>
          <w:sz w:val="20"/>
          <w:szCs w:val="20"/>
          <w:color w:val="auto"/>
        </w:rPr>
      </w:pPr>
    </w:p>
    <w:p>
      <w:pPr>
        <w:ind w:right="20" w:firstLine="761"/>
        <w:spacing w:after="0" w:line="272" w:lineRule="auto"/>
        <w:rPr>
          <w:sz w:val="20"/>
          <w:szCs w:val="20"/>
          <w:color w:val="auto"/>
        </w:rPr>
      </w:pPr>
      <w:r>
        <w:rPr>
          <w:rFonts w:ascii="Arial" w:cs="Arial" w:eastAsia="Arial" w:hAnsi="Arial"/>
          <w:sz w:val="17"/>
          <w:szCs w:val="17"/>
          <w:color w:val="auto"/>
        </w:rPr>
        <w:t>In addition, subject to certain exceptions, rents received or accrued by us from Windstream will not be treated as qualifying rent for purposes of the REIT gross income requirements if we or a beneficial or constructive owner of 10% or more of our stock beneficially or constructively owns 10% or more of the total combined voting power of all classes of Windstream Holdings stock entitled to vote or 10% or more of the total value of all classes of Windstream Holdings stock. Our charter provides for restrictions on ownership and transfer of our shares of stock, including restrictions on such ownership or transfer that would cause the rents received or accrued by us from Windstream to be treated as non-qualifying rent for purposes of the REIT gross income requirements. Nevertheless, there can be no assurance that such restrictions will be effective in ensuring that rents received or accrued by us from Windstream will not be treated as qualifying rent for purposes of REIT qualification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225"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The maximum U.S. federal income tax rate applicable to income from “qualified dividends” payable by U.S. corporations to U.S. shareholders that are individuals, trusts and estates is currently 20%. Dividends payable by REITs, however, generally are not eligible for the reduced rates. Although these rules do not adversely affect the taxation of REITs, the more favorable rates applicable to regular corporate qualified dividends could cause investors who are individuals, trusts and estates to perceive investments in REITs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be relatively less attractive than investments in the stocks of non-REIT corporations that pay dividends, which could adversely affect the value of the stock of REITs, including our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225" w:lineRule="exact"/>
        <w:rPr>
          <w:sz w:val="20"/>
          <w:szCs w:val="20"/>
          <w:color w:val="auto"/>
        </w:rPr>
      </w:pPr>
    </w:p>
    <w:p>
      <w:pPr>
        <w:ind w:firstLine="761"/>
        <w:spacing w:after="0" w:line="27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for us to qualify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78" w:lineRule="exact"/>
        <w:rPr>
          <w:sz w:val="20"/>
          <w:szCs w:val="20"/>
          <w:color w:val="auto"/>
        </w:rPr>
      </w:pPr>
    </w:p>
    <w:p>
      <w:pPr>
        <w:ind w:right="80" w:firstLine="761"/>
        <w:spacing w:after="0" w:line="291" w:lineRule="auto"/>
        <w:rPr>
          <w:sz w:val="20"/>
          <w:szCs w:val="20"/>
          <w:color w:val="auto"/>
        </w:rPr>
      </w:pPr>
      <w:r>
        <w:rPr>
          <w:rFonts w:ascii="Arial" w:cs="Arial" w:eastAsia="Arial" w:hAnsi="Arial"/>
          <w:sz w:val="16"/>
          <w:szCs w:val="16"/>
          <w:color w:val="auto"/>
        </w:rPr>
        <w:t>Our FFO are currently generated primarily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including the 4% excise tax in a particular year. These alternatives could increase our costs or reduce our equity. Thus, compliance with the REIT requirements may hinder our ability to grow, which could adversely affect the value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225" w:lineRule="exact"/>
        <w:rPr>
          <w:sz w:val="20"/>
          <w:szCs w:val="20"/>
          <w:color w:val="auto"/>
        </w:rPr>
      </w:pPr>
    </w:p>
    <w:p>
      <w:pPr>
        <w:ind w:right="220" w:firstLine="761"/>
        <w:spacing w:after="0" w:line="257" w:lineRule="auto"/>
        <w:rPr>
          <w:sz w:val="20"/>
          <w:szCs w:val="20"/>
          <w:color w:val="auto"/>
        </w:rPr>
      </w:pPr>
      <w:r>
        <w:rPr>
          <w:rFonts w:ascii="Arial" w:cs="Arial" w:eastAsia="Arial" w:hAnsi="Arial"/>
          <w:sz w:val="18"/>
          <w:szCs w:val="18"/>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subsidiary corporation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shareholders.</w:t>
      </w:r>
    </w:p>
    <w:p>
      <w:pPr>
        <w:spacing w:after="0" w:line="18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Complying with the REIT requirements may cause us to forego otherwise attractive acquisition opportunities or liquidate otherwise attractive investments.</w:t>
      </w:r>
    </w:p>
    <w:p>
      <w:pPr>
        <w:spacing w:after="0" w:line="170"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25%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67" w:lineRule="exact"/>
        <w:rPr>
          <w:sz w:val="20"/>
          <w:szCs w:val="20"/>
          <w:color w:val="auto"/>
        </w:rPr>
      </w:pPr>
    </w:p>
    <w:p>
      <w:pPr>
        <w:jc w:val="both"/>
        <w:ind w:right="140" w:firstLine="761"/>
        <w:spacing w:after="0" w:line="259" w:lineRule="auto"/>
        <w:rPr>
          <w:sz w:val="20"/>
          <w:szCs w:val="20"/>
          <w:color w:val="auto"/>
        </w:rPr>
      </w:pPr>
      <w:r>
        <w:rPr>
          <w:rFonts w:ascii="Arial" w:cs="Arial" w:eastAsia="Arial" w:hAnsi="Arial"/>
          <w:sz w:val="18"/>
          <w:szCs w:val="18"/>
          <w:color w:val="auto"/>
        </w:rPr>
        <w:t>In addition to the asset tests set forth above, to qualify as a REIT we must continually satisfy tests concerning, among other things, the sources of our income, the amounts we distribute to our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limit our ability to hedge effectively and may cause us to incur tax liabilities.</w:t>
      </w:r>
    </w:p>
    <w:p>
      <w:pPr>
        <w:spacing w:after="0" w:line="225"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The REIT provisions of the Code substantially limit our ability to hedge our assets and liabilities. Income from certain hedging transactions that we may enter into to manage risk of interest rate changes with respect to borrowings made or to be made 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acquire or carry real estate assets does not constitute “gross income” for purposes of the 75% or 95% gross income tests that apply to REITs, provided that certain identification requirements are met. To the extent that we enter into other types of hedging transactions or fail to properly identify any such transaction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unless such losses are able to be carried back or forward against past or future taxable income in the TRS.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qualify as a REIT, we could be subject to tax on any unrealized net built-in gains in our assets held before electing to be treated as a REIT.</w:t>
      </w:r>
    </w:p>
    <w:p>
      <w:pPr>
        <w:spacing w:after="0" w:line="248" w:lineRule="exact"/>
        <w:rPr>
          <w:sz w:val="20"/>
          <w:szCs w:val="20"/>
          <w:color w:val="auto"/>
        </w:rPr>
      </w:pPr>
    </w:p>
    <w:p>
      <w:pPr>
        <w:ind w:right="20" w:firstLine="761"/>
        <w:spacing w:after="0" w:line="289" w:lineRule="auto"/>
        <w:rPr>
          <w:sz w:val="20"/>
          <w:szCs w:val="20"/>
          <w:color w:val="auto"/>
        </w:rPr>
      </w:pPr>
      <w:r>
        <w:rPr>
          <w:rFonts w:ascii="Arial" w:cs="Arial" w:eastAsia="Arial" w:hAnsi="Arial"/>
          <w:sz w:val="16"/>
          <w:szCs w:val="16"/>
          <w:color w:val="auto"/>
        </w:rPr>
        <w:t>We own certain appreciated assets that we acquired from Windstream pursuant to the Spin-Off. If we dispose of any such appreciated assets during the ten-year period following our qualification as a REIT, we will be subject to tax at the highest corporate tax rates on any gain from such assets to the extent of the excess of the fair market value of the assets on the date that we became a REIT over the adjusted tax basis of such assets on such date, which are referred to as built-in gains. We will be subject to this tax liability even if we qualify and maintain our status as a REIT. Any recognized built-in gain will retain its character as ordinary income or capital gain and will be taken into account in determining REIT taxable income and our distribution requirement. Any tax on the recognized built-in gain will reduce REIT taxable income. We may choose not to sell such appreciated assets in a taxable transaction during the ten-year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trading market that will provide you with adequate liquidity may not develop for our common stock. In addition, the market price and trading volume of our common stock may fluctuate widely.</w:t>
      </w:r>
    </w:p>
    <w:p>
      <w:pPr>
        <w:spacing w:after="0" w:line="170" w:lineRule="exact"/>
        <w:rPr>
          <w:sz w:val="20"/>
          <w:szCs w:val="20"/>
          <w:color w:val="auto"/>
        </w:rPr>
      </w:pPr>
    </w:p>
    <w:p>
      <w:pPr>
        <w:ind w:right="20" w:firstLine="761"/>
        <w:spacing w:after="0" w:line="312" w:lineRule="auto"/>
        <w:rPr>
          <w:sz w:val="20"/>
          <w:szCs w:val="20"/>
          <w:color w:val="auto"/>
        </w:rPr>
      </w:pPr>
      <w:r>
        <w:rPr>
          <w:rFonts w:ascii="Arial" w:cs="Arial" w:eastAsia="Arial" w:hAnsi="Arial"/>
          <w:sz w:val="16"/>
          <w:szCs w:val="16"/>
          <w:color w:val="auto"/>
        </w:rPr>
        <w:t>We have only been a public company for several months, and thus there is a limited trading history in our common stock, which has been traded on NASDAQ under the symbol “CSAL” since April 20, 2015. We cannot predict the prices at which our common stock may trade. The market price of our common stock may fluctuate significantly, depending upon many factors, some of which may be beyond our control, including, but not limited to:</w:t>
      </w:r>
    </w:p>
    <w:p>
      <w:pPr>
        <w:spacing w:after="0" w:line="147" w:lineRule="exact"/>
        <w:rPr>
          <w:sz w:val="20"/>
          <w:szCs w:val="20"/>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or annual earnings, or those of comparable companies;</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operating performance and stock price of comparable companies;</w:t>
      </w:r>
    </w:p>
    <w:p>
      <w:pPr>
        <w:spacing w:after="0" w:line="225" w:lineRule="exact"/>
        <w:rPr>
          <w:rFonts w:ascii="Arial" w:cs="Arial" w:eastAsia="Arial" w:hAnsi="Arial"/>
          <w:sz w:val="18"/>
          <w:szCs w:val="18"/>
          <w:color w:val="auto"/>
        </w:rPr>
      </w:pPr>
    </w:p>
    <w:p>
      <w:pPr>
        <w:ind w:left="1140" w:hanging="37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market fluctuations;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hanging="371"/>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25" w:lineRule="exact"/>
        <w:rPr>
          <w:sz w:val="20"/>
          <w:szCs w:val="20"/>
          <w:color w:val="auto"/>
        </w:rPr>
      </w:pPr>
    </w:p>
    <w:p>
      <w:pPr>
        <w:ind w:right="320" w:firstLine="761"/>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may adversely affect the trading price of our common stock.</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combined post-spin-off value of our common stock and Windstream’s common stock may not equal or exceed the pre-spin-off value of Windstream’s common stock.</w:t>
      </w:r>
    </w:p>
    <w:p>
      <w:pPr>
        <w:spacing w:after="0" w:line="170" w:lineRule="exact"/>
        <w:rPr>
          <w:sz w:val="20"/>
          <w:szCs w:val="20"/>
          <w:color w:val="auto"/>
        </w:rPr>
      </w:pPr>
    </w:p>
    <w:p>
      <w:pPr>
        <w:ind w:right="40" w:firstLine="761"/>
        <w:spacing w:after="0" w:line="255" w:lineRule="auto"/>
        <w:rPr>
          <w:sz w:val="20"/>
          <w:szCs w:val="20"/>
          <w:color w:val="auto"/>
        </w:rPr>
      </w:pPr>
      <w:r>
        <w:rPr>
          <w:rFonts w:ascii="Arial" w:cs="Arial" w:eastAsia="Arial" w:hAnsi="Arial"/>
          <w:sz w:val="18"/>
          <w:szCs w:val="18"/>
          <w:color w:val="auto"/>
        </w:rPr>
        <w:t>The combined market value of our common stock and Windstream’s common stock is currently less than the market value of Windstream’s common stock prior to the Spin-Off. We cannot assure you when, or if, the combined market value will equal or exceed the market value of Windstream’s common stock prior to the Spin-Off. Until the market has fully evaluated our stand-alone business, the price at which our common stock trades may fluctuate more significantly than might otherwise be typical. Similarly, until the market has fully evaluated the business of Windstream without the business of CS&amp;L, the price at which shares of Windstream’s common stock trades may fluctuate more significantly than might otherwise be typical, including volatility caused by general market conditions.</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our common stock, including the disposition by Windstream of our common stock that Windstream retained after the Spin-Off, could depress the market price for shares of our common stock.</w:t>
      </w:r>
    </w:p>
    <w:p>
      <w:pPr>
        <w:spacing w:after="0" w:line="170" w:lineRule="exact"/>
        <w:rPr>
          <w:sz w:val="20"/>
          <w:szCs w:val="20"/>
          <w:color w:val="auto"/>
        </w:rPr>
      </w:pPr>
    </w:p>
    <w:p>
      <w:pPr>
        <w:ind w:right="80" w:firstLine="761"/>
        <w:spacing w:after="0" w:line="257" w:lineRule="auto"/>
        <w:rPr>
          <w:sz w:val="20"/>
          <w:szCs w:val="20"/>
          <w:color w:val="auto"/>
        </w:rPr>
      </w:pPr>
      <w:r>
        <w:rPr>
          <w:rFonts w:ascii="Arial" w:cs="Arial" w:eastAsia="Arial" w:hAnsi="Arial"/>
          <w:sz w:val="18"/>
          <w:szCs w:val="18"/>
          <w:color w:val="auto"/>
        </w:rPr>
        <w:t>In the Spin-Off, Windstream retained 29,385,064 shares of our common stock. Windstream has informed us that it intends to transfer the shares retained in the Spin-Off opportunistically during an 18 month period following the Spin-Off, subject to market conditions, to retire debt. In that regard, we filed a Registration Statement on Form S-11 with the SEC on June 25, 2015 registering up to 24,487,553 shares of our common stock, all of which Windstream intends to exchange (assuming the underwriters exercise their option to purchase additional shares) in a debt for equity exchange with Citigroup Global Markets Inc., as the selling shareholder named in that registration statement.</w:t>
      </w:r>
    </w:p>
    <w:p>
      <w:pPr>
        <w:spacing w:after="0" w:line="188"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In addition, some of the holders of shares of our common stock are index funds tied to stock or investment indices or are institutional investors bound by various investment guidelines. Companies are generally selected for investment indices, and in some cases selected by institutional investors, based on factors such as market capitalization, industry, trading liquidity and financial condition. Our common stock may not qualify for those investment indices and may not meet the investment guidelines of some institutional investors. Consequently, these index funds and institutional investors may have to sell some or all of our common stock they received in the Spin-Off.</w:t>
      </w:r>
    </w:p>
    <w:p>
      <w:pPr>
        <w:spacing w:after="0" w:line="188" w:lineRule="exact"/>
        <w:rPr>
          <w:sz w:val="20"/>
          <w:szCs w:val="20"/>
          <w:color w:val="auto"/>
        </w:rPr>
      </w:pPr>
    </w:p>
    <w:p>
      <w:pPr>
        <w:ind w:right="200" w:firstLine="761"/>
        <w:spacing w:after="0" w:line="264" w:lineRule="auto"/>
        <w:rPr>
          <w:sz w:val="20"/>
          <w:szCs w:val="20"/>
          <w:color w:val="auto"/>
        </w:rPr>
      </w:pPr>
      <w:r>
        <w:rPr>
          <w:rFonts w:ascii="Arial" w:cs="Arial" w:eastAsia="Arial" w:hAnsi="Arial"/>
          <w:sz w:val="18"/>
          <w:szCs w:val="18"/>
          <w:color w:val="auto"/>
        </w:rPr>
        <w:t>Any disposition by Windstream or any other of our significant shareholders, such as index funds and institutional investors, of shares of our common stock, or the perception in the market that such dispositions could occur, may cause the share price of our common stock to fall. Any such decline could impair our ability to sell shares of our common stock in the future at favorable market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of our ability to pay dividends in the future.</w:t>
      </w:r>
    </w:p>
    <w:p>
      <w:pPr>
        <w:spacing w:after="0" w:line="225"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It is expected that our initial dividend will be $2.40 per share per annum, subject to approval of our board of directors. On May 6, 2015, CS&amp;L declared a pro-rated $0.4418 per share quarterly dividend to shareholders of record at the close of business on June 30, 2015 for the period from April 25, 2015 through June 30, 2015, which represents a quarterly dividend of $0.60 per share. In no event will the annual dividend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assure you that we will achieve investment results that will allow us to make a specified level of cash dividends or year-to-year increases in cash dividends in the future.</w:t>
      </w:r>
    </w:p>
    <w:p>
      <w:pPr>
        <w:spacing w:after="0" w:line="182" w:lineRule="exact"/>
        <w:rPr>
          <w:sz w:val="20"/>
          <w:szCs w:val="20"/>
          <w:color w:val="auto"/>
        </w:rPr>
      </w:pPr>
    </w:p>
    <w:p>
      <w:pPr>
        <w:ind w:right="60" w:firstLine="761"/>
        <w:spacing w:after="0" w:line="255" w:lineRule="auto"/>
        <w:rPr>
          <w:sz w:val="20"/>
          <w:szCs w:val="20"/>
          <w:color w:val="auto"/>
        </w:rPr>
      </w:pPr>
      <w:r>
        <w:rPr>
          <w:rFonts w:ascii="Arial" w:cs="Arial" w:eastAsia="Arial" w:hAnsi="Arial"/>
          <w:sz w:val="18"/>
          <w:szCs w:val="18"/>
          <w:color w:val="auto"/>
        </w:rPr>
        <w:t>Furthermore, while we are required to pay dividends in order to maintain our REIT status (as described above under “Risks Related to Our Status as a REIT— REIT distribution requirements could adversely affect our ability to execute our business plan”), we may elect not to maintain our REIT status,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If we elect not to maintain our REIT status or to satisfy any required distributions in shares of common stock in lieu of cash, such action could negatively affect our</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business and financial condition as well as the market price of our common stock. No assurance can be given that we will pay any dividends on shares of our common stock in the future.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70" w:lineRule="exact"/>
        <w:rPr>
          <w:sz w:val="20"/>
          <w:szCs w:val="20"/>
          <w:color w:val="auto"/>
        </w:rPr>
      </w:pPr>
    </w:p>
    <w:p>
      <w:pPr>
        <w:ind w:firstLine="761"/>
        <w:spacing w:after="0" w:line="285" w:lineRule="auto"/>
        <w:rPr>
          <w:sz w:val="20"/>
          <w:szCs w:val="20"/>
          <w:color w:val="auto"/>
        </w:rPr>
      </w:pPr>
      <w:r>
        <w:rPr>
          <w:rFonts w:ascii="Arial" w:cs="Arial" w:eastAsia="Arial" w:hAnsi="Arial"/>
          <w:sz w:val="16"/>
          <w:szCs w:val="16"/>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9.8% in value or in number, whichever is more restrictive, of the outstanding shares of our common stock or more than 9.8% in value of the aggregate of the outstanding shares of all classes and series of our stock. Windstream is exempt from these ownership restrictions.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shareholders. The acquisition of less than 9.8% of our outstanding stock by an individual or entity could cause that individual or entity to own constructively in excess of 9.8% in value of our outstanding stock, and thus violate our charter’s ownership limit. Our charter also prohibits any person from owning shares of our stock that would result in our being “closely held” under Section 856(h) of the Code or otherwise cause us to fail to qualify as a REIT. In addition, our charter provides that (i) no person shall beneficially own shares of stock to the extent such beneficial ownership of stock would result in us failing to qualify as a “domestically controlled qualified investment entity” within the meaning of Section 897(h) of the Code, and (ii) no person shall beneficially or constructively own shares of stock to the extent such beneficial or constructive ownership would cause us to own, beneficially or constructively, more than a 9.9% interest (as set forth in Section 856(d)(2)(B) of the Code) in a tenant of our real property. Any attempt to own or transfer shares of our stock in violation of these restrictions may result in the transfer being automatically void.</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Maryland law and provisions in our charter and bylaws may delay or prevent takeover attempts by third parties and therefore inhibit our shareholders from realizing a premium on their stock.</w:t>
      </w:r>
    </w:p>
    <w:p>
      <w:pPr>
        <w:spacing w:after="0" w:line="170" w:lineRule="exact"/>
        <w:rPr>
          <w:sz w:val="20"/>
          <w:szCs w:val="20"/>
          <w:color w:val="auto"/>
        </w:rPr>
      </w:pPr>
    </w:p>
    <w:p>
      <w:pPr>
        <w:ind w:right="20" w:firstLine="761"/>
        <w:spacing w:after="0" w:line="254" w:lineRule="auto"/>
        <w:rPr>
          <w:sz w:val="20"/>
          <w:szCs w:val="20"/>
          <w:color w:val="auto"/>
        </w:rPr>
      </w:pPr>
      <w:r>
        <w:rPr>
          <w:rFonts w:ascii="Arial" w:cs="Arial" w:eastAsia="Arial" w:hAnsi="Arial"/>
          <w:sz w:val="18"/>
          <w:szCs w:val="18"/>
          <w:color w:val="auto"/>
        </w:rPr>
        <w:t>Our charter and bylaws contain, and Maryland law contains, provisions that are intended to deter coercive takeover practices and inadequate takeover bids and to encourage prospective acquirors to negotiate with our board of directors, rather than to attempt a hostile takeover. Our charter and bylaws, among other things, (1) contain transfer and ownership restrictions on the percentage by number and value of outstanding shares of our stock that may be owned or acquired by any shareholder; (2) provide that shareholders are not allowed to act by written consent; (3) permit the board of directors, without further action of the shareholders, to increase or decrease the authorized number of shares and to issue and fix the terms of one or more classes or series of preferred stock, which may have rights senior to those of the common stock; (4) permit only the board of directors to amend the bylaws; (5) establish certain advance notice procedures for shareholder proposals and director nominations; and (6) designate the Maryland courts as the exclusive forum for resolving certain claims.</w:t>
      </w:r>
    </w:p>
    <w:p>
      <w:pPr>
        <w:spacing w:after="0" w:line="192" w:lineRule="exact"/>
        <w:rPr>
          <w:sz w:val="20"/>
          <w:szCs w:val="20"/>
          <w:color w:val="auto"/>
        </w:rPr>
      </w:pPr>
    </w:p>
    <w:p>
      <w:pPr>
        <w:ind w:right="20" w:firstLine="761"/>
        <w:spacing w:after="0" w:line="257" w:lineRule="auto"/>
        <w:rPr>
          <w:sz w:val="20"/>
          <w:szCs w:val="20"/>
          <w:color w:val="auto"/>
        </w:rPr>
      </w:pPr>
      <w:r>
        <w:rPr>
          <w:rFonts w:ascii="Arial" w:cs="Arial" w:eastAsia="Arial" w:hAnsi="Arial"/>
          <w:sz w:val="18"/>
          <w:szCs w:val="18"/>
          <w:color w:val="auto"/>
        </w:rPr>
        <w:t>We believe these provisions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shareholders and could delay or prevent an acquisition that our board of directors determines is not in our best interests. These provisions may also prevent or discourage attempts to remove and replace incumbent directors.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controls in accordance with The Sarbanes-Oxley Act of 2002 (“Sarbanes-Oxley”) could have a material adverse effect on our business and stock price.</w:t>
      </w:r>
    </w:p>
    <w:p>
      <w:pPr>
        <w:spacing w:after="0" w:line="170" w:lineRule="exact"/>
        <w:rPr>
          <w:sz w:val="20"/>
          <w:szCs w:val="20"/>
          <w:color w:val="auto"/>
        </w:rPr>
      </w:pPr>
    </w:p>
    <w:p>
      <w:pPr>
        <w:ind w:firstLine="761"/>
        <w:spacing w:after="0" w:line="271" w:lineRule="auto"/>
        <w:rPr>
          <w:sz w:val="20"/>
          <w:szCs w:val="20"/>
          <w:color w:val="auto"/>
        </w:rPr>
      </w:pPr>
      <w:r>
        <w:rPr>
          <w:rFonts w:ascii="Arial" w:cs="Arial" w:eastAsia="Arial" w:hAnsi="Arial"/>
          <w:sz w:val="17"/>
          <w:szCs w:val="17"/>
          <w:color w:val="auto"/>
        </w:rPr>
        <w:t>As a public company with SEC reporting obligations, we are required to document and test our internal control procedures to satisfy the requirements of Section 404 of Sarbanes-Oxley (“Section 404”), which will require annual assessments by management and our independent registered public accounting firm of the effectiveness of our internal control over financial reporting beginning with our financial statements as of and for the year ending December 31, 2016. During the course of our testing,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 or our independent registered public accounting firm may not be able or willing to issue an unqualified report on the effectiveness of our internal control over financial reporting. If we conclude that our internal control over financial reporting is not effective, we cannot be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as to the timing of completion of our evaluation, testing, and remediation actions or its effect on our operations because there is presently no precedent available by which to measure compliance adequacy. Moreover, any material weakness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August 10, 2015, the Compensation Committee of the Board of Directors of the Company (the “Committee”) adopted the Communications Sales &amp; Leasing, Inc. Deferred Compensation Plan (the “Plan”). The Committee, as administrator of the Plan, has the right to alter, amend or terminate the Plan at any time in its discretion, provided that no amendment or termination shall divest any accrued benefit that is then vested under the Plan. The Plan permits eligible employees to defer payment of up to 75% of their base salary and 90% of their annual bonuses and other cash compensation. Company contributions may be made to the Plan in such amounts and subject to such conditions as the Committee may determine from time to time. Each participant’s account will be credited annually with interest at a rate equal to the lesser of (i) the Company’s Weighted Average Cost of Debt (as defined in the Plan) or (ii) the then current yield on the United States 10-year Treasury Note as quoted in The Wall Street Journal for the last business day of the previous calendar year. Unless otherwise determined by the Committee, a participant’s interest in Company contributions will vest 100% after three years of service, or, if earlier, upon the employee’s death or disability, upon a Change in Control (as defined in the Plan) or if the Plan is terminated. Each participant’s elective deferrals will at all times be 100% vested. Each participant may elect to have his or her deferred amounts distributed at such time as the participant may specify, upon the participant’s separation from service, upon a Change in Control or upon the participant’s death or disability. In each case, the amount will be paid in a single lump sum payment except where the Plan permits the participant to elect to receive such payment in annual installments not to exceed, in any case, five years. The foregoing description of the Plan is qualified in its entirety by reference to the full text of the Plan, which is filed as Exhibit 10.20 to this Quarterly Report on Form 10-Q and is incorporated by reference herein.</w:t>
      </w:r>
    </w:p>
    <w:p>
      <w:pPr>
        <w:spacing w:after="0" w:line="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August 11, 2015, the Company announced that its Board of Directors declared a cash dividend on its common stock of $0.60 per share, payable on October 15, 2015 to stockholders of record as of the close of business on September 30,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0320" w:type="dxa"/>
            <w:vAlign w:val="bottom"/>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186"/>
        </w:trPr>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Number</w:t>
            </w:r>
          </w:p>
        </w:tc>
        <w:tc>
          <w:tcPr>
            <w:tcW w:w="10320" w:type="dxa"/>
            <w:vAlign w:val="bottom"/>
          </w:tcPr>
          <w:p>
            <w:pPr>
              <w:spacing w:after="0"/>
              <w:rPr>
                <w:sz w:val="16"/>
                <w:szCs w:val="16"/>
                <w:color w:val="auto"/>
              </w:rPr>
            </w:pPr>
          </w:p>
        </w:tc>
      </w:tr>
      <w:tr>
        <w:trPr>
          <w:trHeight w:val="308"/>
        </w:trPr>
        <w:tc>
          <w:tcPr>
            <w:tcW w:w="1120" w:type="dxa"/>
            <w:vAlign w:val="bottom"/>
          </w:tcPr>
          <w:p>
            <w:pPr>
              <w:ind w:left="120"/>
              <w:spacing w:after="0"/>
              <w:rPr>
                <w:sz w:val="20"/>
                <w:szCs w:val="20"/>
                <w:color w:val="auto"/>
              </w:rPr>
            </w:pPr>
            <w:r>
              <w:rPr>
                <w:rFonts w:ascii="Arial" w:cs="Arial" w:eastAsia="Arial" w:hAnsi="Arial"/>
                <w:sz w:val="18"/>
                <w:szCs w:val="18"/>
                <w:color w:val="auto"/>
              </w:rPr>
              <w:t>2.1</w:t>
            </w: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Separation and Distribution Agreement, dated as of March 26, 2015, by and among Windstream Holdings, Inc., Windstream Services,</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LLC and Communications Sales &amp; Leasing, Inc. (incorporated by reference to Exhibit 2.1 to the Company’s Current Report on Form 8-</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K dated and filed with the SEC as of March 26,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3.1</w:t>
            </w:r>
          </w:p>
        </w:tc>
        <w:tc>
          <w:tcPr>
            <w:tcW w:w="10320" w:type="dxa"/>
            <w:vAlign w:val="bottom"/>
          </w:tcPr>
          <w:p>
            <w:pPr>
              <w:ind w:left="240"/>
              <w:spacing w:after="0"/>
              <w:rPr>
                <w:sz w:val="20"/>
                <w:szCs w:val="20"/>
                <w:color w:val="auto"/>
              </w:rPr>
            </w:pPr>
            <w:r>
              <w:rPr>
                <w:rFonts w:ascii="Arial" w:cs="Arial" w:eastAsia="Arial" w:hAnsi="Arial"/>
                <w:sz w:val="18"/>
                <w:szCs w:val="18"/>
                <w:color w:val="auto"/>
                <w:w w:val="97"/>
              </w:rPr>
              <w:t>Articles of Amendment and Restatement of Communications Sales &amp; Leasing, Inc. (incorporated by reference to Exhibit 3.1 to the</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Company’s Current Report on Form 8-K dated and filed with the SEC as of April 10,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3.2</w:t>
            </w:r>
          </w:p>
        </w:tc>
        <w:tc>
          <w:tcPr>
            <w:tcW w:w="10320" w:type="dxa"/>
            <w:vAlign w:val="bottom"/>
          </w:tcPr>
          <w:p>
            <w:pPr>
              <w:ind w:left="240"/>
              <w:spacing w:after="0"/>
              <w:rPr>
                <w:sz w:val="20"/>
                <w:szCs w:val="20"/>
                <w:color w:val="auto"/>
              </w:rPr>
            </w:pPr>
            <w:r>
              <w:rPr>
                <w:rFonts w:ascii="Arial" w:cs="Arial" w:eastAsia="Arial" w:hAnsi="Arial"/>
                <w:sz w:val="18"/>
                <w:szCs w:val="18"/>
                <w:color w:val="auto"/>
                <w:w w:val="95"/>
              </w:rPr>
              <w:t>Amended and Restated Bylaws of Communications Sales &amp; Leasing, Inc. (incorporated by reference to Exhibit 3.2 to the Company’s</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Current Report on Form 8-K dated and filed with the SEC as of April 10,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4.1</w:t>
            </w: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Indenture, dated as of April 24, 2015, among Communications Sales &amp; Leasing, Inc. and CSL Capital, LLC, as Issuers, the guarantors</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named therein, and Wells Fargo Bank, National Association, as trustee, governing the 8.25% Senior Notes due 2023 (incorporated by</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reference to Exhibit 4.2 to the Company’s Current Report on Form 8-K dated and filed with the SEC as of April 27, 2015 (File No. 001-</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4.2</w:t>
            </w:r>
          </w:p>
        </w:tc>
        <w:tc>
          <w:tcPr>
            <w:tcW w:w="10320" w:type="dxa"/>
            <w:vAlign w:val="bottom"/>
          </w:tcPr>
          <w:p>
            <w:pPr>
              <w:ind w:left="240"/>
              <w:spacing w:after="0"/>
              <w:rPr>
                <w:sz w:val="20"/>
                <w:szCs w:val="20"/>
                <w:color w:val="auto"/>
              </w:rPr>
            </w:pPr>
            <w:r>
              <w:rPr>
                <w:rFonts w:ascii="Arial" w:cs="Arial" w:eastAsia="Arial" w:hAnsi="Arial"/>
                <w:sz w:val="18"/>
                <w:szCs w:val="18"/>
                <w:color w:val="auto"/>
                <w:w w:val="99"/>
              </w:rPr>
              <w:t>Form of 8.25% Senior Note due 2023 (included in Exhibit 4.1 above) (incorporated by reference to Exhibit 4.4 to the Company’s</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Current Report on Form 8-K dated and filed with the SEC as of April 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4.3</w:t>
            </w: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Indenture, dated as of April 24, 2015, among Communications Sales &amp; Leasing, Inc. and CSL Capital, LLC, as Issuers, the guarantors</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named therein, and Wells Fargo Bank, National Association, as Trustee and as Collateral Agent, governing the 6.00% Senior Secured</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2"/>
              </w:rPr>
              <w:t>Notes due 2023 (incorporated by reference to Exhibit 4.1 to the Company’s Current Report on Form 8-K dated and filed with the SEC as</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of April 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4.4</w:t>
            </w:r>
          </w:p>
        </w:tc>
        <w:tc>
          <w:tcPr>
            <w:tcW w:w="10320" w:type="dxa"/>
            <w:vAlign w:val="bottom"/>
          </w:tcPr>
          <w:p>
            <w:pPr>
              <w:ind w:left="240"/>
              <w:spacing w:after="0"/>
              <w:rPr>
                <w:sz w:val="20"/>
                <w:szCs w:val="20"/>
                <w:color w:val="auto"/>
              </w:rPr>
            </w:pPr>
            <w:r>
              <w:rPr>
                <w:rFonts w:ascii="Arial" w:cs="Arial" w:eastAsia="Arial" w:hAnsi="Arial"/>
                <w:sz w:val="18"/>
                <w:szCs w:val="18"/>
                <w:color w:val="auto"/>
              </w:rPr>
              <w:t>Form of 6.00% Senior Secured Note due 2023 (included in Exhibit 4.3 above) (incorporated by reference to Exhibit 4.3 to the</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Company’s Current Report on Form 8-K dated and filed with the SEC as of April 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10.1</w:t>
            </w: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Master Lease, entered into as of April 24, 2015, by and among CSL National, LP and the other entities listed therein, as Landlord, and</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Windstream Holdings, Inc., as Tenant (incorporated by reference to Exhibit 10.1 to the Company’s Current Report on Form 8-K dated</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and filed with the SEC as of April 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10.2</w:t>
            </w:r>
          </w:p>
        </w:tc>
        <w:tc>
          <w:tcPr>
            <w:tcW w:w="10320" w:type="dxa"/>
            <w:vAlign w:val="bottom"/>
          </w:tcPr>
          <w:p>
            <w:pPr>
              <w:ind w:left="240"/>
              <w:spacing w:after="0"/>
              <w:rPr>
                <w:sz w:val="20"/>
                <w:szCs w:val="20"/>
                <w:color w:val="auto"/>
              </w:rPr>
            </w:pPr>
            <w:r>
              <w:rPr>
                <w:rFonts w:ascii="Arial" w:cs="Arial" w:eastAsia="Arial" w:hAnsi="Arial"/>
                <w:sz w:val="18"/>
                <w:szCs w:val="18"/>
                <w:color w:val="auto"/>
                <w:w w:val="95"/>
              </w:rPr>
              <w:t>Tax Matters Agreement, entered into as of April 24, 2015, by and among Windstream Holdings, Inc., Windstream Services, LLC and</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Communications Sales &amp; Leasing, Inc. (incorporated by reference to Exhibit 10.2 to the Company’s Current Report on Form 8-K dated</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and filed with the SEC as of April 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10.3</w:t>
            </w:r>
          </w:p>
        </w:tc>
        <w:tc>
          <w:tcPr>
            <w:tcW w:w="10320" w:type="dxa"/>
            <w:vAlign w:val="bottom"/>
          </w:tcPr>
          <w:p>
            <w:pPr>
              <w:ind w:left="240"/>
              <w:spacing w:after="0"/>
              <w:rPr>
                <w:sz w:val="20"/>
                <w:szCs w:val="20"/>
                <w:color w:val="auto"/>
              </w:rPr>
            </w:pPr>
            <w:r>
              <w:rPr>
                <w:rFonts w:ascii="Arial" w:cs="Arial" w:eastAsia="Arial" w:hAnsi="Arial"/>
                <w:sz w:val="18"/>
                <w:szCs w:val="18"/>
                <w:color w:val="auto"/>
                <w:w w:val="95"/>
              </w:rPr>
              <w:t>Transition Services Agreement, dated April 24, 2015, by and between Windstream Services, LLC and CSL National, LP, on behalf of</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8"/>
              </w:rPr>
              <w:t>itself and its Affiliates, including Talk America Services, LLC (incorporated by reference to Exhibit 10.3 to the Company’s Current</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Report on Form 8-K dated and filed with the SEC as of April 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10.4</w:t>
            </w:r>
          </w:p>
        </w:tc>
        <w:tc>
          <w:tcPr>
            <w:tcW w:w="10320" w:type="dxa"/>
            <w:vAlign w:val="bottom"/>
          </w:tcPr>
          <w:p>
            <w:pPr>
              <w:ind w:left="240"/>
              <w:spacing w:after="0"/>
              <w:rPr>
                <w:sz w:val="20"/>
                <w:szCs w:val="20"/>
                <w:color w:val="auto"/>
              </w:rPr>
            </w:pPr>
            <w:r>
              <w:rPr>
                <w:rFonts w:ascii="Arial" w:cs="Arial" w:eastAsia="Arial" w:hAnsi="Arial"/>
                <w:sz w:val="18"/>
                <w:szCs w:val="18"/>
                <w:color w:val="auto"/>
                <w:w w:val="96"/>
              </w:rPr>
              <w:t>Employee Matters Agreement, dated as of April 24, 2015, by and between Windstream Holdings, Inc. and Communications Sales &amp;</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Leasing, Inc. (incorporated by reference to Exhibit 10.4 to the Company’s Current Report on Form 8-K dated and filed with the SEC as</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of April 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10.5</w:t>
            </w:r>
          </w:p>
        </w:tc>
        <w:tc>
          <w:tcPr>
            <w:tcW w:w="10320" w:type="dxa"/>
            <w:vAlign w:val="bottom"/>
          </w:tcPr>
          <w:p>
            <w:pPr>
              <w:ind w:left="240"/>
              <w:spacing w:after="0"/>
              <w:rPr>
                <w:sz w:val="20"/>
                <w:szCs w:val="20"/>
                <w:color w:val="auto"/>
              </w:rPr>
            </w:pPr>
            <w:r>
              <w:rPr>
                <w:rFonts w:ascii="Arial" w:cs="Arial" w:eastAsia="Arial" w:hAnsi="Arial"/>
                <w:sz w:val="18"/>
                <w:szCs w:val="18"/>
                <w:color w:val="auto"/>
                <w:w w:val="97"/>
              </w:rPr>
              <w:t>Intellectual Property Matters Agreement, dated as of April 24, 2015, by and among Windstream Services, LLC, individually and on</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behalf of its subsidiaries that may hold certain intellectual property as described therein, CSL National, LP, and Talk America Services,</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LLC (incorporated by reference to Exhibit 10.5 to the Company’s Current Report on Form 8-K dated and filed with the SEC as of April</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10.6</w:t>
            </w: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Wholesale Master Services Agreement, dated April 24, 2015, between Windstream Communications, Inc. and Talk America Services,</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LLC (incorporated by reference to Exhibit 10.6 to the Company’s Current Report on Form 8-K dated and filed with the SEC as of April</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27, 2015 (File No. 001-36708)).</w:t>
            </w:r>
          </w:p>
        </w:tc>
      </w:tr>
      <w:tr>
        <w:trPr>
          <w:trHeight w:val="323"/>
        </w:trPr>
        <w:tc>
          <w:tcPr>
            <w:tcW w:w="1120" w:type="dxa"/>
            <w:vAlign w:val="bottom"/>
          </w:tcPr>
          <w:p>
            <w:pPr>
              <w:ind w:left="120"/>
              <w:spacing w:after="0"/>
              <w:rPr>
                <w:sz w:val="20"/>
                <w:szCs w:val="20"/>
                <w:color w:val="auto"/>
              </w:rPr>
            </w:pPr>
            <w:r>
              <w:rPr>
                <w:rFonts w:ascii="Arial" w:cs="Arial" w:eastAsia="Arial" w:hAnsi="Arial"/>
                <w:sz w:val="18"/>
                <w:szCs w:val="18"/>
                <w:color w:val="auto"/>
              </w:rPr>
              <w:t>10.7</w:t>
            </w:r>
          </w:p>
        </w:tc>
        <w:tc>
          <w:tcPr>
            <w:tcW w:w="10320" w:type="dxa"/>
            <w:vAlign w:val="bottom"/>
          </w:tcPr>
          <w:p>
            <w:pPr>
              <w:ind w:left="240"/>
              <w:spacing w:after="0"/>
              <w:rPr>
                <w:sz w:val="20"/>
                <w:szCs w:val="20"/>
                <w:color w:val="auto"/>
              </w:rPr>
            </w:pPr>
            <w:r>
              <w:rPr>
                <w:rFonts w:ascii="Arial" w:cs="Arial" w:eastAsia="Arial" w:hAnsi="Arial"/>
                <w:sz w:val="18"/>
                <w:szCs w:val="18"/>
                <w:color w:val="auto"/>
              </w:rPr>
              <w:t>Stockholder’s and Registration Rights Agreement, made as of April 24, 2015, by and between Windstream Services, LLC and</w:t>
            </w:r>
          </w:p>
        </w:tc>
      </w:tr>
      <w:tr>
        <w:trPr>
          <w:trHeight w:val="216"/>
        </w:trPr>
        <w:tc>
          <w:tcPr>
            <w:tcW w:w="112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w w:val="94"/>
              </w:rPr>
              <w:t>Communications Sales &amp; Leasing, Inc. (incorporated by reference to Exhibit 10.7 to the Company’s Current Report on Form 8-K dated</w:t>
            </w:r>
          </w:p>
        </w:tc>
      </w:tr>
      <w:tr>
        <w:trPr>
          <w:trHeight w:val="230"/>
        </w:trPr>
        <w:tc>
          <w:tcPr>
            <w:tcW w:w="112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and filed with the SEC as of April 27, 2015 (File No. 001-36708)).</w:t>
            </w:r>
          </w:p>
        </w:tc>
      </w:tr>
      <w:tr>
        <w:trPr>
          <w:trHeight w:val="797"/>
        </w:trPr>
        <w:tc>
          <w:tcPr>
            <w:tcW w:w="1120" w:type="dxa"/>
            <w:vAlign w:val="bottom"/>
          </w:tcPr>
          <w:p>
            <w:pPr>
              <w:spacing w:after="0"/>
              <w:rPr>
                <w:sz w:val="24"/>
                <w:szCs w:val="24"/>
                <w:color w:val="auto"/>
              </w:rPr>
            </w:pPr>
          </w:p>
        </w:tc>
        <w:tc>
          <w:tcPr>
            <w:tcW w:w="10320" w:type="dxa"/>
            <w:vAlign w:val="bottom"/>
          </w:tcPr>
          <w:p>
            <w:pPr>
              <w:ind w:left="4500"/>
              <w:spacing w:after="0"/>
              <w:rPr>
                <w:sz w:val="20"/>
                <w:szCs w:val="20"/>
                <w:color w:val="auto"/>
              </w:rPr>
            </w:pPr>
            <w:r>
              <w:rPr>
                <w:rFonts w:ascii="Arial" w:cs="Arial" w:eastAsia="Arial" w:hAnsi="Arial"/>
                <w:sz w:val="18"/>
                <w:szCs w:val="18"/>
                <w:color w:val="auto"/>
              </w:rPr>
              <w:t>52</w:t>
            </w:r>
          </w:p>
        </w:tc>
      </w:tr>
      <w:tr>
        <w:trPr>
          <w:trHeight w:val="115"/>
        </w:trPr>
        <w:tc>
          <w:tcPr>
            <w:tcW w:w="1120" w:type="dxa"/>
            <w:vAlign w:val="bottom"/>
            <w:tcBorders>
              <w:bottom w:val="single" w:sz="8" w:color="9A9A9A"/>
            </w:tcBorders>
          </w:tcPr>
          <w:p>
            <w:pPr>
              <w:spacing w:after="0"/>
              <w:rPr>
                <w:sz w:val="10"/>
                <w:szCs w:val="10"/>
                <w:color w:val="auto"/>
              </w:rPr>
            </w:pPr>
          </w:p>
        </w:tc>
        <w:tc>
          <w:tcPr>
            <w:tcW w:w="10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60" w:right="400" w:hanging="1228"/>
        <w:spacing w:after="0" w:line="312" w:lineRule="auto"/>
        <w:tabs>
          <w:tab w:leader="none" w:pos="13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Master Services Agreement, dated as of April 24, 2015, by and between Windstream Services, LLC, on behalf of itself and its competitive local exchange and interexchange carrier affiliates, and Talk America Services, LLC (incorporated by reference to Exhibit 10.8 to the Company’s Current Report on Form 8-K dated and filed with the SEC as of April 27, 2015 (File No. 001-36708)).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120"/>
              <w:spacing w:after="0"/>
              <w:rPr>
                <w:sz w:val="20"/>
                <w:szCs w:val="20"/>
                <w:color w:val="auto"/>
              </w:rPr>
            </w:pPr>
            <w:r>
              <w:rPr>
                <w:rFonts w:ascii="Arial" w:cs="Arial" w:eastAsia="Arial" w:hAnsi="Arial"/>
                <w:sz w:val="18"/>
                <w:szCs w:val="18"/>
                <w:color w:val="auto"/>
              </w:rPr>
              <w:t>10.9</w:t>
            </w:r>
          </w:p>
        </w:tc>
        <w:tc>
          <w:tcPr>
            <w:tcW w:w="10360" w:type="dxa"/>
            <w:vAlign w:val="bottom"/>
          </w:tcPr>
          <w:p>
            <w:pPr>
              <w:ind w:left="280"/>
              <w:spacing w:after="0"/>
              <w:rPr>
                <w:sz w:val="20"/>
                <w:szCs w:val="20"/>
                <w:color w:val="auto"/>
              </w:rPr>
            </w:pPr>
            <w:r>
              <w:rPr>
                <w:rFonts w:ascii="Arial" w:cs="Arial" w:eastAsia="Arial" w:hAnsi="Arial"/>
                <w:sz w:val="18"/>
                <w:szCs w:val="18"/>
                <w:color w:val="auto"/>
                <w:w w:val="95"/>
              </w:rPr>
              <w:t>Reverse Transition Services Agreement, dated April 24, 2015, by and between Windstream Services, LLC and CSL National, LP, on</w:t>
            </w:r>
          </w:p>
        </w:tc>
      </w:tr>
      <w:tr>
        <w:trPr>
          <w:trHeight w:val="216"/>
        </w:trPr>
        <w:tc>
          <w:tcPr>
            <w:tcW w:w="1080" w:type="dxa"/>
            <w:vAlign w:val="bottom"/>
          </w:tcPr>
          <w:p>
            <w:pPr>
              <w:spacing w:after="0"/>
              <w:rPr>
                <w:sz w:val="18"/>
                <w:szCs w:val="18"/>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w w:val="97"/>
              </w:rPr>
              <w:t>behalf of itself and its Affiliates, including Talk America Services, LLC (incorporated by reference to Exhibit 10.9 to the Company’s</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Current Report on Form 8-K dated and filed with the SEC as of April 27, 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10.10</w:t>
            </w:r>
          </w:p>
        </w:tc>
        <w:tc>
          <w:tcPr>
            <w:tcW w:w="10360" w:type="dxa"/>
            <w:vAlign w:val="bottom"/>
          </w:tcPr>
          <w:p>
            <w:pPr>
              <w:ind w:left="280"/>
              <w:spacing w:after="0"/>
              <w:rPr>
                <w:sz w:val="20"/>
                <w:szCs w:val="20"/>
                <w:color w:val="auto"/>
              </w:rPr>
            </w:pPr>
            <w:r>
              <w:rPr>
                <w:rFonts w:ascii="Arial" w:cs="Arial" w:eastAsia="Arial" w:hAnsi="Arial"/>
                <w:sz w:val="18"/>
                <w:szCs w:val="18"/>
                <w:color w:val="auto"/>
              </w:rPr>
              <w:t>Credit Agreement, dated as of April 24, 2015, by and among Communications Sales &amp; Leasing, Inc. and CSL Capital, LLC, as</w:t>
            </w:r>
          </w:p>
        </w:tc>
      </w:tr>
      <w:tr>
        <w:trPr>
          <w:trHeight w:val="216"/>
        </w:trPr>
        <w:tc>
          <w:tcPr>
            <w:tcW w:w="1080" w:type="dxa"/>
            <w:vAlign w:val="bottom"/>
          </w:tcPr>
          <w:p>
            <w:pPr>
              <w:spacing w:after="0"/>
              <w:rPr>
                <w:sz w:val="18"/>
                <w:szCs w:val="18"/>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w w:val="93"/>
              </w:rPr>
              <w:t>Borrowers, the guarantors party thereto, the lenders party thereto from time to time and Bank of America, N.A., as administrative agent,</w:t>
            </w:r>
          </w:p>
        </w:tc>
      </w:tr>
      <w:tr>
        <w:trPr>
          <w:trHeight w:val="216"/>
        </w:trPr>
        <w:tc>
          <w:tcPr>
            <w:tcW w:w="1080" w:type="dxa"/>
            <w:vAlign w:val="bottom"/>
          </w:tcPr>
          <w:p>
            <w:pPr>
              <w:spacing w:after="0"/>
              <w:rPr>
                <w:sz w:val="18"/>
                <w:szCs w:val="18"/>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w w:val="93"/>
              </w:rPr>
              <w:t>collateral agent, swing line lender and L/C issuer (incorporated by reference to Exhibit 10.10 to the Company’s Current Report on Form</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8-K dated and filed with the SEC as of April 27, 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10.11</w:t>
            </w:r>
          </w:p>
        </w:tc>
        <w:tc>
          <w:tcPr>
            <w:tcW w:w="10360" w:type="dxa"/>
            <w:vAlign w:val="bottom"/>
          </w:tcPr>
          <w:p>
            <w:pPr>
              <w:ind w:left="280"/>
              <w:spacing w:after="0"/>
              <w:rPr>
                <w:sz w:val="20"/>
                <w:szCs w:val="20"/>
                <w:color w:val="auto"/>
              </w:rPr>
            </w:pPr>
            <w:r>
              <w:rPr>
                <w:rFonts w:ascii="Arial" w:cs="Arial" w:eastAsia="Arial" w:hAnsi="Arial"/>
                <w:sz w:val="18"/>
                <w:szCs w:val="18"/>
                <w:color w:val="auto"/>
                <w:w w:val="95"/>
              </w:rPr>
              <w:t>Recognition Agreement, dated April 24, 2015, by and among CSL National, LP and the other entities listed therein, as Landlord, and</w:t>
            </w:r>
          </w:p>
        </w:tc>
      </w:tr>
      <w:tr>
        <w:trPr>
          <w:trHeight w:val="216"/>
        </w:trPr>
        <w:tc>
          <w:tcPr>
            <w:tcW w:w="1080" w:type="dxa"/>
            <w:vAlign w:val="bottom"/>
          </w:tcPr>
          <w:p>
            <w:pPr>
              <w:spacing w:after="0"/>
              <w:rPr>
                <w:sz w:val="18"/>
                <w:szCs w:val="18"/>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w w:val="94"/>
              </w:rPr>
              <w:t>Windstream Holdings, Inc., as Tenant, and JPMorgan Chase Bank, N.A., as administrative agent (incorporated by reference to Exhibit</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10.11 to the Company’s Current Report on Form 8-K dated and filed with the SEC as of April 27, 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10.12</w:t>
            </w:r>
          </w:p>
        </w:tc>
        <w:tc>
          <w:tcPr>
            <w:tcW w:w="10360" w:type="dxa"/>
            <w:vAlign w:val="bottom"/>
          </w:tcPr>
          <w:p>
            <w:pPr>
              <w:ind w:left="280"/>
              <w:spacing w:after="0"/>
              <w:rPr>
                <w:sz w:val="20"/>
                <w:szCs w:val="20"/>
                <w:color w:val="auto"/>
              </w:rPr>
            </w:pPr>
            <w:r>
              <w:rPr>
                <w:rFonts w:ascii="Arial" w:cs="Arial" w:eastAsia="Arial" w:hAnsi="Arial"/>
                <w:sz w:val="18"/>
                <w:szCs w:val="18"/>
                <w:color w:val="auto"/>
                <w:w w:val="99"/>
              </w:rPr>
              <w:t>Severance Agreement, dated as of June 1, 2015, by and between Communications Sales &amp; Leasing, Inc. and Mark A. Wallace</w:t>
            </w:r>
          </w:p>
        </w:tc>
      </w:tr>
      <w:tr>
        <w:trPr>
          <w:trHeight w:val="216"/>
        </w:trPr>
        <w:tc>
          <w:tcPr>
            <w:tcW w:w="1080" w:type="dxa"/>
            <w:vAlign w:val="bottom"/>
          </w:tcPr>
          <w:p>
            <w:pPr>
              <w:spacing w:after="0"/>
              <w:rPr>
                <w:sz w:val="18"/>
                <w:szCs w:val="18"/>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w w:val="96"/>
              </w:rPr>
              <w:t>(incorporated by reference to Exhibit 10.2 to the Company’s Current Report on Form 8-K dated and filed with the SEC as of June 3,</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10.13</w:t>
            </w:r>
          </w:p>
        </w:tc>
        <w:tc>
          <w:tcPr>
            <w:tcW w:w="10360" w:type="dxa"/>
            <w:vAlign w:val="bottom"/>
          </w:tcPr>
          <w:p>
            <w:pPr>
              <w:ind w:left="280"/>
              <w:spacing w:after="0"/>
              <w:rPr>
                <w:sz w:val="20"/>
                <w:szCs w:val="20"/>
                <w:color w:val="auto"/>
              </w:rPr>
            </w:pPr>
            <w:r>
              <w:rPr>
                <w:rFonts w:ascii="Arial" w:cs="Arial" w:eastAsia="Arial" w:hAnsi="Arial"/>
                <w:sz w:val="18"/>
                <w:szCs w:val="18"/>
                <w:color w:val="auto"/>
              </w:rPr>
              <w:t>Severance Agreement, dated as of June 1, 2015, by and between Communications Sales &amp; Leasing, Inc. and Daniel L. Heard</w:t>
            </w:r>
          </w:p>
        </w:tc>
      </w:tr>
      <w:tr>
        <w:trPr>
          <w:trHeight w:val="216"/>
        </w:trPr>
        <w:tc>
          <w:tcPr>
            <w:tcW w:w="1080" w:type="dxa"/>
            <w:vAlign w:val="bottom"/>
          </w:tcPr>
          <w:p>
            <w:pPr>
              <w:spacing w:after="0"/>
              <w:rPr>
                <w:sz w:val="18"/>
                <w:szCs w:val="18"/>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w w:val="93"/>
              </w:rPr>
              <w:t>(incorporated by reference to Exhibit 10.16 to the Company’s Registration Statement on Form S-4 filed with the SEC as of July 2, 2015</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(File No. 333-205450)).</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10.14</w:t>
            </w:r>
          </w:p>
        </w:tc>
        <w:tc>
          <w:tcPr>
            <w:tcW w:w="10360" w:type="dxa"/>
            <w:vAlign w:val="bottom"/>
          </w:tcPr>
          <w:p>
            <w:pPr>
              <w:ind w:left="280"/>
              <w:spacing w:after="0"/>
              <w:rPr>
                <w:sz w:val="20"/>
                <w:szCs w:val="20"/>
                <w:color w:val="auto"/>
              </w:rPr>
            </w:pPr>
            <w:r>
              <w:rPr>
                <w:rFonts w:ascii="Arial" w:cs="Arial" w:eastAsia="Arial" w:hAnsi="Arial"/>
                <w:sz w:val="18"/>
                <w:szCs w:val="18"/>
                <w:color w:val="auto"/>
                <w:w w:val="94"/>
              </w:rPr>
              <w:t>Communications Sales &amp; Leasing, Inc. 2015 Equity Incentive Plan (incorporated by reference to Exhibit 10.12 to Amendment No. 3 to</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the Company’s Registration Statement on Form 10 dated and filed with the SEC as of March 12, 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10.15</w:t>
            </w:r>
          </w:p>
        </w:tc>
        <w:tc>
          <w:tcPr>
            <w:tcW w:w="10360" w:type="dxa"/>
            <w:vAlign w:val="bottom"/>
          </w:tcPr>
          <w:p>
            <w:pPr>
              <w:ind w:left="280"/>
              <w:spacing w:after="0"/>
              <w:rPr>
                <w:sz w:val="20"/>
                <w:szCs w:val="20"/>
                <w:color w:val="auto"/>
              </w:rPr>
            </w:pPr>
            <w:r>
              <w:rPr>
                <w:rFonts w:ascii="Arial" w:cs="Arial" w:eastAsia="Arial" w:hAnsi="Arial"/>
                <w:sz w:val="18"/>
                <w:szCs w:val="18"/>
                <w:color w:val="auto"/>
                <w:w w:val="96"/>
              </w:rPr>
              <w:t>Communications Sales &amp; Leasing, Inc. 2015 Short-Term Incentive Plan (incorporated by reference to Exhibit 10.1 to the Company’s</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Current Report on Form 8-K dated and filed with the SEC as of June 3, 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10.16</w:t>
            </w:r>
          </w:p>
        </w:tc>
        <w:tc>
          <w:tcPr>
            <w:tcW w:w="10360" w:type="dxa"/>
            <w:vAlign w:val="bottom"/>
          </w:tcPr>
          <w:p>
            <w:pPr>
              <w:ind w:left="280"/>
              <w:spacing w:after="0"/>
              <w:rPr>
                <w:sz w:val="20"/>
                <w:szCs w:val="20"/>
                <w:color w:val="auto"/>
              </w:rPr>
            </w:pPr>
            <w:r>
              <w:rPr>
                <w:rFonts w:ascii="Arial" w:cs="Arial" w:eastAsia="Arial" w:hAnsi="Arial"/>
                <w:sz w:val="18"/>
                <w:szCs w:val="18"/>
                <w:color w:val="auto"/>
                <w:w w:val="95"/>
              </w:rPr>
              <w:t>Form of Restricted Shares Agreement for employees (incorporated by reference to Exhibit 10.3 to the Company’s Current Report on</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Form 8-K dated and filed with the SEC as of June 3, 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10.17</w:t>
            </w:r>
          </w:p>
        </w:tc>
        <w:tc>
          <w:tcPr>
            <w:tcW w:w="10360" w:type="dxa"/>
            <w:vAlign w:val="bottom"/>
          </w:tcPr>
          <w:p>
            <w:pPr>
              <w:ind w:left="280"/>
              <w:spacing w:after="0"/>
              <w:rPr>
                <w:sz w:val="20"/>
                <w:szCs w:val="20"/>
                <w:color w:val="auto"/>
              </w:rPr>
            </w:pPr>
            <w:r>
              <w:rPr>
                <w:rFonts w:ascii="Arial" w:cs="Arial" w:eastAsia="Arial" w:hAnsi="Arial"/>
                <w:sz w:val="18"/>
                <w:szCs w:val="18"/>
                <w:color w:val="auto"/>
                <w:w w:val="96"/>
              </w:rPr>
              <w:t>Form of Performance-Based Restricted Stock Unit Agreement (incorporated by reference to Exhibit 10.4 to the Company’s Current</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Report on Form 8-K dated and filed with the SEC as of June 3, 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10.18</w:t>
            </w:r>
          </w:p>
        </w:tc>
        <w:tc>
          <w:tcPr>
            <w:tcW w:w="10360" w:type="dxa"/>
            <w:vAlign w:val="bottom"/>
          </w:tcPr>
          <w:p>
            <w:pPr>
              <w:ind w:left="280"/>
              <w:spacing w:after="0"/>
              <w:rPr>
                <w:sz w:val="20"/>
                <w:szCs w:val="20"/>
                <w:color w:val="auto"/>
              </w:rPr>
            </w:pPr>
            <w:r>
              <w:rPr>
                <w:rFonts w:ascii="Arial" w:cs="Arial" w:eastAsia="Arial" w:hAnsi="Arial"/>
                <w:sz w:val="18"/>
                <w:szCs w:val="18"/>
                <w:color w:val="auto"/>
                <w:w w:val="94"/>
              </w:rPr>
              <w:t>Form of Restricted Shares Agreement for non-employee directors (incorporated by reference to Exhibit 10.5 to the Company’s Current</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Report on Form 8-K dated and filed with the SEC as of June 3, 2015 (File No. 001-36708)).</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10.19</w:t>
            </w:r>
          </w:p>
        </w:tc>
        <w:tc>
          <w:tcPr>
            <w:tcW w:w="10360" w:type="dxa"/>
            <w:vAlign w:val="bottom"/>
          </w:tcPr>
          <w:p>
            <w:pPr>
              <w:ind w:left="280"/>
              <w:spacing w:after="0"/>
              <w:rPr>
                <w:sz w:val="20"/>
                <w:szCs w:val="20"/>
                <w:color w:val="auto"/>
              </w:rPr>
            </w:pPr>
            <w:r>
              <w:rPr>
                <w:rFonts w:ascii="Arial" w:cs="Arial" w:eastAsia="Arial" w:hAnsi="Arial"/>
                <w:sz w:val="18"/>
                <w:szCs w:val="18"/>
                <w:color w:val="auto"/>
                <w:w w:val="94"/>
              </w:rPr>
              <w:t>Form of Indemnification Agreement (incorporated by reference to Exhibit 10.20 to the Company’s Registration Statement on Form S-4</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filed with the SEC as of July 2, 2015 (File No. 333-205450)).</w:t>
            </w:r>
          </w:p>
        </w:tc>
      </w:tr>
      <w:tr>
        <w:trPr>
          <w:trHeight w:val="338"/>
        </w:trPr>
        <w:tc>
          <w:tcPr>
            <w:tcW w:w="1080" w:type="dxa"/>
            <w:vAlign w:val="bottom"/>
          </w:tcPr>
          <w:p>
            <w:pPr>
              <w:ind w:left="120"/>
              <w:spacing w:after="0"/>
              <w:rPr>
                <w:sz w:val="20"/>
                <w:szCs w:val="20"/>
                <w:color w:val="auto"/>
              </w:rPr>
            </w:pPr>
            <w:r>
              <w:rPr>
                <w:rFonts w:ascii="Arial" w:cs="Arial" w:eastAsia="Arial" w:hAnsi="Arial"/>
                <w:sz w:val="18"/>
                <w:szCs w:val="18"/>
                <w:color w:val="auto"/>
              </w:rPr>
              <w:t>10.20*</w:t>
            </w:r>
          </w:p>
        </w:tc>
        <w:tc>
          <w:tcPr>
            <w:tcW w:w="10360" w:type="dxa"/>
            <w:vAlign w:val="bottom"/>
          </w:tcPr>
          <w:p>
            <w:pPr>
              <w:ind w:left="280"/>
              <w:spacing w:after="0"/>
              <w:rPr>
                <w:sz w:val="20"/>
                <w:szCs w:val="20"/>
                <w:color w:val="auto"/>
              </w:rPr>
            </w:pPr>
            <w:r>
              <w:rPr>
                <w:rFonts w:ascii="Arial" w:cs="Arial" w:eastAsia="Arial" w:hAnsi="Arial"/>
                <w:sz w:val="18"/>
                <w:szCs w:val="18"/>
                <w:color w:val="auto"/>
              </w:rPr>
              <w:t>Communications Sales &amp; Leasing, Inc. Deferred Compensation Plan, effective August 10, 2015.</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31.1*</w:t>
            </w:r>
          </w:p>
        </w:tc>
        <w:tc>
          <w:tcPr>
            <w:tcW w:w="10360" w:type="dxa"/>
            <w:vAlign w:val="bottom"/>
          </w:tcPr>
          <w:p>
            <w:pPr>
              <w:ind w:left="280"/>
              <w:spacing w:after="0"/>
              <w:rPr>
                <w:sz w:val="20"/>
                <w:szCs w:val="20"/>
                <w:color w:val="auto"/>
              </w:rPr>
            </w:pPr>
            <w:r>
              <w:rPr>
                <w:rFonts w:ascii="Arial" w:cs="Arial" w:eastAsia="Arial" w:hAnsi="Arial"/>
                <w:sz w:val="18"/>
                <w:szCs w:val="18"/>
                <w:color w:val="auto"/>
                <w:w w:val="95"/>
              </w:rPr>
              <w:t>Certification of Principal Executive Officer Pursuant to Rules 13a-14(a) and 15d-14(a) under the Securities Exchange Act of 1934, as</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31.2*</w:t>
            </w:r>
          </w:p>
        </w:tc>
        <w:tc>
          <w:tcPr>
            <w:tcW w:w="10360" w:type="dxa"/>
            <w:vAlign w:val="bottom"/>
          </w:tcPr>
          <w:p>
            <w:pPr>
              <w:ind w:left="280"/>
              <w:spacing w:after="0"/>
              <w:rPr>
                <w:sz w:val="20"/>
                <w:szCs w:val="20"/>
                <w:color w:val="auto"/>
              </w:rPr>
            </w:pPr>
            <w:r>
              <w:rPr>
                <w:rFonts w:ascii="Arial" w:cs="Arial" w:eastAsia="Arial" w:hAnsi="Arial"/>
                <w:sz w:val="18"/>
                <w:szCs w:val="18"/>
                <w:color w:val="auto"/>
                <w:w w:val="95"/>
              </w:rPr>
              <w:t>Certification of Principal Financial Officer Pursuant to Rules 13a-14(a) and 15d-14(a) under the Securities Exchange Act of 1934, as</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32.1*</w:t>
            </w:r>
          </w:p>
        </w:tc>
        <w:tc>
          <w:tcPr>
            <w:tcW w:w="10360" w:type="dxa"/>
            <w:vAlign w:val="bottom"/>
          </w:tcPr>
          <w:p>
            <w:pPr>
              <w:ind w:left="280"/>
              <w:spacing w:after="0"/>
              <w:rPr>
                <w:sz w:val="20"/>
                <w:szCs w:val="20"/>
                <w:color w:val="auto"/>
              </w:rPr>
            </w:pPr>
            <w:r>
              <w:rPr>
                <w:rFonts w:ascii="Arial" w:cs="Arial" w:eastAsia="Arial" w:hAnsi="Arial"/>
                <w:sz w:val="18"/>
                <w:szCs w:val="18"/>
                <w:color w:val="auto"/>
                <w:w w:val="95"/>
              </w:rPr>
              <w:t>Certification of Principal Executive Officer Pursuant to 18 U.S.C. Section 1350, as Adopted Pursuant to Section 906 of the Sarbanes-</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Oxley Act of 2002.</w:t>
            </w:r>
          </w:p>
        </w:tc>
      </w:tr>
      <w:tr>
        <w:trPr>
          <w:trHeight w:val="323"/>
        </w:trPr>
        <w:tc>
          <w:tcPr>
            <w:tcW w:w="1080" w:type="dxa"/>
            <w:vAlign w:val="bottom"/>
          </w:tcPr>
          <w:p>
            <w:pPr>
              <w:ind w:left="120"/>
              <w:spacing w:after="0"/>
              <w:rPr>
                <w:sz w:val="20"/>
                <w:szCs w:val="20"/>
                <w:color w:val="auto"/>
              </w:rPr>
            </w:pPr>
            <w:r>
              <w:rPr>
                <w:rFonts w:ascii="Arial" w:cs="Arial" w:eastAsia="Arial" w:hAnsi="Arial"/>
                <w:sz w:val="18"/>
                <w:szCs w:val="18"/>
                <w:color w:val="auto"/>
              </w:rPr>
              <w:t>32.2*</w:t>
            </w:r>
          </w:p>
        </w:tc>
        <w:tc>
          <w:tcPr>
            <w:tcW w:w="10360" w:type="dxa"/>
            <w:vAlign w:val="bottom"/>
          </w:tcPr>
          <w:p>
            <w:pPr>
              <w:ind w:left="280"/>
              <w:spacing w:after="0"/>
              <w:rPr>
                <w:sz w:val="20"/>
                <w:szCs w:val="20"/>
                <w:color w:val="auto"/>
              </w:rPr>
            </w:pPr>
            <w:r>
              <w:rPr>
                <w:rFonts w:ascii="Arial" w:cs="Arial" w:eastAsia="Arial" w:hAnsi="Arial"/>
                <w:sz w:val="18"/>
                <w:szCs w:val="18"/>
                <w:color w:val="auto"/>
                <w:w w:val="95"/>
              </w:rPr>
              <w:t>Certification of Principal Financial Officer Pursuant to 18 U.S.C. Section 1350, as Adopted Pursuant to Section 906 of the Sarbanes-</w:t>
            </w:r>
          </w:p>
        </w:tc>
      </w:tr>
      <w:tr>
        <w:trPr>
          <w:trHeight w:val="230"/>
        </w:trPr>
        <w:tc>
          <w:tcPr>
            <w:tcW w:w="1080" w:type="dxa"/>
            <w:vAlign w:val="bottom"/>
          </w:tcPr>
          <w:p>
            <w:pPr>
              <w:spacing w:after="0"/>
              <w:rPr>
                <w:sz w:val="20"/>
                <w:szCs w:val="20"/>
                <w:color w:val="auto"/>
              </w:rPr>
            </w:pPr>
          </w:p>
        </w:tc>
        <w:tc>
          <w:tcPr>
            <w:tcW w:w="10360" w:type="dxa"/>
            <w:vAlign w:val="bottom"/>
          </w:tcPr>
          <w:p>
            <w:pPr>
              <w:ind w:left="280"/>
              <w:spacing w:after="0"/>
              <w:rPr>
                <w:sz w:val="20"/>
                <w:szCs w:val="20"/>
                <w:color w:val="auto"/>
              </w:rPr>
            </w:pPr>
            <w:r>
              <w:rPr>
                <w:rFonts w:ascii="Arial" w:cs="Arial" w:eastAsia="Arial" w:hAnsi="Arial"/>
                <w:sz w:val="18"/>
                <w:szCs w:val="18"/>
                <w:color w:val="auto"/>
              </w:rPr>
              <w:t>Oxley Act of 2002.</w:t>
            </w:r>
          </w:p>
        </w:tc>
      </w:tr>
      <w:tr>
        <w:trPr>
          <w:trHeight w:val="338"/>
        </w:trPr>
        <w:tc>
          <w:tcPr>
            <w:tcW w:w="1080" w:type="dxa"/>
            <w:vAlign w:val="bottom"/>
          </w:tcPr>
          <w:p>
            <w:pPr>
              <w:ind w:left="120"/>
              <w:spacing w:after="0"/>
              <w:rPr>
                <w:sz w:val="20"/>
                <w:szCs w:val="20"/>
                <w:color w:val="auto"/>
              </w:rPr>
            </w:pPr>
            <w:r>
              <w:rPr>
                <w:rFonts w:ascii="Arial" w:cs="Arial" w:eastAsia="Arial" w:hAnsi="Arial"/>
                <w:sz w:val="18"/>
                <w:szCs w:val="18"/>
                <w:color w:val="auto"/>
              </w:rPr>
              <w:t>101.INS</w:t>
            </w:r>
          </w:p>
        </w:tc>
        <w:tc>
          <w:tcPr>
            <w:tcW w:w="1036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38"/>
        </w:trPr>
        <w:tc>
          <w:tcPr>
            <w:tcW w:w="1080" w:type="dxa"/>
            <w:vAlign w:val="bottom"/>
          </w:tcPr>
          <w:p>
            <w:pPr>
              <w:ind w:left="120"/>
              <w:spacing w:after="0"/>
              <w:rPr>
                <w:sz w:val="20"/>
                <w:szCs w:val="20"/>
                <w:color w:val="auto"/>
              </w:rPr>
            </w:pPr>
            <w:r>
              <w:rPr>
                <w:rFonts w:ascii="Arial" w:cs="Arial" w:eastAsia="Arial" w:hAnsi="Arial"/>
                <w:sz w:val="18"/>
                <w:szCs w:val="18"/>
                <w:color w:val="auto"/>
              </w:rPr>
              <w:t>101.SCH</w:t>
            </w:r>
          </w:p>
        </w:tc>
        <w:tc>
          <w:tcPr>
            <w:tcW w:w="1036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80" w:type="dxa"/>
            <w:vAlign w:val="bottom"/>
          </w:tcPr>
          <w:p>
            <w:pPr>
              <w:ind w:left="120"/>
              <w:spacing w:after="0"/>
              <w:rPr>
                <w:sz w:val="20"/>
                <w:szCs w:val="20"/>
                <w:color w:val="auto"/>
              </w:rPr>
            </w:pPr>
            <w:r>
              <w:rPr>
                <w:rFonts w:ascii="Arial" w:cs="Arial" w:eastAsia="Arial" w:hAnsi="Arial"/>
                <w:sz w:val="18"/>
                <w:szCs w:val="18"/>
                <w:color w:val="auto"/>
              </w:rPr>
              <w:t>101.CAL</w:t>
            </w:r>
          </w:p>
        </w:tc>
        <w:tc>
          <w:tcPr>
            <w:tcW w:w="1036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675"/>
        </w:trPr>
        <w:tc>
          <w:tcPr>
            <w:tcW w:w="1080" w:type="dxa"/>
            <w:vAlign w:val="bottom"/>
          </w:tcPr>
          <w:p>
            <w:pPr>
              <w:spacing w:after="0"/>
              <w:rPr>
                <w:sz w:val="24"/>
                <w:szCs w:val="24"/>
                <w:color w:val="auto"/>
              </w:rPr>
            </w:pPr>
          </w:p>
        </w:tc>
        <w:tc>
          <w:tcPr>
            <w:tcW w:w="10360" w:type="dxa"/>
            <w:vAlign w:val="bottom"/>
          </w:tcPr>
          <w:p>
            <w:pPr>
              <w:ind w:left="4540"/>
              <w:spacing w:after="0"/>
              <w:rPr>
                <w:sz w:val="20"/>
                <w:szCs w:val="20"/>
                <w:color w:val="auto"/>
              </w:rPr>
            </w:pPr>
            <w:r>
              <w:rPr>
                <w:rFonts w:ascii="Arial" w:cs="Arial" w:eastAsia="Arial" w:hAnsi="Arial"/>
                <w:sz w:val="18"/>
                <w:szCs w:val="18"/>
                <w:color w:val="auto"/>
              </w:rPr>
              <w:t>53</w:t>
            </w:r>
          </w:p>
        </w:tc>
      </w:tr>
      <w:tr>
        <w:trPr>
          <w:trHeight w:val="115"/>
        </w:trPr>
        <w:tc>
          <w:tcPr>
            <w:tcW w:w="1080" w:type="dxa"/>
            <w:vAlign w:val="bottom"/>
            <w:tcBorders>
              <w:bottom w:val="single" w:sz="8" w:color="9A9A9A"/>
            </w:tcBorders>
          </w:tcPr>
          <w:p>
            <w:pPr>
              <w:spacing w:after="0"/>
              <w:rPr>
                <w:sz w:val="10"/>
                <w:szCs w:val="10"/>
                <w:color w:val="auto"/>
              </w:rPr>
            </w:pPr>
          </w:p>
        </w:tc>
        <w:tc>
          <w:tcPr>
            <w:tcW w:w="10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Table of Contents</w:t>
              </w:r>
            </w:hyperlink>
          </w:p>
        </w:tc>
        <w:tc>
          <w:tcPr>
            <w:tcW w:w="452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ind w:left="1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4520" w:type="dxa"/>
            <w:vAlign w:val="bottom"/>
          </w:tcPr>
          <w:p>
            <w:pPr>
              <w:ind w:left="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38"/>
        </w:trPr>
        <w:tc>
          <w:tcPr>
            <w:tcW w:w="13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452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4520" w:type="dxa"/>
            <w:vAlign w:val="bottom"/>
          </w:tcPr>
          <w:p>
            <w:pPr>
              <w:ind w:left="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56" w:lineRule="exact"/>
        <w:rPr>
          <w:sz w:val="20"/>
          <w:szCs w:val="20"/>
          <w:color w:val="auto"/>
        </w:rPr>
      </w:pPr>
    </w:p>
    <w:p>
      <w:pPr>
        <w:spacing w:after="0"/>
        <w:tabs>
          <w:tab w:leader="none" w:pos="96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2015</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874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Mark A. Wallace</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Senior Vice President – Chief Financial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(Principal Financial Officer)</w:t>
      </w:r>
    </w:p>
    <w:p>
      <w:pPr>
        <w:spacing w:after="0" w:line="224" w:lineRule="exact"/>
        <w:rPr>
          <w:sz w:val="20"/>
          <w:szCs w:val="20"/>
          <w:color w:val="auto"/>
        </w:rPr>
      </w:pPr>
    </w:p>
    <w:p>
      <w:pPr>
        <w:spacing w:after="0"/>
        <w:tabs>
          <w:tab w:leader="none" w:pos="96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2015</w:t>
      </w:r>
      <w:r>
        <w:rPr>
          <w:sz w:val="20"/>
          <w:szCs w:val="20"/>
          <w:color w:val="auto"/>
        </w:rPr>
        <w:tab/>
      </w:r>
      <w:r>
        <w:rPr>
          <w:rFonts w:ascii="Arial" w:cs="Arial" w:eastAsia="Arial" w:hAnsi="Arial"/>
          <w:sz w:val="16"/>
          <w:szCs w:val="16"/>
          <w:color w:val="auto"/>
        </w:rPr>
        <w:t>/s/ Blake Schuhmacher</w:t>
      </w:r>
    </w:p>
    <w:p>
      <w:pPr>
        <w:spacing w:after="0" w:line="3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Vice President – Controller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ind w:left="418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42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0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Separation and Distribution Agreement, dated as of March 26, 2015, by and among Windstream Holdings, Inc., Windstream Services, LLC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Communications Sales &amp; Leasing, Inc. (incorporated by reference to Exhibit 2.1 to the Company’s Current Report on Form 8-K dated and filed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with the SEC as of March 26,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Articles of Amendment and Restatement of Communications Sales &amp; Leasing, Inc. (incorporated by reference to Exhibit 3.1 to the Company’s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Current Report on Form 8-K dated and filed with the SEC as of April 10,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Amended and Restated Bylaws of Communications Sales &amp; Leasing, Inc. (incorporated by reference to Exhibit 3.2 to the Company’s Current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Report on Form 8-K dated and filed with the SEC as of April 10,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Indenture, dated as of April 24, 2015, among Communications Sales &amp; Leasing, Inc. and CSL Capital, LLC, as Issuers, the guarantors named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therein, and Wells Fargo Bank, National Association, as trustee, governing the 8.25% Senior Notes due 2023 (incorporated by reference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4.2 to the Company’s Current Report on Form 8-K dated and filed with the SEC as of April 27,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6"/>
              </w:rPr>
              <w:t>Form of 8.25% Senior Note due 2023 (included in Exhibit 4.1 above) (incorporated by reference to Exhibit 4.4 to the Company’s Current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Report on Form 8-K dated and filed with the SEC as of April 27,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Indenture, dated as of April 24, 2015, among Communications Sales &amp; Leasing, Inc. and CSL Capital, LLC, as Issuers, the guarantors named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therein, and Wells Fargo Bank, National Association, as Trustee and as Collateral Agent, governing the 6.00% Senior Secured Notes due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(incorporated by reference to Exhibit 4.1 to the Company’s Current Report on Form 8-K dated and filed with the SEC as of April 27, 2015 (File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5"/>
              </w:rPr>
              <w:t>Form of 6.00% Senior Secured Note due 2023 (included in Exhibit 4.3 above) (incorporated by reference to Exhibit 4.3 to the Company’s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Current Report on Form 8-K dated and filed with the SEC as of April 27,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7"/>
              </w:rPr>
              <w:t>Master Lease, entered into as of April 24, 2015, by and among CSL National, LP and the other entities listed therein, as Landlord,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Windstream Holdings, Inc., as Tenant (incorporated by reference to Exhibit 10.1 to the Company’s Current Report on Form 8-K dated and filed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with the SEC as of April 27,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9"/>
              </w:rPr>
              <w:t>Tax Matters Agreement, entered into as of April 24, 2015, by and among Windstream Holdings, Inc., Windstream Services, LLC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Communications Sales &amp; Leasing, Inc. (incorporated by reference to Exhibit 10.2 to the Company’s Current Report on Form 8-K dated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filed with the SEC as of April 27,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Transition Services Agreement, dated April 24, 2015, by and between Windstream Services, LLC and CSL National, LP, on behalf of itself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its Affiliates, including Talk America Services, LLC (incorporated by reference to Exhibit 10.3 to the Company’s Current Report on Form 8-K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dated and filed with the SEC as of April 27,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Employee Matters Agreement, dated as of April 24, 2015, by and between Windstream Holdings, Inc. and Communications Sales &amp; Leasing,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Inc. (incorporated by reference to Exhibit 10.4 to the Company’s Current Report on Form 8-K dated and filed with the SEC as of April 27,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Intellectual Property Matters Agreement, dated as of April 24, 2015, by and among Windstream Services, LLC, individually and on behalf of its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subsidiaries that may hold certain intellectual property as described therein, CSL National, LP, and Talk America Services, LLC (incorporated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by reference to Exhibit 10.5 to the Company’s Current Report on Form 8-K dated and filed with the SEC as of April 27, 2015 (File No. 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Wholesale Master Services Agreement, dated April 24, 2015, between Windstream Communications, Inc. and Talk America Services,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(incorporated by reference to Exhibit 10.6 to the Company’s Current Report on Form 8-K dated and filed with the SEC as of April 27,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Stockholder’s and Registration Rights Agreement, made as of April 24, 2015, by and between Windstream Services, LLC and Communications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Sales &amp; Leasing, Inc. (incorporated by reference to Exhibit 10.7 to the Company’s Current Report on Form 8-K dated and filed with the SEC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of April 27, 2015 (File No. 001-36708)).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tcPr>
          <w:p>
            <w:pPr>
              <w:ind w:left="46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Master Services Agreement, dated as of April 24, 2015, by and between Windstream Services, LLC, on behalf of itself and its competitive local</w:t>
            </w:r>
          </w:p>
        </w:tc>
      </w:tr>
      <w:tr>
        <w:trPr>
          <w:trHeight w:val="216"/>
        </w:trPr>
        <w:tc>
          <w:tcPr>
            <w:tcW w:w="840" w:type="dxa"/>
            <w:vAlign w:val="bottom"/>
          </w:tcPr>
          <w:p>
            <w:pPr>
              <w:spacing w:after="0"/>
              <w:rPr>
                <w:sz w:val="18"/>
                <w:szCs w:val="18"/>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w w:val="94"/>
              </w:rPr>
              <w:t>exchange and interexchange carrier affiliates, and Talk America Services, LLC (incorporated by reference to Exhibit 10.8 to the Company’s</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Current Report on Form 8-K dated and filed with the SEC as of April 27,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Reverse Transition Services Agreement, dated April 24, 2015, by and between Windstream Services, LLC and CSL National, LP, on behalf of</w:t>
            </w:r>
          </w:p>
        </w:tc>
      </w:tr>
      <w:tr>
        <w:trPr>
          <w:trHeight w:val="216"/>
        </w:trPr>
        <w:tc>
          <w:tcPr>
            <w:tcW w:w="840" w:type="dxa"/>
            <w:vAlign w:val="bottom"/>
          </w:tcPr>
          <w:p>
            <w:pPr>
              <w:spacing w:after="0"/>
              <w:rPr>
                <w:sz w:val="18"/>
                <w:szCs w:val="18"/>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w w:val="94"/>
              </w:rPr>
              <w:t>itself and its Affiliates, including Talk America Services, LLC (incorporated by reference to Exhibit 10.9 to the Company’s Current Report on</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Form 8-K dated and filed with the SEC as of April 27,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Credit Agreement, dated as of April 24, 2015, by and among Communications Sales &amp; Leasing, Inc. and CSL Capital, LLC, as Borrowers, the</w:t>
            </w:r>
          </w:p>
        </w:tc>
      </w:tr>
      <w:tr>
        <w:trPr>
          <w:trHeight w:val="216"/>
        </w:trPr>
        <w:tc>
          <w:tcPr>
            <w:tcW w:w="840" w:type="dxa"/>
            <w:vAlign w:val="bottom"/>
          </w:tcPr>
          <w:p>
            <w:pPr>
              <w:spacing w:after="0"/>
              <w:rPr>
                <w:sz w:val="18"/>
                <w:szCs w:val="18"/>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guarantors party thereto, the lenders party thereto from time to time and Bank of America, N.A., as administrative agent, collateral agent, swing</w:t>
            </w:r>
          </w:p>
        </w:tc>
      </w:tr>
      <w:tr>
        <w:trPr>
          <w:trHeight w:val="216"/>
        </w:trPr>
        <w:tc>
          <w:tcPr>
            <w:tcW w:w="840" w:type="dxa"/>
            <w:vAlign w:val="bottom"/>
          </w:tcPr>
          <w:p>
            <w:pPr>
              <w:spacing w:after="0"/>
              <w:rPr>
                <w:sz w:val="18"/>
                <w:szCs w:val="18"/>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w w:val="93"/>
              </w:rPr>
              <w:t>line lender and L/C issuer (incorporated by reference to Exhibit 10.10 to the Company’s Current Report on Form 8-K dated and filed with the</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SEC as of April 27,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600" w:type="dxa"/>
            <w:vAlign w:val="bottom"/>
          </w:tcPr>
          <w:p>
            <w:pPr>
              <w:ind w:left="160"/>
              <w:spacing w:after="0"/>
              <w:rPr>
                <w:sz w:val="20"/>
                <w:szCs w:val="20"/>
                <w:color w:val="auto"/>
              </w:rPr>
            </w:pPr>
            <w:r>
              <w:rPr>
                <w:rFonts w:ascii="Arial" w:cs="Arial" w:eastAsia="Arial" w:hAnsi="Arial"/>
                <w:sz w:val="18"/>
                <w:szCs w:val="18"/>
                <w:color w:val="auto"/>
                <w:w w:val="99"/>
              </w:rPr>
              <w:t>Recognition Agreement, dated April 24, 2015, by and among CSL National, LP and the other entities listed therein, as Landlord, and</w:t>
            </w:r>
          </w:p>
        </w:tc>
      </w:tr>
      <w:tr>
        <w:trPr>
          <w:trHeight w:val="216"/>
        </w:trPr>
        <w:tc>
          <w:tcPr>
            <w:tcW w:w="840" w:type="dxa"/>
            <w:vAlign w:val="bottom"/>
          </w:tcPr>
          <w:p>
            <w:pPr>
              <w:spacing w:after="0"/>
              <w:rPr>
                <w:sz w:val="18"/>
                <w:szCs w:val="18"/>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Windstream Holdings, Inc., as Tenant, and JPMorgan Chase Bank, N.A., as administrative agent (incorporated by reference to Exhibit 10.11 to</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the Company’s Current Report on Form 8-K dated and filed with the SEC as of April 27,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Severance Agreement, dated as of June 1, 2015, by and between Communications Sales &amp; Leasing, Inc. and Mark A. Wallace (incorporated by</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reference to Exhibit 10.2 to the Company’s Current Report on Form 8-K dated and filed with the SEC as of June 3,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Severance Agreement, dated as of June 1, 2015, by and between Communications Sales &amp; Leasing, Inc. and Daniel L. Heard (incorporated by</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reference to Exhibit 10.16 to the Company’s Registration Statement on Form S-4 filed with the SEC as of July 2, 2015 (File No. 333-205450)).</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600" w:type="dxa"/>
            <w:vAlign w:val="bottom"/>
          </w:tcPr>
          <w:p>
            <w:pPr>
              <w:ind w:left="160"/>
              <w:spacing w:after="0"/>
              <w:rPr>
                <w:sz w:val="20"/>
                <w:szCs w:val="20"/>
                <w:color w:val="auto"/>
              </w:rPr>
            </w:pPr>
            <w:r>
              <w:rPr>
                <w:rFonts w:ascii="Arial" w:cs="Arial" w:eastAsia="Arial" w:hAnsi="Arial"/>
                <w:sz w:val="18"/>
                <w:szCs w:val="18"/>
                <w:color w:val="auto"/>
                <w:w w:val="95"/>
              </w:rPr>
              <w:t>Communications Sales &amp; Leasing, Inc. 2015 Equity Incentive Plan (incorporated by reference to Exhibit 10.12 to Amendment No. 3 to the</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Company’s Registration Statement on Form 10 dated and filed with the SEC as of March 12,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600" w:type="dxa"/>
            <w:vAlign w:val="bottom"/>
          </w:tcPr>
          <w:p>
            <w:pPr>
              <w:ind w:left="160"/>
              <w:spacing w:after="0"/>
              <w:rPr>
                <w:sz w:val="20"/>
                <w:szCs w:val="20"/>
                <w:color w:val="auto"/>
              </w:rPr>
            </w:pPr>
            <w:r>
              <w:rPr>
                <w:rFonts w:ascii="Arial" w:cs="Arial" w:eastAsia="Arial" w:hAnsi="Arial"/>
                <w:sz w:val="18"/>
                <w:szCs w:val="18"/>
                <w:color w:val="auto"/>
                <w:w w:val="93"/>
              </w:rPr>
              <w:t>Communications Sales &amp; Leasing, Inc. 2015 Short-Term Incentive Plan (incorporated by reference to Exhibit 10.1 to the Company’s Current</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Report on Form 8-K dated and filed with the SEC as of June 3,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Form of Restricted Shares Agreement for employees (incorporated by reference to Exhibit 10.3 to the Company’s Current Report on Form 8-K</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dated and filed with the SEC as of June 3,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Form of Performance-Based Restricted Stock Unit Agreement (incorporated by reference to Exhibit 10.4 to the Company’s Current Report on</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Form 8-K dated and filed with the SEC as of June 3,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Form of Restricted Shares Agreement for non-employee directors (incorporated by reference to Exhibit 10.5 to the Company’s Current Report</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on Form 8-K dated and filed with the SEC as of June 3, 2015 (File No. 001-36708)).</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tcPr>
          <w:p>
            <w:pPr>
              <w:ind w:left="160"/>
              <w:spacing w:after="0"/>
              <w:rPr>
                <w:sz w:val="20"/>
                <w:szCs w:val="20"/>
                <w:color w:val="auto"/>
              </w:rPr>
            </w:pPr>
            <w:r>
              <w:rPr>
                <w:rFonts w:ascii="Arial" w:cs="Arial" w:eastAsia="Arial" w:hAnsi="Arial"/>
                <w:sz w:val="18"/>
                <w:szCs w:val="18"/>
                <w:color w:val="auto"/>
                <w:w w:val="94"/>
              </w:rPr>
              <w:t>Form of Indemnification Agreement (incorporated by reference to Exhibit 10.20 to the Company’s Registration Statement on Form S-4 filed</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with the SEC as of July 2, 2015 (File No. 333-205450)).</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tcPr>
          <w:p>
            <w:pPr>
              <w:ind w:left="160"/>
              <w:spacing w:after="0"/>
              <w:rPr>
                <w:sz w:val="20"/>
                <w:szCs w:val="20"/>
                <w:color w:val="auto"/>
              </w:rPr>
            </w:pPr>
            <w:r>
              <w:rPr>
                <w:rFonts w:ascii="Arial" w:cs="Arial" w:eastAsia="Arial" w:hAnsi="Arial"/>
                <w:sz w:val="18"/>
                <w:szCs w:val="18"/>
                <w:color w:val="auto"/>
              </w:rPr>
              <w:t>Communications Sales &amp; Leasing, Inc. Deferred Compensation Plan, effective August 10, 2015.</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Certification of Principal Executive Officer Pursuant to Rules 13a-14(a) and 15d-14(a) under the Securities Exchange Act of 1934, as Adopted</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Certification of Principal Financial Officer Pursuant to Rules 13a-14(a) and 15d-14(a) under the Securities Exchange Act of 1934, as Adopted</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 Act</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of 2002.</w:t>
            </w:r>
          </w:p>
        </w:tc>
      </w:tr>
      <w:tr>
        <w:trPr>
          <w:trHeight w:val="350"/>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Pr>
          <w:p>
            <w:pPr>
              <w:ind w:left="160"/>
              <w:spacing w:after="0"/>
              <w:rPr>
                <w:sz w:val="20"/>
                <w:szCs w:val="20"/>
                <w:color w:val="auto"/>
              </w:rPr>
            </w:pPr>
            <w:r>
              <w:rPr>
                <w:rFonts w:ascii="Arial" w:cs="Arial" w:eastAsia="Arial" w:hAnsi="Arial"/>
                <w:sz w:val="18"/>
                <w:szCs w:val="18"/>
                <w:color w:val="auto"/>
                <w:w w:val="92"/>
              </w:rPr>
              <w:t>Certification of Principal Financial Officer Pursuant to 18 U.S.C. Section 1350, as Adopted Pursuant to Section 906 of the Sarbanes-Oxley Act</w:t>
            </w:r>
          </w:p>
        </w:tc>
      </w:tr>
      <w:tr>
        <w:trPr>
          <w:trHeight w:val="230"/>
        </w:trPr>
        <w:tc>
          <w:tcPr>
            <w:tcW w:w="840" w:type="dxa"/>
            <w:vAlign w:val="bottom"/>
          </w:tcPr>
          <w:p>
            <w:pPr>
              <w:spacing w:after="0"/>
              <w:rPr>
                <w:sz w:val="20"/>
                <w:szCs w:val="20"/>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of 2002.</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60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675"/>
        </w:trPr>
        <w:tc>
          <w:tcPr>
            <w:tcW w:w="840" w:type="dxa"/>
            <w:vAlign w:val="bottom"/>
          </w:tcPr>
          <w:p>
            <w:pPr>
              <w:spacing w:after="0"/>
              <w:rPr>
                <w:sz w:val="24"/>
                <w:szCs w:val="24"/>
                <w:color w:val="auto"/>
              </w:rPr>
            </w:pPr>
          </w:p>
        </w:tc>
        <w:tc>
          <w:tcPr>
            <w:tcW w:w="10600" w:type="dxa"/>
            <w:vAlign w:val="bottom"/>
          </w:tcPr>
          <w:p>
            <w:pPr>
              <w:ind w:left="4780"/>
              <w:spacing w:after="0"/>
              <w:rPr>
                <w:sz w:val="20"/>
                <w:szCs w:val="20"/>
                <w:color w:val="auto"/>
              </w:rPr>
            </w:pPr>
            <w:r>
              <w:rPr>
                <w:rFonts w:ascii="Arial" w:cs="Arial" w:eastAsia="Arial" w:hAnsi="Arial"/>
                <w:sz w:val="18"/>
                <w:szCs w:val="18"/>
                <w:color w:val="auto"/>
              </w:rPr>
              <w:t>57</w:t>
            </w:r>
          </w:p>
        </w:tc>
      </w:tr>
      <w:tr>
        <w:trPr>
          <w:trHeight w:val="115"/>
        </w:trPr>
        <w:tc>
          <w:tcPr>
            <w:tcW w:w="840" w:type="dxa"/>
            <w:vAlign w:val="bottom"/>
            <w:tcBorders>
              <w:bottom w:val="single" w:sz="8" w:color="9A9A9A"/>
            </w:tcBorders>
          </w:tcPr>
          <w:p>
            <w:pPr>
              <w:spacing w:after="0"/>
              <w:rPr>
                <w:sz w:val="10"/>
                <w:szCs w:val="10"/>
                <w:color w:val="auto"/>
              </w:rPr>
            </w:pPr>
          </w:p>
        </w:tc>
        <w:tc>
          <w:tcPr>
            <w:tcW w:w="10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640" w:type="dxa"/>
            <w:vAlign w:val="bottom"/>
          </w:tcPr>
          <w:p>
            <w:pPr>
              <w:ind w:left="1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4640" w:type="dxa"/>
            <w:vAlign w:val="bottom"/>
          </w:tcPr>
          <w:p>
            <w:pPr>
              <w:ind w:left="16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64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640" w:type="dxa"/>
            <w:vAlign w:val="bottom"/>
          </w:tcPr>
          <w:p>
            <w:pPr>
              <w:ind w:left="16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19"/>
          </w:cols>
          <w:pgMar w:left="240" w:top="125"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3448050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3465195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DEFERRED COMPENSATION PLAN</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Effective August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591820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608965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1368425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60" w:type="dxa"/>
            <w:vAlign w:val="bottom"/>
          </w:tcPr>
          <w:p>
            <w:pPr>
              <w:jc w:val="center"/>
              <w:ind w:left="270"/>
              <w:spacing w:after="0"/>
              <w:rPr>
                <w:sz w:val="20"/>
                <w:szCs w:val="20"/>
                <w:color w:val="auto"/>
              </w:rPr>
            </w:pPr>
            <w:r>
              <w:rPr>
                <w:rFonts w:ascii="Arial" w:cs="Arial" w:eastAsia="Arial" w:hAnsi="Arial"/>
                <w:sz w:val="18"/>
                <w:szCs w:val="18"/>
                <w:color w:val="auto"/>
                <w:w w:val="95"/>
              </w:rPr>
              <w:t>TABLE OF CONTENTS</w:t>
            </w:r>
          </w:p>
        </w:tc>
        <w:tc>
          <w:tcPr>
            <w:tcW w:w="17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70"/>
              <w:spacing w:after="0"/>
              <w:rPr>
                <w:sz w:val="20"/>
                <w:szCs w:val="20"/>
                <w:color w:val="auto"/>
              </w:rPr>
            </w:pPr>
            <w:r>
              <w:rPr>
                <w:rFonts w:ascii="Arial" w:cs="Arial" w:eastAsia="Arial" w:hAnsi="Arial"/>
                <w:sz w:val="18"/>
                <w:szCs w:val="18"/>
                <w:color w:val="auto"/>
                <w:w w:val="99"/>
              </w:rPr>
              <w:t>ARTICLE I</w:t>
            </w:r>
          </w:p>
        </w:tc>
        <w:tc>
          <w:tcPr>
            <w:tcW w:w="178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90"/>
              <w:spacing w:after="0"/>
              <w:rPr>
                <w:sz w:val="20"/>
                <w:szCs w:val="20"/>
                <w:color w:val="auto"/>
              </w:rPr>
            </w:pPr>
            <w:r>
              <w:rPr>
                <w:rFonts w:ascii="Arial" w:cs="Arial" w:eastAsia="Arial" w:hAnsi="Arial"/>
                <w:sz w:val="18"/>
                <w:szCs w:val="18"/>
                <w:color w:val="auto"/>
                <w:w w:val="98"/>
              </w:rPr>
              <w:t>INTRODUCTION</w:t>
            </w:r>
          </w:p>
        </w:tc>
        <w:tc>
          <w:tcPr>
            <w:tcW w:w="178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8260" w:type="dxa"/>
            <w:vAlign w:val="bottom"/>
          </w:tcPr>
          <w:p>
            <w:pPr>
              <w:ind w:left="220"/>
              <w:spacing w:after="0"/>
              <w:rPr>
                <w:sz w:val="20"/>
                <w:szCs w:val="20"/>
                <w:color w:val="auto"/>
              </w:rPr>
            </w:pPr>
            <w:r>
              <w:rPr>
                <w:rFonts w:ascii="Arial" w:cs="Arial" w:eastAsia="Arial" w:hAnsi="Arial"/>
                <w:sz w:val="18"/>
                <w:szCs w:val="18"/>
                <w:color w:val="auto"/>
              </w:rPr>
              <w:t>The Plan</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8260" w:type="dxa"/>
            <w:vAlign w:val="bottom"/>
          </w:tcPr>
          <w:p>
            <w:pPr>
              <w:ind w:left="220"/>
              <w:spacing w:after="0"/>
              <w:rPr>
                <w:sz w:val="20"/>
                <w:szCs w:val="20"/>
                <w:color w:val="auto"/>
              </w:rPr>
            </w:pPr>
            <w:r>
              <w:rPr>
                <w:rFonts w:ascii="Arial" w:cs="Arial" w:eastAsia="Arial" w:hAnsi="Arial"/>
                <w:sz w:val="18"/>
                <w:szCs w:val="18"/>
                <w:color w:val="auto"/>
              </w:rPr>
              <w:t>Applicability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90"/>
              <w:spacing w:after="0"/>
              <w:rPr>
                <w:sz w:val="20"/>
                <w:szCs w:val="20"/>
                <w:color w:val="auto"/>
              </w:rPr>
            </w:pPr>
            <w:r>
              <w:rPr>
                <w:rFonts w:ascii="Arial" w:cs="Arial" w:eastAsia="Arial" w:hAnsi="Arial"/>
                <w:sz w:val="18"/>
                <w:szCs w:val="18"/>
                <w:color w:val="auto"/>
              </w:rPr>
              <w:t>ARTICLE II</w:t>
            </w:r>
          </w:p>
        </w:tc>
        <w:tc>
          <w:tcPr>
            <w:tcW w:w="178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90"/>
              <w:spacing w:after="0"/>
              <w:rPr>
                <w:sz w:val="20"/>
                <w:szCs w:val="20"/>
                <w:color w:val="auto"/>
              </w:rPr>
            </w:pPr>
            <w:r>
              <w:rPr>
                <w:rFonts w:ascii="Arial" w:cs="Arial" w:eastAsia="Arial" w:hAnsi="Arial"/>
                <w:sz w:val="18"/>
                <w:szCs w:val="18"/>
                <w:color w:val="auto"/>
                <w:w w:val="98"/>
              </w:rPr>
              <w:t>DEFINITIONS</w:t>
            </w:r>
          </w:p>
        </w:tc>
        <w:tc>
          <w:tcPr>
            <w:tcW w:w="1780" w:type="dxa"/>
            <w:vAlign w:val="bottom"/>
          </w:tcPr>
          <w:p>
            <w:pPr>
              <w:spacing w:after="0"/>
              <w:rPr>
                <w:sz w:val="24"/>
                <w:szCs w:val="24"/>
                <w:color w:val="auto"/>
              </w:rPr>
            </w:pP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2.01.</w:t>
            </w:r>
          </w:p>
        </w:tc>
        <w:tc>
          <w:tcPr>
            <w:tcW w:w="8260" w:type="dxa"/>
            <w:vAlign w:val="bottom"/>
          </w:tcPr>
          <w:p>
            <w:pPr>
              <w:ind w:left="220"/>
              <w:spacing w:after="0"/>
              <w:rPr>
                <w:sz w:val="20"/>
                <w:szCs w:val="20"/>
                <w:color w:val="auto"/>
              </w:rPr>
            </w:pPr>
            <w:r>
              <w:rPr>
                <w:rFonts w:ascii="Arial" w:cs="Arial" w:eastAsia="Arial" w:hAnsi="Arial"/>
                <w:sz w:val="18"/>
                <w:szCs w:val="18"/>
                <w:color w:val="auto"/>
              </w:rPr>
              <w:t>In General</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70"/>
              <w:spacing w:after="0"/>
              <w:rPr>
                <w:sz w:val="20"/>
                <w:szCs w:val="20"/>
                <w:color w:val="auto"/>
              </w:rPr>
            </w:pPr>
            <w:r>
              <w:rPr>
                <w:rFonts w:ascii="Arial" w:cs="Arial" w:eastAsia="Arial" w:hAnsi="Arial"/>
                <w:sz w:val="18"/>
                <w:szCs w:val="18"/>
                <w:color w:val="auto"/>
              </w:rPr>
              <w:t>ARTICLE III</w:t>
            </w:r>
          </w:p>
        </w:tc>
        <w:tc>
          <w:tcPr>
            <w:tcW w:w="178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90"/>
              <w:spacing w:after="0"/>
              <w:rPr>
                <w:sz w:val="20"/>
                <w:szCs w:val="20"/>
                <w:color w:val="auto"/>
              </w:rPr>
            </w:pPr>
            <w:r>
              <w:rPr>
                <w:rFonts w:ascii="Arial" w:cs="Arial" w:eastAsia="Arial" w:hAnsi="Arial"/>
                <w:sz w:val="18"/>
                <w:szCs w:val="18"/>
                <w:color w:val="auto"/>
                <w:w w:val="98"/>
              </w:rPr>
              <w:t>ELIGIBILITY AND PARTICIPATION</w:t>
            </w:r>
          </w:p>
        </w:tc>
        <w:tc>
          <w:tcPr>
            <w:tcW w:w="178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3.01.</w:t>
            </w:r>
          </w:p>
        </w:tc>
        <w:tc>
          <w:tcPr>
            <w:tcW w:w="8260" w:type="dxa"/>
            <w:vAlign w:val="bottom"/>
          </w:tcPr>
          <w:p>
            <w:pPr>
              <w:ind w:left="220"/>
              <w:spacing w:after="0"/>
              <w:rPr>
                <w:sz w:val="20"/>
                <w:szCs w:val="20"/>
                <w:color w:val="auto"/>
              </w:rPr>
            </w:pPr>
            <w:r>
              <w:rPr>
                <w:rFonts w:ascii="Arial" w:cs="Arial" w:eastAsia="Arial" w:hAnsi="Arial"/>
                <w:sz w:val="18"/>
                <w:szCs w:val="18"/>
                <w:color w:val="auto"/>
              </w:rPr>
              <w:t>Eligibility Requirements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3.02.</w:t>
            </w:r>
          </w:p>
        </w:tc>
        <w:tc>
          <w:tcPr>
            <w:tcW w:w="8260" w:type="dxa"/>
            <w:vAlign w:val="bottom"/>
          </w:tcPr>
          <w:p>
            <w:pPr>
              <w:ind w:left="220"/>
              <w:spacing w:after="0"/>
              <w:rPr>
                <w:sz w:val="20"/>
                <w:szCs w:val="20"/>
                <w:color w:val="auto"/>
              </w:rPr>
            </w:pPr>
            <w:r>
              <w:rPr>
                <w:rFonts w:ascii="Arial" w:cs="Arial" w:eastAsia="Arial" w:hAnsi="Arial"/>
                <w:sz w:val="18"/>
                <w:szCs w:val="18"/>
                <w:color w:val="auto"/>
              </w:rPr>
              <w:t>Continued Participation</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3.03.</w:t>
            </w:r>
          </w:p>
        </w:tc>
        <w:tc>
          <w:tcPr>
            <w:tcW w:w="8260" w:type="dxa"/>
            <w:vAlign w:val="bottom"/>
          </w:tcPr>
          <w:p>
            <w:pPr>
              <w:ind w:left="220"/>
              <w:spacing w:after="0"/>
              <w:rPr>
                <w:sz w:val="20"/>
                <w:szCs w:val="20"/>
                <w:color w:val="auto"/>
              </w:rPr>
            </w:pPr>
            <w:r>
              <w:rPr>
                <w:rFonts w:ascii="Arial" w:cs="Arial" w:eastAsia="Arial" w:hAnsi="Arial"/>
                <w:sz w:val="18"/>
                <w:szCs w:val="18"/>
                <w:color w:val="auto"/>
              </w:rPr>
              <w:t>Termination of Eligibility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3.04.</w:t>
            </w:r>
          </w:p>
        </w:tc>
        <w:tc>
          <w:tcPr>
            <w:tcW w:w="8260" w:type="dxa"/>
            <w:vAlign w:val="bottom"/>
          </w:tcPr>
          <w:p>
            <w:pPr>
              <w:ind w:left="220"/>
              <w:spacing w:after="0"/>
              <w:rPr>
                <w:sz w:val="20"/>
                <w:szCs w:val="20"/>
                <w:color w:val="auto"/>
              </w:rPr>
            </w:pPr>
            <w:r>
              <w:rPr>
                <w:rFonts w:ascii="Arial" w:cs="Arial" w:eastAsia="Arial" w:hAnsi="Arial"/>
                <w:sz w:val="18"/>
                <w:szCs w:val="18"/>
                <w:color w:val="auto"/>
              </w:rPr>
              <w:t>Termination of Participation</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70"/>
              <w:spacing w:after="0"/>
              <w:rPr>
                <w:sz w:val="20"/>
                <w:szCs w:val="20"/>
                <w:color w:val="auto"/>
              </w:rPr>
            </w:pPr>
            <w:r>
              <w:rPr>
                <w:rFonts w:ascii="Arial" w:cs="Arial" w:eastAsia="Arial" w:hAnsi="Arial"/>
                <w:sz w:val="18"/>
                <w:szCs w:val="18"/>
                <w:color w:val="auto"/>
                <w:w w:val="99"/>
              </w:rPr>
              <w:t>ARTICLE IV</w:t>
            </w:r>
          </w:p>
        </w:tc>
        <w:tc>
          <w:tcPr>
            <w:tcW w:w="178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70"/>
              <w:spacing w:after="0"/>
              <w:rPr>
                <w:sz w:val="20"/>
                <w:szCs w:val="20"/>
                <w:color w:val="auto"/>
              </w:rPr>
            </w:pPr>
            <w:r>
              <w:rPr>
                <w:rFonts w:ascii="Arial" w:cs="Arial" w:eastAsia="Arial" w:hAnsi="Arial"/>
                <w:sz w:val="18"/>
                <w:szCs w:val="18"/>
                <w:color w:val="auto"/>
                <w:w w:val="96"/>
              </w:rPr>
              <w:t>ELECTIVE DEFERRALS</w:t>
            </w:r>
          </w:p>
        </w:tc>
        <w:tc>
          <w:tcPr>
            <w:tcW w:w="178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4.01.</w:t>
            </w:r>
          </w:p>
        </w:tc>
        <w:tc>
          <w:tcPr>
            <w:tcW w:w="8260" w:type="dxa"/>
            <w:vAlign w:val="bottom"/>
          </w:tcPr>
          <w:p>
            <w:pPr>
              <w:ind w:left="220"/>
              <w:spacing w:after="0"/>
              <w:rPr>
                <w:sz w:val="20"/>
                <w:szCs w:val="20"/>
                <w:color w:val="auto"/>
              </w:rPr>
            </w:pPr>
            <w:r>
              <w:rPr>
                <w:rFonts w:ascii="Arial" w:cs="Arial" w:eastAsia="Arial" w:hAnsi="Arial"/>
                <w:sz w:val="18"/>
                <w:szCs w:val="18"/>
                <w:color w:val="auto"/>
              </w:rPr>
              <w:t>Elective Deferral Elections</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4.02.</w:t>
            </w:r>
          </w:p>
        </w:tc>
        <w:tc>
          <w:tcPr>
            <w:tcW w:w="8260" w:type="dxa"/>
            <w:vAlign w:val="bottom"/>
          </w:tcPr>
          <w:p>
            <w:pPr>
              <w:ind w:left="220"/>
              <w:spacing w:after="0"/>
              <w:rPr>
                <w:sz w:val="20"/>
                <w:szCs w:val="20"/>
                <w:color w:val="auto"/>
              </w:rPr>
            </w:pPr>
            <w:r>
              <w:rPr>
                <w:rFonts w:ascii="Arial" w:cs="Arial" w:eastAsia="Arial" w:hAnsi="Arial"/>
                <w:sz w:val="18"/>
                <w:szCs w:val="18"/>
                <w:color w:val="auto"/>
              </w:rPr>
              <w:t>No Election Changes During Plan Year</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4.03.</w:t>
            </w:r>
          </w:p>
        </w:tc>
        <w:tc>
          <w:tcPr>
            <w:tcW w:w="8260" w:type="dxa"/>
            <w:vAlign w:val="bottom"/>
          </w:tcPr>
          <w:p>
            <w:pPr>
              <w:ind w:left="220"/>
              <w:spacing w:after="0"/>
              <w:rPr>
                <w:sz w:val="20"/>
                <w:szCs w:val="20"/>
                <w:color w:val="auto"/>
              </w:rPr>
            </w:pPr>
            <w:r>
              <w:rPr>
                <w:rFonts w:ascii="Arial" w:cs="Arial" w:eastAsia="Arial" w:hAnsi="Arial"/>
                <w:sz w:val="18"/>
                <w:szCs w:val="18"/>
                <w:color w:val="auto"/>
              </w:rPr>
              <w:t>FICA and FUTA Taxes</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90"/>
              <w:spacing w:after="0"/>
              <w:rPr>
                <w:sz w:val="20"/>
                <w:szCs w:val="20"/>
                <w:color w:val="auto"/>
              </w:rPr>
            </w:pPr>
            <w:r>
              <w:rPr>
                <w:rFonts w:ascii="Arial" w:cs="Arial" w:eastAsia="Arial" w:hAnsi="Arial"/>
                <w:sz w:val="18"/>
                <w:szCs w:val="18"/>
                <w:color w:val="auto"/>
                <w:w w:val="98"/>
              </w:rPr>
              <w:t>ARTICLE V</w:t>
            </w:r>
          </w:p>
        </w:tc>
        <w:tc>
          <w:tcPr>
            <w:tcW w:w="178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70"/>
              <w:spacing w:after="0"/>
              <w:rPr>
                <w:sz w:val="20"/>
                <w:szCs w:val="20"/>
                <w:color w:val="auto"/>
              </w:rPr>
            </w:pPr>
            <w:r>
              <w:rPr>
                <w:rFonts w:ascii="Arial" w:cs="Arial" w:eastAsia="Arial" w:hAnsi="Arial"/>
                <w:sz w:val="18"/>
                <w:szCs w:val="18"/>
                <w:color w:val="auto"/>
                <w:w w:val="96"/>
              </w:rPr>
              <w:t>EMPLOYER CONTRIBUTIONS</w:t>
            </w:r>
          </w:p>
        </w:tc>
        <w:tc>
          <w:tcPr>
            <w:tcW w:w="1780" w:type="dxa"/>
            <w:vAlign w:val="bottom"/>
          </w:tcPr>
          <w:p>
            <w:pPr>
              <w:spacing w:after="0"/>
              <w:rPr>
                <w:sz w:val="24"/>
                <w:szCs w:val="24"/>
                <w:color w:val="auto"/>
              </w:rPr>
            </w:pP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5.01.</w:t>
            </w:r>
          </w:p>
        </w:tc>
        <w:tc>
          <w:tcPr>
            <w:tcW w:w="8260" w:type="dxa"/>
            <w:vAlign w:val="bottom"/>
          </w:tcPr>
          <w:p>
            <w:pPr>
              <w:ind w:left="220"/>
              <w:spacing w:after="0"/>
              <w:rPr>
                <w:sz w:val="20"/>
                <w:szCs w:val="20"/>
                <w:color w:val="auto"/>
              </w:rPr>
            </w:pPr>
            <w:r>
              <w:rPr>
                <w:rFonts w:ascii="Arial" w:cs="Arial" w:eastAsia="Arial" w:hAnsi="Arial"/>
                <w:sz w:val="18"/>
                <w:szCs w:val="18"/>
                <w:color w:val="auto"/>
              </w:rPr>
              <w:t>Discretionary Profit Sharing Contributions</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70"/>
              <w:spacing w:after="0"/>
              <w:rPr>
                <w:sz w:val="20"/>
                <w:szCs w:val="20"/>
                <w:color w:val="auto"/>
              </w:rPr>
            </w:pPr>
            <w:r>
              <w:rPr>
                <w:rFonts w:ascii="Arial" w:cs="Arial" w:eastAsia="Arial" w:hAnsi="Arial"/>
                <w:sz w:val="18"/>
                <w:szCs w:val="18"/>
                <w:color w:val="auto"/>
                <w:w w:val="99"/>
              </w:rPr>
              <w:t>ARTICLE VI</w:t>
            </w:r>
          </w:p>
        </w:tc>
        <w:tc>
          <w:tcPr>
            <w:tcW w:w="178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60" w:type="dxa"/>
            <w:vAlign w:val="bottom"/>
          </w:tcPr>
          <w:p>
            <w:pPr>
              <w:jc w:val="center"/>
              <w:ind w:left="270"/>
              <w:spacing w:after="0"/>
              <w:rPr>
                <w:sz w:val="20"/>
                <w:szCs w:val="20"/>
                <w:color w:val="auto"/>
              </w:rPr>
            </w:pPr>
            <w:r>
              <w:rPr>
                <w:rFonts w:ascii="Arial" w:cs="Arial" w:eastAsia="Arial" w:hAnsi="Arial"/>
                <w:sz w:val="18"/>
                <w:szCs w:val="18"/>
                <w:color w:val="auto"/>
                <w:w w:val="96"/>
              </w:rPr>
              <w:t>PARTICIPANT ACCOUNTS/ALLOCATION OF CONTRIBUTIONS</w:t>
            </w:r>
          </w:p>
        </w:tc>
        <w:tc>
          <w:tcPr>
            <w:tcW w:w="178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6.01.</w:t>
            </w:r>
          </w:p>
        </w:tc>
        <w:tc>
          <w:tcPr>
            <w:tcW w:w="8260" w:type="dxa"/>
            <w:vAlign w:val="bottom"/>
          </w:tcPr>
          <w:p>
            <w:pPr>
              <w:ind w:left="220"/>
              <w:spacing w:after="0"/>
              <w:rPr>
                <w:sz w:val="20"/>
                <w:szCs w:val="20"/>
                <w:color w:val="auto"/>
              </w:rPr>
            </w:pPr>
            <w:r>
              <w:rPr>
                <w:rFonts w:ascii="Arial" w:cs="Arial" w:eastAsia="Arial" w:hAnsi="Arial"/>
                <w:sz w:val="18"/>
                <w:szCs w:val="18"/>
                <w:color w:val="auto"/>
              </w:rPr>
              <w:t>Participant’s Accounts</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6.02.</w:t>
            </w:r>
          </w:p>
        </w:tc>
        <w:tc>
          <w:tcPr>
            <w:tcW w:w="8260" w:type="dxa"/>
            <w:vAlign w:val="bottom"/>
          </w:tcPr>
          <w:p>
            <w:pPr>
              <w:ind w:left="220"/>
              <w:spacing w:after="0"/>
              <w:rPr>
                <w:sz w:val="20"/>
                <w:szCs w:val="20"/>
                <w:color w:val="auto"/>
              </w:rPr>
            </w:pPr>
            <w:r>
              <w:rPr>
                <w:rFonts w:ascii="Arial" w:cs="Arial" w:eastAsia="Arial" w:hAnsi="Arial"/>
                <w:sz w:val="18"/>
                <w:szCs w:val="18"/>
                <w:color w:val="auto"/>
              </w:rPr>
              <w:t>Elective Deferrals</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6.03.</w:t>
            </w:r>
          </w:p>
        </w:tc>
        <w:tc>
          <w:tcPr>
            <w:tcW w:w="8260" w:type="dxa"/>
            <w:vAlign w:val="bottom"/>
          </w:tcPr>
          <w:p>
            <w:pPr>
              <w:ind w:left="220"/>
              <w:spacing w:after="0"/>
              <w:rPr>
                <w:sz w:val="20"/>
                <w:szCs w:val="20"/>
                <w:color w:val="auto"/>
              </w:rPr>
            </w:pPr>
            <w:r>
              <w:rPr>
                <w:rFonts w:ascii="Arial" w:cs="Arial" w:eastAsia="Arial" w:hAnsi="Arial"/>
                <w:sz w:val="18"/>
                <w:szCs w:val="18"/>
                <w:color w:val="auto"/>
              </w:rPr>
              <w:t>Profit Sharing Contributions</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1"/>
        </w:trPr>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7.01.</w:t>
            </w:r>
          </w:p>
        </w:tc>
        <w:tc>
          <w:tcPr>
            <w:tcW w:w="7740" w:type="dxa"/>
            <w:vAlign w:val="bottom"/>
          </w:tcPr>
          <w:p>
            <w:pPr>
              <w:ind w:left="180"/>
              <w:spacing w:after="0"/>
              <w:rPr>
                <w:sz w:val="20"/>
                <w:szCs w:val="20"/>
                <w:color w:val="auto"/>
              </w:rPr>
            </w:pPr>
            <w:r>
              <w:rPr>
                <w:rFonts w:ascii="Arial" w:cs="Arial" w:eastAsia="Arial" w:hAnsi="Arial"/>
                <w:sz w:val="18"/>
                <w:szCs w:val="18"/>
                <w:color w:val="auto"/>
              </w:rPr>
              <w:t>In General</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Pr>
          <w:p>
            <w:pPr>
              <w:jc w:val="center"/>
              <w:ind w:left="710"/>
              <w:spacing w:after="0"/>
              <w:rPr>
                <w:sz w:val="20"/>
                <w:szCs w:val="20"/>
                <w:color w:val="auto"/>
              </w:rPr>
            </w:pPr>
            <w:r>
              <w:rPr>
                <w:rFonts w:ascii="Arial" w:cs="Arial" w:eastAsia="Arial" w:hAnsi="Arial"/>
                <w:sz w:val="18"/>
                <w:szCs w:val="18"/>
                <w:color w:val="auto"/>
              </w:rPr>
              <w:t>ARTICLE VIII</w:t>
            </w:r>
          </w:p>
        </w:tc>
        <w:tc>
          <w:tcPr>
            <w:tcW w:w="224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Pr>
          <w:p>
            <w:pPr>
              <w:jc w:val="center"/>
              <w:ind w:left="710"/>
              <w:spacing w:after="0"/>
              <w:rPr>
                <w:sz w:val="20"/>
                <w:szCs w:val="20"/>
                <w:color w:val="auto"/>
              </w:rPr>
            </w:pPr>
            <w:r>
              <w:rPr>
                <w:rFonts w:ascii="Arial" w:cs="Arial" w:eastAsia="Arial" w:hAnsi="Arial"/>
                <w:sz w:val="18"/>
                <w:szCs w:val="18"/>
                <w:color w:val="auto"/>
                <w:w w:val="98"/>
              </w:rPr>
              <w:t>VESTING</w:t>
            </w:r>
          </w:p>
        </w:tc>
        <w:tc>
          <w:tcPr>
            <w:tcW w:w="224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8.01.</w:t>
            </w:r>
          </w:p>
        </w:tc>
        <w:tc>
          <w:tcPr>
            <w:tcW w:w="7740" w:type="dxa"/>
            <w:vAlign w:val="bottom"/>
          </w:tcPr>
          <w:p>
            <w:pPr>
              <w:ind w:left="180"/>
              <w:spacing w:after="0"/>
              <w:rPr>
                <w:sz w:val="20"/>
                <w:szCs w:val="20"/>
                <w:color w:val="auto"/>
              </w:rPr>
            </w:pPr>
            <w:r>
              <w:rPr>
                <w:rFonts w:ascii="Arial" w:cs="Arial" w:eastAsia="Arial" w:hAnsi="Arial"/>
                <w:sz w:val="18"/>
                <w:szCs w:val="18"/>
                <w:color w:val="auto"/>
              </w:rPr>
              <w:t>Elective Deferral Accounts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8.02.</w:t>
            </w:r>
          </w:p>
        </w:tc>
        <w:tc>
          <w:tcPr>
            <w:tcW w:w="774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8.03.</w:t>
            </w:r>
          </w:p>
        </w:tc>
        <w:tc>
          <w:tcPr>
            <w:tcW w:w="7740" w:type="dxa"/>
            <w:vAlign w:val="bottom"/>
          </w:tcPr>
          <w:p>
            <w:pPr>
              <w:ind w:left="180"/>
              <w:spacing w:after="0"/>
              <w:rPr>
                <w:sz w:val="20"/>
                <w:szCs w:val="20"/>
                <w:color w:val="auto"/>
              </w:rPr>
            </w:pPr>
            <w:r>
              <w:rPr>
                <w:rFonts w:ascii="Arial" w:cs="Arial" w:eastAsia="Arial" w:hAnsi="Arial"/>
                <w:sz w:val="18"/>
                <w:szCs w:val="18"/>
                <w:color w:val="auto"/>
              </w:rPr>
              <w:t>Full Vesting Rule</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8.04.</w:t>
            </w:r>
          </w:p>
        </w:tc>
        <w:tc>
          <w:tcPr>
            <w:tcW w:w="7740" w:type="dxa"/>
            <w:vAlign w:val="bottom"/>
          </w:tcPr>
          <w:p>
            <w:pPr>
              <w:ind w:left="180"/>
              <w:spacing w:after="0"/>
              <w:rPr>
                <w:sz w:val="20"/>
                <w:szCs w:val="20"/>
                <w:color w:val="auto"/>
              </w:rPr>
            </w:pPr>
            <w:r>
              <w:rPr>
                <w:rFonts w:ascii="Arial" w:cs="Arial" w:eastAsia="Arial" w:hAnsi="Arial"/>
                <w:sz w:val="18"/>
                <w:szCs w:val="18"/>
                <w:color w:val="auto"/>
              </w:rPr>
              <w:t>Forfeitures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Pr>
          <w:p>
            <w:pPr>
              <w:jc w:val="center"/>
              <w:ind w:left="710"/>
              <w:spacing w:after="0"/>
              <w:rPr>
                <w:sz w:val="20"/>
                <w:szCs w:val="20"/>
                <w:color w:val="auto"/>
              </w:rPr>
            </w:pPr>
            <w:r>
              <w:rPr>
                <w:rFonts w:ascii="Arial" w:cs="Arial" w:eastAsia="Arial" w:hAnsi="Arial"/>
                <w:sz w:val="18"/>
                <w:szCs w:val="18"/>
                <w:color w:val="auto"/>
                <w:w w:val="99"/>
              </w:rPr>
              <w:t>ARTICLE IX</w:t>
            </w:r>
          </w:p>
        </w:tc>
        <w:tc>
          <w:tcPr>
            <w:tcW w:w="224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Pr>
          <w:p>
            <w:pPr>
              <w:jc w:val="center"/>
              <w:ind w:left="730"/>
              <w:spacing w:after="0"/>
              <w:rPr>
                <w:sz w:val="20"/>
                <w:szCs w:val="20"/>
                <w:color w:val="auto"/>
              </w:rPr>
            </w:pPr>
            <w:r>
              <w:rPr>
                <w:rFonts w:ascii="Arial" w:cs="Arial" w:eastAsia="Arial" w:hAnsi="Arial"/>
                <w:sz w:val="18"/>
                <w:szCs w:val="18"/>
                <w:color w:val="auto"/>
                <w:w w:val="97"/>
              </w:rPr>
              <w:t>DISTRIBUTIONS</w:t>
            </w:r>
          </w:p>
        </w:tc>
        <w:tc>
          <w:tcPr>
            <w:tcW w:w="224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9.01.</w:t>
            </w:r>
          </w:p>
        </w:tc>
        <w:tc>
          <w:tcPr>
            <w:tcW w:w="7740" w:type="dxa"/>
            <w:vAlign w:val="bottom"/>
          </w:tcPr>
          <w:p>
            <w:pPr>
              <w:ind w:left="180"/>
              <w:spacing w:after="0"/>
              <w:rPr>
                <w:sz w:val="20"/>
                <w:szCs w:val="20"/>
                <w:color w:val="auto"/>
              </w:rPr>
            </w:pPr>
            <w:r>
              <w:rPr>
                <w:rFonts w:ascii="Arial" w:cs="Arial" w:eastAsia="Arial" w:hAnsi="Arial"/>
                <w:sz w:val="18"/>
                <w:szCs w:val="18"/>
                <w:color w:val="auto"/>
              </w:rPr>
              <w:t>Election of Time and Form of Payment</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9.02.</w:t>
            </w:r>
          </w:p>
        </w:tc>
        <w:tc>
          <w:tcPr>
            <w:tcW w:w="7740" w:type="dxa"/>
            <w:vAlign w:val="bottom"/>
          </w:tcPr>
          <w:p>
            <w:pPr>
              <w:ind w:left="180"/>
              <w:spacing w:after="0"/>
              <w:rPr>
                <w:sz w:val="20"/>
                <w:szCs w:val="20"/>
                <w:color w:val="auto"/>
              </w:rPr>
            </w:pPr>
            <w:r>
              <w:rPr>
                <w:rFonts w:ascii="Arial" w:cs="Arial" w:eastAsia="Arial" w:hAnsi="Arial"/>
                <w:sz w:val="18"/>
                <w:szCs w:val="18"/>
                <w:color w:val="auto"/>
              </w:rPr>
              <w:t>Change of Distribution Election Method</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9.03.</w:t>
            </w:r>
          </w:p>
        </w:tc>
        <w:tc>
          <w:tcPr>
            <w:tcW w:w="7740" w:type="dxa"/>
            <w:vAlign w:val="bottom"/>
          </w:tcPr>
          <w:p>
            <w:pPr>
              <w:ind w:left="180"/>
              <w:spacing w:after="0"/>
              <w:rPr>
                <w:sz w:val="20"/>
                <w:szCs w:val="20"/>
                <w:color w:val="auto"/>
              </w:rPr>
            </w:pPr>
            <w:r>
              <w:rPr>
                <w:rFonts w:ascii="Arial" w:cs="Arial" w:eastAsia="Arial" w:hAnsi="Arial"/>
                <w:sz w:val="18"/>
                <w:szCs w:val="18"/>
                <w:color w:val="auto"/>
              </w:rPr>
              <w:t>Times for Distribution</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9.04.</w:t>
            </w:r>
          </w:p>
        </w:tc>
        <w:tc>
          <w:tcPr>
            <w:tcW w:w="7740" w:type="dxa"/>
            <w:vAlign w:val="bottom"/>
          </w:tcPr>
          <w:p>
            <w:pPr>
              <w:ind w:left="180"/>
              <w:spacing w:after="0"/>
              <w:rPr>
                <w:sz w:val="20"/>
                <w:szCs w:val="20"/>
                <w:color w:val="auto"/>
              </w:rPr>
            </w:pPr>
            <w:r>
              <w:rPr>
                <w:rFonts w:ascii="Arial" w:cs="Arial" w:eastAsia="Arial" w:hAnsi="Arial"/>
                <w:sz w:val="18"/>
                <w:szCs w:val="18"/>
                <w:color w:val="auto"/>
              </w:rPr>
              <w:t>Distribution Delay for Specified Employees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9.05.</w:t>
            </w:r>
          </w:p>
        </w:tc>
        <w:tc>
          <w:tcPr>
            <w:tcW w:w="7740" w:type="dxa"/>
            <w:vAlign w:val="bottom"/>
          </w:tcPr>
          <w:p>
            <w:pPr>
              <w:ind w:left="180"/>
              <w:spacing w:after="0"/>
              <w:rPr>
                <w:sz w:val="20"/>
                <w:szCs w:val="20"/>
                <w:color w:val="auto"/>
              </w:rPr>
            </w:pPr>
            <w:r>
              <w:rPr>
                <w:rFonts w:ascii="Arial" w:cs="Arial" w:eastAsia="Arial" w:hAnsi="Arial"/>
                <w:sz w:val="18"/>
                <w:szCs w:val="18"/>
                <w:color w:val="auto"/>
              </w:rPr>
              <w:t>De Minimis Amounts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9.06.</w:t>
            </w:r>
          </w:p>
        </w:tc>
        <w:tc>
          <w:tcPr>
            <w:tcW w:w="7740" w:type="dxa"/>
            <w:vAlign w:val="bottom"/>
          </w:tcPr>
          <w:p>
            <w:pPr>
              <w:ind w:left="180"/>
              <w:spacing w:after="0"/>
              <w:rPr>
                <w:sz w:val="20"/>
                <w:szCs w:val="20"/>
                <w:color w:val="auto"/>
              </w:rPr>
            </w:pPr>
            <w:r>
              <w:rPr>
                <w:rFonts w:ascii="Arial" w:cs="Arial" w:eastAsia="Arial" w:hAnsi="Arial"/>
                <w:sz w:val="18"/>
                <w:szCs w:val="18"/>
                <w:color w:val="auto"/>
              </w:rPr>
              <w:t>Delayed Distributions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9.07.</w:t>
            </w:r>
          </w:p>
        </w:tc>
        <w:tc>
          <w:tcPr>
            <w:tcW w:w="7740" w:type="dxa"/>
            <w:vAlign w:val="bottom"/>
          </w:tcPr>
          <w:p>
            <w:pPr>
              <w:ind w:left="180"/>
              <w:spacing w:after="0"/>
              <w:rPr>
                <w:sz w:val="20"/>
                <w:szCs w:val="20"/>
                <w:color w:val="auto"/>
              </w:rPr>
            </w:pPr>
            <w:r>
              <w:rPr>
                <w:rFonts w:ascii="Arial" w:cs="Arial" w:eastAsia="Arial" w:hAnsi="Arial"/>
                <w:sz w:val="18"/>
                <w:szCs w:val="18"/>
                <w:color w:val="auto"/>
              </w:rPr>
              <w:t>Withholding</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9.08.</w:t>
            </w:r>
          </w:p>
        </w:tc>
        <w:tc>
          <w:tcPr>
            <w:tcW w:w="7740" w:type="dxa"/>
            <w:vAlign w:val="bottom"/>
          </w:tcPr>
          <w:p>
            <w:pPr>
              <w:ind w:left="180"/>
              <w:spacing w:after="0"/>
              <w:rPr>
                <w:sz w:val="20"/>
                <w:szCs w:val="20"/>
                <w:color w:val="auto"/>
              </w:rPr>
            </w:pPr>
            <w:r>
              <w:rPr>
                <w:rFonts w:ascii="Arial" w:cs="Arial" w:eastAsia="Arial" w:hAnsi="Arial"/>
                <w:sz w:val="18"/>
                <w:szCs w:val="18"/>
                <w:color w:val="auto"/>
              </w:rPr>
              <w:t>Death Distribution</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9.09.</w:t>
            </w:r>
          </w:p>
        </w:tc>
        <w:tc>
          <w:tcPr>
            <w:tcW w:w="7740" w:type="dxa"/>
            <w:vAlign w:val="bottom"/>
          </w:tcPr>
          <w:p>
            <w:pPr>
              <w:ind w:left="180"/>
              <w:spacing w:after="0"/>
              <w:rPr>
                <w:sz w:val="20"/>
                <w:szCs w:val="20"/>
                <w:color w:val="auto"/>
              </w:rPr>
            </w:pPr>
            <w:r>
              <w:rPr>
                <w:rFonts w:ascii="Arial" w:cs="Arial" w:eastAsia="Arial" w:hAnsi="Arial"/>
                <w:sz w:val="18"/>
                <w:szCs w:val="18"/>
                <w:color w:val="auto"/>
              </w:rPr>
              <w:t>Beneficiary Designations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9.10.</w:t>
            </w:r>
          </w:p>
        </w:tc>
        <w:tc>
          <w:tcPr>
            <w:tcW w:w="7740" w:type="dxa"/>
            <w:vAlign w:val="bottom"/>
          </w:tcPr>
          <w:p>
            <w:pPr>
              <w:ind w:left="180"/>
              <w:spacing w:after="0"/>
              <w:rPr>
                <w:sz w:val="20"/>
                <w:szCs w:val="20"/>
                <w:color w:val="auto"/>
              </w:rPr>
            </w:pPr>
            <w:r>
              <w:rPr>
                <w:rFonts w:ascii="Arial" w:cs="Arial" w:eastAsia="Arial" w:hAnsi="Arial"/>
                <w:sz w:val="18"/>
                <w:szCs w:val="18"/>
                <w:color w:val="auto"/>
              </w:rPr>
              <w:t>Payments to Minors or Incompetents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9.11.</w:t>
            </w:r>
          </w:p>
        </w:tc>
        <w:tc>
          <w:tcPr>
            <w:tcW w:w="7740" w:type="dxa"/>
            <w:vAlign w:val="bottom"/>
          </w:tcPr>
          <w:p>
            <w:pPr>
              <w:ind w:left="180"/>
              <w:spacing w:after="0"/>
              <w:rPr>
                <w:sz w:val="20"/>
                <w:szCs w:val="20"/>
                <w:color w:val="auto"/>
              </w:rPr>
            </w:pPr>
            <w:r>
              <w:rPr>
                <w:rFonts w:ascii="Arial" w:cs="Arial" w:eastAsia="Arial" w:hAnsi="Arial"/>
                <w:sz w:val="18"/>
                <w:szCs w:val="18"/>
                <w:color w:val="auto"/>
              </w:rPr>
              <w:t>Undistributable Accounts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9.12.</w:t>
            </w:r>
          </w:p>
        </w:tc>
        <w:tc>
          <w:tcPr>
            <w:tcW w:w="7740" w:type="dxa"/>
            <w:vAlign w:val="bottom"/>
          </w:tcPr>
          <w:p>
            <w:pPr>
              <w:ind w:left="180"/>
              <w:spacing w:after="0"/>
              <w:rPr>
                <w:sz w:val="20"/>
                <w:szCs w:val="20"/>
                <w:color w:val="auto"/>
              </w:rPr>
            </w:pPr>
            <w:r>
              <w:rPr>
                <w:rFonts w:ascii="Arial" w:cs="Arial" w:eastAsia="Arial" w:hAnsi="Arial"/>
                <w:sz w:val="18"/>
                <w:szCs w:val="18"/>
                <w:color w:val="auto"/>
              </w:rPr>
              <w:t>Additional Payments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Pr>
          <w:p>
            <w:pPr>
              <w:jc w:val="center"/>
              <w:ind w:left="730"/>
              <w:spacing w:after="0"/>
              <w:rPr>
                <w:sz w:val="20"/>
                <w:szCs w:val="20"/>
                <w:color w:val="auto"/>
              </w:rPr>
            </w:pPr>
            <w:r>
              <w:rPr>
                <w:rFonts w:ascii="Arial" w:cs="Arial" w:eastAsia="Arial" w:hAnsi="Arial"/>
                <w:sz w:val="18"/>
                <w:szCs w:val="18"/>
                <w:color w:val="auto"/>
                <w:w w:val="98"/>
              </w:rPr>
              <w:t>ARTICLE X</w:t>
            </w:r>
          </w:p>
        </w:tc>
        <w:tc>
          <w:tcPr>
            <w:tcW w:w="224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Pr>
          <w:p>
            <w:pPr>
              <w:jc w:val="center"/>
              <w:ind w:left="710"/>
              <w:spacing w:after="0"/>
              <w:rPr>
                <w:sz w:val="20"/>
                <w:szCs w:val="20"/>
                <w:color w:val="auto"/>
              </w:rPr>
            </w:pPr>
            <w:r>
              <w:rPr>
                <w:rFonts w:ascii="Arial" w:cs="Arial" w:eastAsia="Arial" w:hAnsi="Arial"/>
                <w:sz w:val="18"/>
                <w:szCs w:val="18"/>
                <w:color w:val="auto"/>
                <w:w w:val="95"/>
              </w:rPr>
              <w:t>UNFORESEEABLE EMERGENCIES</w:t>
            </w:r>
          </w:p>
        </w:tc>
        <w:tc>
          <w:tcPr>
            <w:tcW w:w="2240" w:type="dxa"/>
            <w:vAlign w:val="bottom"/>
          </w:tcPr>
          <w:p>
            <w:pPr>
              <w:spacing w:after="0"/>
              <w:rPr>
                <w:sz w:val="24"/>
                <w:szCs w:val="24"/>
                <w:color w:val="auto"/>
              </w:rPr>
            </w:pP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10.01.</w:t>
            </w:r>
          </w:p>
        </w:tc>
        <w:tc>
          <w:tcPr>
            <w:tcW w:w="7740" w:type="dxa"/>
            <w:vAlign w:val="bottom"/>
          </w:tcPr>
          <w:p>
            <w:pPr>
              <w:ind w:left="180"/>
              <w:spacing w:after="0"/>
              <w:rPr>
                <w:sz w:val="20"/>
                <w:szCs w:val="20"/>
                <w:color w:val="auto"/>
              </w:rPr>
            </w:pPr>
            <w:r>
              <w:rPr>
                <w:rFonts w:ascii="Arial" w:cs="Arial" w:eastAsia="Arial" w:hAnsi="Arial"/>
                <w:sz w:val="18"/>
                <w:szCs w:val="18"/>
                <w:color w:val="auto"/>
              </w:rPr>
              <w:t>Unforeseeable Emergencies</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Pr>
          <w:p>
            <w:pPr>
              <w:jc w:val="center"/>
              <w:ind w:left="710"/>
              <w:spacing w:after="0"/>
              <w:rPr>
                <w:sz w:val="20"/>
                <w:szCs w:val="20"/>
                <w:color w:val="auto"/>
              </w:rPr>
            </w:pPr>
            <w:r>
              <w:rPr>
                <w:rFonts w:ascii="Arial" w:cs="Arial" w:eastAsia="Arial" w:hAnsi="Arial"/>
                <w:sz w:val="18"/>
                <w:szCs w:val="18"/>
                <w:color w:val="auto"/>
                <w:w w:val="99"/>
              </w:rPr>
              <w:t>ARTICLE XI</w:t>
            </w:r>
          </w:p>
        </w:tc>
        <w:tc>
          <w:tcPr>
            <w:tcW w:w="224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Pr>
          <w:p>
            <w:pPr>
              <w:jc w:val="center"/>
              <w:ind w:left="730"/>
              <w:spacing w:after="0"/>
              <w:rPr>
                <w:sz w:val="20"/>
                <w:szCs w:val="20"/>
                <w:color w:val="auto"/>
              </w:rPr>
            </w:pPr>
            <w:r>
              <w:rPr>
                <w:rFonts w:ascii="Arial" w:cs="Arial" w:eastAsia="Arial" w:hAnsi="Arial"/>
                <w:sz w:val="18"/>
                <w:szCs w:val="18"/>
                <w:color w:val="auto"/>
                <w:w w:val="98"/>
              </w:rPr>
              <w:t>ADMINISTRATION OF THE PLAN</w:t>
            </w:r>
          </w:p>
        </w:tc>
        <w:tc>
          <w:tcPr>
            <w:tcW w:w="224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11.01.</w:t>
            </w:r>
          </w:p>
        </w:tc>
        <w:tc>
          <w:tcPr>
            <w:tcW w:w="7740" w:type="dxa"/>
            <w:vAlign w:val="bottom"/>
          </w:tcPr>
          <w:p>
            <w:pPr>
              <w:ind w:left="180"/>
              <w:spacing w:after="0"/>
              <w:rPr>
                <w:sz w:val="20"/>
                <w:szCs w:val="20"/>
                <w:color w:val="auto"/>
              </w:rPr>
            </w:pPr>
            <w:r>
              <w:rPr>
                <w:rFonts w:ascii="Arial" w:cs="Arial" w:eastAsia="Arial" w:hAnsi="Arial"/>
                <w:sz w:val="18"/>
                <w:szCs w:val="18"/>
                <w:color w:val="auto"/>
              </w:rPr>
              <w:t>Plan Administrator</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11.02.</w:t>
            </w:r>
          </w:p>
        </w:tc>
        <w:tc>
          <w:tcPr>
            <w:tcW w:w="7740" w:type="dxa"/>
            <w:vAlign w:val="bottom"/>
          </w:tcPr>
          <w:p>
            <w:pPr>
              <w:ind w:left="180"/>
              <w:spacing w:after="0"/>
              <w:rPr>
                <w:sz w:val="20"/>
                <w:szCs w:val="20"/>
                <w:color w:val="auto"/>
              </w:rPr>
            </w:pPr>
            <w:r>
              <w:rPr>
                <w:rFonts w:ascii="Arial" w:cs="Arial" w:eastAsia="Arial" w:hAnsi="Arial"/>
                <w:sz w:val="18"/>
                <w:szCs w:val="18"/>
                <w:color w:val="auto"/>
              </w:rPr>
              <w:t>Powers of Plan Administrator</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11.03.</w:t>
            </w:r>
          </w:p>
        </w:tc>
        <w:tc>
          <w:tcPr>
            <w:tcW w:w="7740" w:type="dxa"/>
            <w:vAlign w:val="bottom"/>
          </w:tcPr>
          <w:p>
            <w:pPr>
              <w:ind w:left="180"/>
              <w:spacing w:after="0"/>
              <w:rPr>
                <w:sz w:val="20"/>
                <w:szCs w:val="20"/>
                <w:color w:val="auto"/>
              </w:rPr>
            </w:pPr>
            <w:r>
              <w:rPr>
                <w:rFonts w:ascii="Arial" w:cs="Arial" w:eastAsia="Arial" w:hAnsi="Arial"/>
                <w:sz w:val="18"/>
                <w:szCs w:val="18"/>
                <w:color w:val="auto"/>
              </w:rPr>
              <w:t>Decisions of Plan Administrator</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11.04.</w:t>
            </w:r>
          </w:p>
        </w:tc>
        <w:tc>
          <w:tcPr>
            <w:tcW w:w="774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11.05.</w:t>
            </w:r>
          </w:p>
        </w:tc>
        <w:tc>
          <w:tcPr>
            <w:tcW w:w="7740" w:type="dxa"/>
            <w:vAlign w:val="bottom"/>
          </w:tcPr>
          <w:p>
            <w:pPr>
              <w:ind w:left="180"/>
              <w:spacing w:after="0"/>
              <w:rPr>
                <w:sz w:val="20"/>
                <w:szCs w:val="20"/>
                <w:color w:val="auto"/>
              </w:rPr>
            </w:pPr>
            <w:r>
              <w:rPr>
                <w:rFonts w:ascii="Arial" w:cs="Arial" w:eastAsia="Arial" w:hAnsi="Arial"/>
                <w:sz w:val="18"/>
                <w:szCs w:val="18"/>
                <w:color w:val="auto"/>
              </w:rPr>
              <w:t>Eligibility To Participate</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ind w:left="140"/>
              <w:spacing w:after="0"/>
              <w:rPr>
                <w:sz w:val="20"/>
                <w:szCs w:val="20"/>
                <w:color w:val="auto"/>
              </w:rPr>
            </w:pPr>
            <w:r>
              <w:rPr>
                <w:rFonts w:ascii="Arial" w:cs="Arial" w:eastAsia="Arial" w:hAnsi="Arial"/>
                <w:sz w:val="18"/>
                <w:szCs w:val="18"/>
                <w:color w:val="auto"/>
              </w:rPr>
              <w:t>11.06.</w:t>
            </w:r>
          </w:p>
        </w:tc>
        <w:tc>
          <w:tcPr>
            <w:tcW w:w="774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60" w:type="dxa"/>
            <w:vAlign w:val="bottom"/>
          </w:tcPr>
          <w:p>
            <w:pPr>
              <w:jc w:val="center"/>
              <w:ind w:left="510"/>
              <w:spacing w:after="0"/>
              <w:rPr>
                <w:sz w:val="20"/>
                <w:szCs w:val="20"/>
                <w:color w:val="auto"/>
              </w:rPr>
            </w:pPr>
            <w:r>
              <w:rPr>
                <w:rFonts w:ascii="Arial" w:cs="Arial" w:eastAsia="Arial" w:hAnsi="Arial"/>
                <w:sz w:val="18"/>
                <w:szCs w:val="18"/>
                <w:color w:val="auto"/>
              </w:rPr>
              <w:t>ARTICLE XII</w:t>
            </w:r>
          </w:p>
        </w:tc>
        <w:tc>
          <w:tcPr>
            <w:tcW w:w="2020" w:type="dxa"/>
            <w:vAlign w:val="bottom"/>
          </w:tcPr>
          <w:p>
            <w:pPr>
              <w:spacing w:after="0"/>
              <w:rPr>
                <w:sz w:val="20"/>
                <w:szCs w:val="20"/>
                <w:color w:val="auto"/>
              </w:rPr>
            </w:pP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60" w:type="dxa"/>
            <w:vAlign w:val="bottom"/>
          </w:tcPr>
          <w:p>
            <w:pPr>
              <w:jc w:val="center"/>
              <w:ind w:left="490"/>
              <w:spacing w:after="0"/>
              <w:rPr>
                <w:sz w:val="20"/>
                <w:szCs w:val="20"/>
                <w:color w:val="auto"/>
              </w:rPr>
            </w:pPr>
            <w:r>
              <w:rPr>
                <w:rFonts w:ascii="Arial" w:cs="Arial" w:eastAsia="Arial" w:hAnsi="Arial"/>
                <w:sz w:val="18"/>
                <w:szCs w:val="18"/>
                <w:color w:val="auto"/>
                <w:w w:val="95"/>
              </w:rPr>
              <w:t>CLAIMS PROCEDURES</w:t>
            </w:r>
          </w:p>
        </w:tc>
        <w:tc>
          <w:tcPr>
            <w:tcW w:w="202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12.01.</w:t>
            </w:r>
          </w:p>
        </w:tc>
        <w:tc>
          <w:tcPr>
            <w:tcW w:w="7960" w:type="dxa"/>
            <w:vAlign w:val="bottom"/>
          </w:tcPr>
          <w:p>
            <w:pPr>
              <w:ind w:left="180"/>
              <w:spacing w:after="0"/>
              <w:rPr>
                <w:sz w:val="20"/>
                <w:szCs w:val="20"/>
                <w:color w:val="auto"/>
              </w:rPr>
            </w:pPr>
            <w:r>
              <w:rPr>
                <w:rFonts w:ascii="Arial" w:cs="Arial" w:eastAsia="Arial" w:hAnsi="Arial"/>
                <w:sz w:val="18"/>
                <w:szCs w:val="18"/>
                <w:color w:val="auto"/>
              </w:rPr>
              <w:t>Filing a Claim</w:t>
            </w:r>
          </w:p>
        </w:tc>
        <w:tc>
          <w:tcPr>
            <w:tcW w:w="2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12.02.</w:t>
            </w:r>
          </w:p>
        </w:tc>
        <w:tc>
          <w:tcPr>
            <w:tcW w:w="7960" w:type="dxa"/>
            <w:vAlign w:val="bottom"/>
          </w:tcPr>
          <w:p>
            <w:pPr>
              <w:ind w:left="180"/>
              <w:spacing w:after="0"/>
              <w:rPr>
                <w:sz w:val="20"/>
                <w:szCs w:val="20"/>
                <w:color w:val="auto"/>
              </w:rPr>
            </w:pPr>
            <w:r>
              <w:rPr>
                <w:rFonts w:ascii="Arial" w:cs="Arial" w:eastAsia="Arial" w:hAnsi="Arial"/>
                <w:sz w:val="18"/>
                <w:szCs w:val="18"/>
                <w:color w:val="auto"/>
              </w:rPr>
              <w:t>Review of Initial Claim</w:t>
            </w:r>
          </w:p>
        </w:tc>
        <w:tc>
          <w:tcPr>
            <w:tcW w:w="2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12.03.</w:t>
            </w:r>
          </w:p>
        </w:tc>
        <w:tc>
          <w:tcPr>
            <w:tcW w:w="7960" w:type="dxa"/>
            <w:vAlign w:val="bottom"/>
          </w:tcPr>
          <w:p>
            <w:pPr>
              <w:ind w:left="180"/>
              <w:spacing w:after="0"/>
              <w:rPr>
                <w:sz w:val="20"/>
                <w:szCs w:val="20"/>
                <w:color w:val="auto"/>
              </w:rPr>
            </w:pPr>
            <w:r>
              <w:rPr>
                <w:rFonts w:ascii="Arial" w:cs="Arial" w:eastAsia="Arial" w:hAnsi="Arial"/>
                <w:sz w:val="18"/>
                <w:szCs w:val="18"/>
                <w:color w:val="auto"/>
              </w:rPr>
              <w:t>Appeal of Denial of Initial Claim</w:t>
            </w:r>
          </w:p>
        </w:tc>
        <w:tc>
          <w:tcPr>
            <w:tcW w:w="2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12.04.</w:t>
            </w:r>
          </w:p>
        </w:tc>
        <w:tc>
          <w:tcPr>
            <w:tcW w:w="7960" w:type="dxa"/>
            <w:vAlign w:val="bottom"/>
          </w:tcPr>
          <w:p>
            <w:pPr>
              <w:ind w:left="180"/>
              <w:spacing w:after="0"/>
              <w:rPr>
                <w:sz w:val="20"/>
                <w:szCs w:val="20"/>
                <w:color w:val="auto"/>
              </w:rPr>
            </w:pPr>
            <w:r>
              <w:rPr>
                <w:rFonts w:ascii="Arial" w:cs="Arial" w:eastAsia="Arial" w:hAnsi="Arial"/>
                <w:sz w:val="18"/>
                <w:szCs w:val="18"/>
                <w:color w:val="auto"/>
              </w:rPr>
              <w:t>Review of Appeal</w:t>
            </w: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12.05.</w:t>
            </w:r>
          </w:p>
        </w:tc>
        <w:tc>
          <w:tcPr>
            <w:tcW w:w="7960" w:type="dxa"/>
            <w:vAlign w:val="bottom"/>
          </w:tcPr>
          <w:p>
            <w:pPr>
              <w:ind w:left="180"/>
              <w:spacing w:after="0"/>
              <w:rPr>
                <w:sz w:val="20"/>
                <w:szCs w:val="20"/>
                <w:color w:val="auto"/>
              </w:rPr>
            </w:pPr>
            <w:r>
              <w:rPr>
                <w:rFonts w:ascii="Arial" w:cs="Arial" w:eastAsia="Arial" w:hAnsi="Arial"/>
                <w:sz w:val="18"/>
                <w:szCs w:val="18"/>
                <w:color w:val="auto"/>
              </w:rPr>
              <w:t>Disability Claims</w:t>
            </w: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12.06.</w:t>
            </w:r>
          </w:p>
        </w:tc>
        <w:tc>
          <w:tcPr>
            <w:tcW w:w="7960" w:type="dxa"/>
            <w:vAlign w:val="bottom"/>
          </w:tcPr>
          <w:p>
            <w:pPr>
              <w:ind w:left="180"/>
              <w:spacing w:after="0"/>
              <w:rPr>
                <w:sz w:val="20"/>
                <w:szCs w:val="20"/>
                <w:color w:val="auto"/>
              </w:rPr>
            </w:pPr>
            <w:r>
              <w:rPr>
                <w:rFonts w:ascii="Arial" w:cs="Arial" w:eastAsia="Arial" w:hAnsi="Arial"/>
                <w:sz w:val="18"/>
                <w:szCs w:val="18"/>
                <w:color w:val="auto"/>
              </w:rPr>
              <w:t>Form of Notice to Claimant</w:t>
            </w: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12.07.</w:t>
            </w:r>
          </w:p>
        </w:tc>
        <w:tc>
          <w:tcPr>
            <w:tcW w:w="7960" w:type="dxa"/>
            <w:vAlign w:val="bottom"/>
          </w:tcPr>
          <w:p>
            <w:pPr>
              <w:ind w:left="180"/>
              <w:spacing w:after="0"/>
              <w:rPr>
                <w:sz w:val="20"/>
                <w:szCs w:val="20"/>
                <w:color w:val="auto"/>
              </w:rPr>
            </w:pPr>
            <w:r>
              <w:rPr>
                <w:rFonts w:ascii="Arial" w:cs="Arial" w:eastAsia="Arial" w:hAnsi="Arial"/>
                <w:sz w:val="18"/>
                <w:szCs w:val="18"/>
                <w:color w:val="auto"/>
              </w:rPr>
              <w:t>Discretionary Authority of Plan Administrator</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12.08.</w:t>
            </w:r>
          </w:p>
        </w:tc>
        <w:tc>
          <w:tcPr>
            <w:tcW w:w="7960" w:type="dxa"/>
            <w:vAlign w:val="bottom"/>
          </w:tcPr>
          <w:p>
            <w:pPr>
              <w:ind w:left="180"/>
              <w:spacing w:after="0"/>
              <w:rPr>
                <w:sz w:val="20"/>
                <w:szCs w:val="20"/>
                <w:color w:val="auto"/>
              </w:rPr>
            </w:pPr>
            <w:r>
              <w:rPr>
                <w:rFonts w:ascii="Arial" w:cs="Arial" w:eastAsia="Arial" w:hAnsi="Arial"/>
                <w:sz w:val="18"/>
                <w:szCs w:val="18"/>
                <w:color w:val="auto"/>
              </w:rPr>
              <w:t>Exhaustion of Claims Procedures</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60" w:type="dxa"/>
            <w:vAlign w:val="bottom"/>
          </w:tcPr>
          <w:p>
            <w:pPr>
              <w:jc w:val="center"/>
              <w:ind w:left="490"/>
              <w:spacing w:after="0"/>
              <w:rPr>
                <w:sz w:val="20"/>
                <w:szCs w:val="20"/>
                <w:color w:val="auto"/>
              </w:rPr>
            </w:pPr>
            <w:r>
              <w:rPr>
                <w:rFonts w:ascii="Arial" w:cs="Arial" w:eastAsia="Arial" w:hAnsi="Arial"/>
                <w:sz w:val="18"/>
                <w:szCs w:val="18"/>
                <w:color w:val="auto"/>
              </w:rPr>
              <w:t>ARTICLE XIII</w:t>
            </w:r>
          </w:p>
        </w:tc>
        <w:tc>
          <w:tcPr>
            <w:tcW w:w="202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60" w:type="dxa"/>
            <w:vAlign w:val="bottom"/>
          </w:tcPr>
          <w:p>
            <w:pPr>
              <w:jc w:val="center"/>
              <w:ind w:left="490"/>
              <w:spacing w:after="0"/>
              <w:rPr>
                <w:sz w:val="20"/>
                <w:szCs w:val="20"/>
                <w:color w:val="auto"/>
              </w:rPr>
            </w:pPr>
            <w:r>
              <w:rPr>
                <w:rFonts w:ascii="Arial" w:cs="Arial" w:eastAsia="Arial" w:hAnsi="Arial"/>
                <w:sz w:val="18"/>
                <w:szCs w:val="18"/>
                <w:color w:val="auto"/>
                <w:w w:val="99"/>
              </w:rPr>
              <w:t>FUNDING</w:t>
            </w:r>
          </w:p>
        </w:tc>
        <w:tc>
          <w:tcPr>
            <w:tcW w:w="202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13.01.</w:t>
            </w:r>
          </w:p>
        </w:tc>
        <w:tc>
          <w:tcPr>
            <w:tcW w:w="7960" w:type="dxa"/>
            <w:vAlign w:val="bottom"/>
          </w:tcPr>
          <w:p>
            <w:pPr>
              <w:ind w:left="180"/>
              <w:spacing w:after="0"/>
              <w:rPr>
                <w:sz w:val="20"/>
                <w:szCs w:val="20"/>
                <w:color w:val="auto"/>
              </w:rPr>
            </w:pPr>
            <w:r>
              <w:rPr>
                <w:rFonts w:ascii="Arial" w:cs="Arial" w:eastAsia="Arial" w:hAnsi="Arial"/>
                <w:sz w:val="18"/>
                <w:szCs w:val="18"/>
                <w:color w:val="auto"/>
              </w:rPr>
              <w:t>Establishment of the Trust</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13.02.</w:t>
            </w:r>
          </w:p>
        </w:tc>
        <w:tc>
          <w:tcPr>
            <w:tcW w:w="7960" w:type="dxa"/>
            <w:vAlign w:val="bottom"/>
          </w:tcPr>
          <w:p>
            <w:pPr>
              <w:ind w:left="180"/>
              <w:spacing w:after="0"/>
              <w:rPr>
                <w:sz w:val="20"/>
                <w:szCs w:val="20"/>
                <w:color w:val="auto"/>
              </w:rPr>
            </w:pPr>
            <w:r>
              <w:rPr>
                <w:rFonts w:ascii="Arial" w:cs="Arial" w:eastAsia="Arial" w:hAnsi="Arial"/>
                <w:sz w:val="18"/>
                <w:szCs w:val="18"/>
                <w:color w:val="auto"/>
              </w:rPr>
              <w:t>Participants Remain General Creditors</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60" w:type="dxa"/>
            <w:vAlign w:val="bottom"/>
          </w:tcPr>
          <w:p>
            <w:pPr>
              <w:jc w:val="center"/>
              <w:ind w:left="510"/>
              <w:spacing w:after="0"/>
              <w:rPr>
                <w:sz w:val="20"/>
                <w:szCs w:val="20"/>
                <w:color w:val="auto"/>
              </w:rPr>
            </w:pPr>
            <w:r>
              <w:rPr>
                <w:rFonts w:ascii="Arial" w:cs="Arial" w:eastAsia="Arial" w:hAnsi="Arial"/>
                <w:sz w:val="18"/>
                <w:szCs w:val="18"/>
                <w:color w:val="auto"/>
              </w:rPr>
              <w:t>ARTICLE XIV</w:t>
            </w:r>
          </w:p>
        </w:tc>
        <w:tc>
          <w:tcPr>
            <w:tcW w:w="202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60" w:type="dxa"/>
            <w:vAlign w:val="bottom"/>
          </w:tcPr>
          <w:p>
            <w:pPr>
              <w:jc w:val="center"/>
              <w:ind w:left="490"/>
              <w:spacing w:after="0"/>
              <w:rPr>
                <w:sz w:val="20"/>
                <w:szCs w:val="20"/>
                <w:color w:val="auto"/>
              </w:rPr>
            </w:pPr>
            <w:r>
              <w:rPr>
                <w:rFonts w:ascii="Arial" w:cs="Arial" w:eastAsia="Arial" w:hAnsi="Arial"/>
                <w:sz w:val="18"/>
                <w:szCs w:val="18"/>
                <w:color w:val="auto"/>
                <w:w w:val="97"/>
              </w:rPr>
              <w:t>MODIFICATION OR TERMINATION OF PLAN</w:t>
            </w:r>
          </w:p>
        </w:tc>
        <w:tc>
          <w:tcPr>
            <w:tcW w:w="202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14.01.</w:t>
            </w:r>
          </w:p>
        </w:tc>
        <w:tc>
          <w:tcPr>
            <w:tcW w:w="7960" w:type="dxa"/>
            <w:vAlign w:val="bottom"/>
          </w:tcPr>
          <w:p>
            <w:pPr>
              <w:ind w:left="180"/>
              <w:spacing w:after="0"/>
              <w:rPr>
                <w:sz w:val="20"/>
                <w:szCs w:val="20"/>
                <w:color w:val="auto"/>
              </w:rPr>
            </w:pPr>
            <w:r>
              <w:rPr>
                <w:rFonts w:ascii="Arial" w:cs="Arial" w:eastAsia="Arial" w:hAnsi="Arial"/>
                <w:sz w:val="18"/>
                <w:szCs w:val="18"/>
                <w:color w:val="auto"/>
              </w:rPr>
              <w:t>Company’s Obligations Limited</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14.02.</w:t>
            </w:r>
          </w:p>
        </w:tc>
        <w:tc>
          <w:tcPr>
            <w:tcW w:w="7960" w:type="dxa"/>
            <w:vAlign w:val="bottom"/>
          </w:tcPr>
          <w:p>
            <w:pPr>
              <w:ind w:left="180"/>
              <w:spacing w:after="0"/>
              <w:rPr>
                <w:sz w:val="20"/>
                <w:szCs w:val="20"/>
                <w:color w:val="auto"/>
              </w:rPr>
            </w:pPr>
            <w:r>
              <w:rPr>
                <w:rFonts w:ascii="Arial" w:cs="Arial" w:eastAsia="Arial" w:hAnsi="Arial"/>
                <w:sz w:val="18"/>
                <w:szCs w:val="18"/>
                <w:color w:val="auto"/>
              </w:rPr>
              <w:t>Right To Amend or Terminate</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14.03.</w:t>
            </w:r>
          </w:p>
        </w:tc>
        <w:tc>
          <w:tcPr>
            <w:tcW w:w="796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60" w:type="dxa"/>
            <w:vAlign w:val="bottom"/>
          </w:tcPr>
          <w:p>
            <w:pPr>
              <w:jc w:val="center"/>
              <w:ind w:left="490"/>
              <w:spacing w:after="0"/>
              <w:rPr>
                <w:sz w:val="20"/>
                <w:szCs w:val="20"/>
                <w:color w:val="auto"/>
              </w:rPr>
            </w:pPr>
            <w:r>
              <w:rPr>
                <w:rFonts w:ascii="Arial" w:cs="Arial" w:eastAsia="Arial" w:hAnsi="Arial"/>
                <w:sz w:val="18"/>
                <w:szCs w:val="18"/>
                <w:color w:val="auto"/>
              </w:rPr>
              <w:t>ARTICLE XV</w:t>
            </w:r>
          </w:p>
        </w:tc>
        <w:tc>
          <w:tcPr>
            <w:tcW w:w="202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60" w:type="dxa"/>
            <w:vAlign w:val="bottom"/>
          </w:tcPr>
          <w:p>
            <w:pPr>
              <w:jc w:val="center"/>
              <w:ind w:left="490"/>
              <w:spacing w:after="0"/>
              <w:rPr>
                <w:sz w:val="20"/>
                <w:szCs w:val="20"/>
                <w:color w:val="auto"/>
              </w:rPr>
            </w:pPr>
            <w:r>
              <w:rPr>
                <w:rFonts w:ascii="Arial" w:cs="Arial" w:eastAsia="Arial" w:hAnsi="Arial"/>
                <w:sz w:val="18"/>
                <w:szCs w:val="18"/>
                <w:color w:val="auto"/>
                <w:w w:val="95"/>
              </w:rPr>
              <w:t>GENERAL PROVISIONS</w:t>
            </w:r>
          </w:p>
        </w:tc>
        <w:tc>
          <w:tcPr>
            <w:tcW w:w="2020" w:type="dxa"/>
            <w:vAlign w:val="bottom"/>
          </w:tcPr>
          <w:p>
            <w:pPr>
              <w:spacing w:after="0"/>
              <w:rPr>
                <w:sz w:val="24"/>
                <w:szCs w:val="24"/>
                <w:color w:val="auto"/>
              </w:rPr>
            </w:pP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15.01.</w:t>
            </w:r>
          </w:p>
        </w:tc>
        <w:tc>
          <w:tcPr>
            <w:tcW w:w="7960" w:type="dxa"/>
            <w:vAlign w:val="bottom"/>
          </w:tcPr>
          <w:p>
            <w:pPr>
              <w:ind w:left="180"/>
              <w:spacing w:after="0"/>
              <w:rPr>
                <w:sz w:val="20"/>
                <w:szCs w:val="20"/>
                <w:color w:val="auto"/>
              </w:rPr>
            </w:pPr>
            <w:r>
              <w:rPr>
                <w:rFonts w:ascii="Arial" w:cs="Arial" w:eastAsia="Arial" w:hAnsi="Arial"/>
                <w:sz w:val="18"/>
                <w:szCs w:val="18"/>
                <w:color w:val="auto"/>
              </w:rPr>
              <w:t>Plan Information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15.02.</w:t>
            </w:r>
          </w:p>
        </w:tc>
        <w:tc>
          <w:tcPr>
            <w:tcW w:w="7960" w:type="dxa"/>
            <w:vAlign w:val="bottom"/>
          </w:tcPr>
          <w:p>
            <w:pPr>
              <w:ind w:left="180"/>
              <w:spacing w:after="0"/>
              <w:rPr>
                <w:sz w:val="20"/>
                <w:szCs w:val="20"/>
                <w:color w:val="auto"/>
              </w:rPr>
            </w:pPr>
            <w:r>
              <w:rPr>
                <w:rFonts w:ascii="Arial" w:cs="Arial" w:eastAsia="Arial" w:hAnsi="Arial"/>
                <w:sz w:val="18"/>
                <w:szCs w:val="18"/>
                <w:color w:val="auto"/>
              </w:rPr>
              <w:t>Inalienability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15.03.</w:t>
            </w:r>
          </w:p>
        </w:tc>
        <w:tc>
          <w:tcPr>
            <w:tcW w:w="7960" w:type="dxa"/>
            <w:vAlign w:val="bottom"/>
          </w:tcPr>
          <w:p>
            <w:pPr>
              <w:ind w:left="180"/>
              <w:spacing w:after="0"/>
              <w:rPr>
                <w:sz w:val="20"/>
                <w:szCs w:val="20"/>
                <w:color w:val="auto"/>
              </w:rPr>
            </w:pPr>
            <w:r>
              <w:rPr>
                <w:rFonts w:ascii="Arial" w:cs="Arial" w:eastAsia="Arial" w:hAnsi="Arial"/>
                <w:sz w:val="18"/>
                <w:szCs w:val="18"/>
                <w:color w:val="auto"/>
              </w:rPr>
              <w:t>Rights and Duties</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15.04.</w:t>
            </w:r>
          </w:p>
        </w:tc>
        <w:tc>
          <w:tcPr>
            <w:tcW w:w="7960" w:type="dxa"/>
            <w:vAlign w:val="bottom"/>
          </w:tcPr>
          <w:p>
            <w:pPr>
              <w:ind w:left="180"/>
              <w:spacing w:after="0"/>
              <w:rPr>
                <w:sz w:val="20"/>
                <w:szCs w:val="20"/>
                <w:color w:val="auto"/>
              </w:rPr>
            </w:pPr>
            <w:r>
              <w:rPr>
                <w:rFonts w:ascii="Arial" w:cs="Arial" w:eastAsia="Arial" w:hAnsi="Arial"/>
                <w:sz w:val="18"/>
                <w:szCs w:val="18"/>
                <w:color w:val="auto"/>
              </w:rPr>
              <w:t>No Enlargement of Employment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15.05.</w:t>
            </w:r>
          </w:p>
        </w:tc>
        <w:tc>
          <w:tcPr>
            <w:tcW w:w="7960" w:type="dxa"/>
            <w:vAlign w:val="bottom"/>
          </w:tcPr>
          <w:p>
            <w:pPr>
              <w:ind w:left="180"/>
              <w:spacing w:after="0"/>
              <w:rPr>
                <w:sz w:val="20"/>
                <w:szCs w:val="20"/>
                <w:color w:val="auto"/>
              </w:rPr>
            </w:pPr>
            <w:r>
              <w:rPr>
                <w:rFonts w:ascii="Arial" w:cs="Arial" w:eastAsia="Arial" w:hAnsi="Arial"/>
                <w:sz w:val="18"/>
                <w:szCs w:val="18"/>
                <w:color w:val="auto"/>
              </w:rPr>
              <w:t>Apportionment of Duties</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15.06.</w:t>
            </w:r>
          </w:p>
        </w:tc>
        <w:tc>
          <w:tcPr>
            <w:tcW w:w="7960" w:type="dxa"/>
            <w:vAlign w:val="bottom"/>
          </w:tcPr>
          <w:p>
            <w:pPr>
              <w:ind w:left="180"/>
              <w:spacing w:after="0"/>
              <w:rPr>
                <w:sz w:val="20"/>
                <w:szCs w:val="20"/>
                <w:color w:val="auto"/>
              </w:rPr>
            </w:pPr>
            <w:r>
              <w:rPr>
                <w:rFonts w:ascii="Arial" w:cs="Arial" w:eastAsia="Arial" w:hAnsi="Arial"/>
                <w:sz w:val="18"/>
                <w:szCs w:val="18"/>
                <w:color w:val="auto"/>
              </w:rPr>
              <w:t>Applicable Law</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15.07.</w:t>
            </w:r>
          </w:p>
        </w:tc>
        <w:tc>
          <w:tcPr>
            <w:tcW w:w="7960" w:type="dxa"/>
            <w:vAlign w:val="bottom"/>
          </w:tcPr>
          <w:p>
            <w:pPr>
              <w:ind w:left="180"/>
              <w:spacing w:after="0"/>
              <w:rPr>
                <w:sz w:val="20"/>
                <w:szCs w:val="20"/>
                <w:color w:val="auto"/>
              </w:rPr>
            </w:pPr>
            <w:r>
              <w:rPr>
                <w:rFonts w:ascii="Arial" w:cs="Arial" w:eastAsia="Arial" w:hAnsi="Arial"/>
                <w:sz w:val="18"/>
                <w:szCs w:val="18"/>
                <w:color w:val="auto"/>
              </w:rPr>
              <w:t>Conformance with Applicable Laws</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15.08.</w:t>
            </w:r>
          </w:p>
        </w:tc>
        <w:tc>
          <w:tcPr>
            <w:tcW w:w="7960" w:type="dxa"/>
            <w:vAlign w:val="bottom"/>
          </w:tcPr>
          <w:p>
            <w:pPr>
              <w:ind w:left="180"/>
              <w:spacing w:after="0"/>
              <w:rPr>
                <w:sz w:val="20"/>
                <w:szCs w:val="20"/>
                <w:color w:val="auto"/>
              </w:rPr>
            </w:pPr>
            <w:r>
              <w:rPr>
                <w:rFonts w:ascii="Arial" w:cs="Arial" w:eastAsia="Arial" w:hAnsi="Arial"/>
                <w:sz w:val="18"/>
                <w:szCs w:val="18"/>
                <w:color w:val="auto"/>
              </w:rPr>
              <w:t>Binding Effect</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15.09.</w:t>
            </w:r>
          </w:p>
        </w:tc>
        <w:tc>
          <w:tcPr>
            <w:tcW w:w="79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15.10.</w:t>
            </w:r>
          </w:p>
        </w:tc>
        <w:tc>
          <w:tcPr>
            <w:tcW w:w="7960" w:type="dxa"/>
            <w:vAlign w:val="bottom"/>
          </w:tcPr>
          <w:p>
            <w:pPr>
              <w:ind w:left="180"/>
              <w:spacing w:after="0"/>
              <w:rPr>
                <w:sz w:val="20"/>
                <w:szCs w:val="20"/>
                <w:color w:val="auto"/>
              </w:rPr>
            </w:pPr>
            <w:r>
              <w:rPr>
                <w:rFonts w:ascii="Arial" w:cs="Arial" w:eastAsia="Arial" w:hAnsi="Arial"/>
                <w:sz w:val="18"/>
                <w:szCs w:val="18"/>
                <w:color w:val="auto"/>
              </w:rPr>
              <w:t>Captions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15.11.</w:t>
            </w:r>
          </w:p>
        </w:tc>
        <w:tc>
          <w:tcPr>
            <w:tcW w:w="7960" w:type="dxa"/>
            <w:vAlign w:val="bottom"/>
          </w:tcPr>
          <w:p>
            <w:pPr>
              <w:ind w:left="180"/>
              <w:spacing w:after="0"/>
              <w:rPr>
                <w:sz w:val="20"/>
                <w:szCs w:val="20"/>
                <w:color w:val="auto"/>
              </w:rPr>
            </w:pPr>
            <w:r>
              <w:rPr>
                <w:rFonts w:ascii="Arial" w:cs="Arial" w:eastAsia="Arial" w:hAnsi="Arial"/>
                <w:sz w:val="18"/>
                <w:szCs w:val="18"/>
                <w:color w:val="auto"/>
              </w:rPr>
              <w:t>Receipt and Release</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Section</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15.12.</w:t>
            </w:r>
          </w:p>
        </w:tc>
        <w:tc>
          <w:tcPr>
            <w:tcW w:w="7960" w:type="dxa"/>
            <w:vAlign w:val="bottom"/>
          </w:tcPr>
          <w:p>
            <w:pPr>
              <w:ind w:left="180"/>
              <w:spacing w:after="0"/>
              <w:rPr>
                <w:sz w:val="20"/>
                <w:szCs w:val="20"/>
                <w:color w:val="auto"/>
              </w:rPr>
            </w:pPr>
            <w:r>
              <w:rPr>
                <w:rFonts w:ascii="Arial" w:cs="Arial" w:eastAsia="Arial" w:hAnsi="Arial"/>
                <w:sz w:val="18"/>
                <w:szCs w:val="18"/>
                <w:color w:val="auto"/>
              </w:rPr>
              <w:t>Offsets</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COMMUNICATIONS SALES &amp; LEASING, INC. DEFERRED COMPENSATION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10,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jc w:val="both"/>
        <w:ind w:firstLine="761"/>
        <w:spacing w:after="0" w:line="295" w:lineRule="auto"/>
        <w:rPr>
          <w:sz w:val="20"/>
          <w:szCs w:val="20"/>
          <w:color w:val="auto"/>
        </w:rPr>
      </w:pPr>
      <w:r>
        <w:rPr>
          <w:rFonts w:ascii="Arial" w:cs="Arial" w:eastAsia="Arial" w:hAnsi="Arial"/>
          <w:sz w:val="16"/>
          <w:szCs w:val="16"/>
          <w:b w:val="1"/>
          <w:bCs w:val="1"/>
          <w:color w:val="auto"/>
        </w:rPr>
        <w:t>Section 1.01. The Plan</w:t>
      </w:r>
      <w:r>
        <w:rPr>
          <w:rFonts w:ascii="Arial" w:cs="Arial" w:eastAsia="Arial" w:hAnsi="Arial"/>
          <w:sz w:val="16"/>
          <w:szCs w:val="16"/>
          <w:color w:val="auto"/>
        </w:rPr>
        <w:t>. As of August 10, 2015 (the “Effective Date”), CSL National, LP hereby adopts the Communications Sales &amp; Leasing,</w:t>
      </w:r>
      <w:r>
        <w:rPr>
          <w:rFonts w:ascii="Arial" w:cs="Arial" w:eastAsia="Arial" w:hAnsi="Arial"/>
          <w:sz w:val="16"/>
          <w:szCs w:val="16"/>
          <w:b w:val="1"/>
          <w:bCs w:val="1"/>
          <w:color w:val="auto"/>
        </w:rPr>
        <w:t xml:space="preserve"> </w:t>
      </w:r>
      <w:r>
        <w:rPr>
          <w:rFonts w:ascii="Arial" w:cs="Arial" w:eastAsia="Arial" w:hAnsi="Arial"/>
          <w:sz w:val="16"/>
          <w:szCs w:val="16"/>
          <w:color w:val="auto"/>
        </w:rPr>
        <w:t>Inc. Deferred Compensation Plan (the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 for the exemptions provided in, and shall be administered in a manner consistent with, Sections 201, 301 and 401 of ERISA and Section 409A of the Internal Revenue Code of 1986, as amended (the “Code”). This introduction and the following Articles, as may be amended from time to time, comprise the Plan.</w:t>
      </w:r>
    </w:p>
    <w:p>
      <w:pPr>
        <w:spacing w:after="0" w:line="156" w:lineRule="exact"/>
        <w:rPr>
          <w:sz w:val="20"/>
          <w:szCs w:val="20"/>
          <w:color w:val="auto"/>
        </w:rPr>
      </w:pPr>
    </w:p>
    <w:p>
      <w:pPr>
        <w:jc w:val="both"/>
        <w:ind w:firstLine="761"/>
        <w:spacing w:after="0" w:line="347" w:lineRule="auto"/>
        <w:rPr>
          <w:sz w:val="20"/>
          <w:szCs w:val="20"/>
          <w:color w:val="auto"/>
        </w:rPr>
      </w:pPr>
      <w:r>
        <w:rPr>
          <w:rFonts w:ascii="Arial" w:cs="Arial" w:eastAsia="Arial" w:hAnsi="Arial"/>
          <w:sz w:val="16"/>
          <w:szCs w:val="16"/>
          <w:b w:val="1"/>
          <w:bCs w:val="1"/>
          <w:color w:val="auto"/>
        </w:rPr>
        <w:t>Section 1.02. Applicability</w:t>
      </w:r>
      <w:r>
        <w:rPr>
          <w:rFonts w:ascii="Arial" w:cs="Arial" w:eastAsia="Arial" w:hAnsi="Arial"/>
          <w:sz w:val="16"/>
          <w:szCs w:val="16"/>
          <w:color w:val="auto"/>
        </w:rPr>
        <w:t>. The terms and provisions of the Plan, as hereinafter set forth and as may be amended from time to time, establish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obligations with respect to Participants on and after the Effective Date and to transactions under the Plan on and after such date.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2.01. In General</w:t>
      </w:r>
      <w:r>
        <w:rPr>
          <w:rFonts w:ascii="Arial" w:cs="Arial" w:eastAsia="Arial" w:hAnsi="Arial"/>
          <w:sz w:val="18"/>
          <w:szCs w:val="18"/>
          <w:color w:val="auto"/>
        </w:rPr>
        <w:t>. The following words and phrases shall have the following meanings unless a different meaning is plainly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context:</w:t>
      </w:r>
    </w:p>
    <w:p>
      <w:pPr>
        <w:spacing w:after="0" w:line="166" w:lineRule="exact"/>
        <w:rPr>
          <w:sz w:val="20"/>
          <w:szCs w:val="20"/>
          <w:color w:val="auto"/>
        </w:rPr>
      </w:pPr>
    </w:p>
    <w:p>
      <w:pPr>
        <w:ind w:left="760" w:firstLine="719"/>
        <w:spacing w:after="0" w:line="277" w:lineRule="auto"/>
        <w:tabs>
          <w:tab w:leader="none" w:pos="23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Active Participant</w:t>
      </w:r>
      <w:r>
        <w:rPr>
          <w:rFonts w:ascii="Arial" w:cs="Arial" w:eastAsia="Arial" w:hAnsi="Arial"/>
          <w:sz w:val="18"/>
          <w:szCs w:val="18"/>
          <w:color w:val="auto"/>
        </w:rPr>
        <w:t>” means, for each Plan Year, a Participant who has enrolled in the Plan for any portion of the Plan Year by authorizing Elective Deferrals in accordance with Section 4.01.</w:t>
      </w:r>
    </w:p>
    <w:p>
      <w:pPr>
        <w:spacing w:after="0" w:line="170" w:lineRule="exact"/>
        <w:rPr>
          <w:rFonts w:ascii="Arial" w:cs="Arial" w:eastAsia="Arial" w:hAnsi="Arial"/>
          <w:sz w:val="18"/>
          <w:szCs w:val="18"/>
          <w:color w:val="auto"/>
        </w:rPr>
      </w:pPr>
    </w:p>
    <w:p>
      <w:pPr>
        <w:jc w:val="both"/>
        <w:ind w:left="760" w:firstLine="719"/>
        <w:spacing w:after="0" w:line="264" w:lineRule="auto"/>
        <w:tabs>
          <w:tab w:leader="none" w:pos="2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corporation, trade or business which is, together with the Employer, a member of a controlled group of corporations or an affiliated service group or under common control (within the meaning of Code Section 414(b) or (c)), but only for the period during which such other entity is so affiliated with the Employer.</w:t>
      </w:r>
    </w:p>
    <w:p>
      <w:pPr>
        <w:spacing w:after="0" w:line="181" w:lineRule="exact"/>
        <w:rPr>
          <w:rFonts w:ascii="Arial" w:cs="Arial" w:eastAsia="Arial" w:hAnsi="Arial"/>
          <w:sz w:val="18"/>
          <w:szCs w:val="18"/>
          <w:color w:val="auto"/>
        </w:rPr>
      </w:pPr>
    </w:p>
    <w:p>
      <w:pPr>
        <w:jc w:val="both"/>
        <w:ind w:left="760" w:firstLine="719"/>
        <w:spacing w:after="0" w:line="279" w:lineRule="auto"/>
        <w:tabs>
          <w:tab w:leader="none" w:pos="23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Base Compensation</w:t>
      </w:r>
      <w:r>
        <w:rPr>
          <w:rFonts w:ascii="Arial" w:cs="Arial" w:eastAsia="Arial" w:hAnsi="Arial"/>
          <w:sz w:val="17"/>
          <w:szCs w:val="17"/>
          <w:color w:val="auto"/>
        </w:rPr>
        <w:t>” means the amount of a Participant’s basic or regular rate of remuneration paid to the Participant by the Employer (in the course of the Employer’s trade or business) during the Plan Year, including the amount of remuneration otherwise excludable from the gross income of the Participant under a salary reduction agreement by reason of the application of Code Section 125, 401(k), 402(e)(3) or 132(f) but excluding the amount of any overtime, bonuses or incentive pay, and stock options paid for such period.</w:t>
      </w:r>
    </w:p>
    <w:p>
      <w:pPr>
        <w:spacing w:after="0" w:line="171" w:lineRule="exact"/>
        <w:rPr>
          <w:rFonts w:ascii="Arial" w:cs="Arial" w:eastAsia="Arial" w:hAnsi="Arial"/>
          <w:sz w:val="17"/>
          <w:szCs w:val="17"/>
          <w:color w:val="auto"/>
        </w:rPr>
      </w:pPr>
    </w:p>
    <w:p>
      <w:pPr>
        <w:ind w:left="760" w:firstLine="719"/>
        <w:spacing w:after="0" w:line="277" w:lineRule="auto"/>
        <w:tabs>
          <w:tab w:leader="none" w:pos="2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Beneficiary</w:t>
      </w:r>
      <w:r>
        <w:rPr>
          <w:rFonts w:ascii="Arial" w:cs="Arial" w:eastAsia="Arial" w:hAnsi="Arial"/>
          <w:sz w:val="18"/>
          <w:szCs w:val="18"/>
          <w:color w:val="auto"/>
        </w:rPr>
        <w:t>” means the individual(s) and/or trust(s) entitled to receive benefits under the Plan upon the death of a Participant in accordance with Section 9.08.</w:t>
      </w:r>
    </w:p>
    <w:p>
      <w:pPr>
        <w:spacing w:after="0" w:line="170" w:lineRule="exact"/>
        <w:rPr>
          <w:rFonts w:ascii="Arial" w:cs="Arial" w:eastAsia="Arial" w:hAnsi="Arial"/>
          <w:sz w:val="18"/>
          <w:szCs w:val="18"/>
          <w:color w:val="auto"/>
        </w:rPr>
      </w:pPr>
    </w:p>
    <w:p>
      <w:pPr>
        <w:ind w:left="2320" w:hanging="841"/>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as from time to time constituted.</w:t>
      </w:r>
    </w:p>
    <w:p>
      <w:pPr>
        <w:spacing w:after="0" w:line="225" w:lineRule="exact"/>
        <w:rPr>
          <w:rFonts w:ascii="Arial" w:cs="Arial" w:eastAsia="Arial" w:hAnsi="Arial"/>
          <w:sz w:val="18"/>
          <w:szCs w:val="18"/>
          <w:color w:val="auto"/>
        </w:rPr>
      </w:pPr>
    </w:p>
    <w:p>
      <w:pPr>
        <w:ind w:left="760" w:firstLine="719"/>
        <w:spacing w:after="0" w:line="277" w:lineRule="auto"/>
        <w:tabs>
          <w:tab w:leader="none" w:pos="22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Bonus</w:t>
      </w:r>
      <w:r>
        <w:rPr>
          <w:rFonts w:ascii="Arial" w:cs="Arial" w:eastAsia="Arial" w:hAnsi="Arial"/>
          <w:sz w:val="18"/>
          <w:szCs w:val="18"/>
          <w:color w:val="auto"/>
        </w:rPr>
        <w:t>” means the Compensation otherwise payable currently or within two and one-half months following the Plan Year end to a Participant under a bonus plan or arrangement of an Employer.</w:t>
      </w:r>
    </w:p>
    <w:p>
      <w:pPr>
        <w:spacing w:after="0" w:line="170" w:lineRule="exact"/>
        <w:rPr>
          <w:rFonts w:ascii="Arial" w:cs="Arial" w:eastAsia="Arial" w:hAnsi="Arial"/>
          <w:sz w:val="18"/>
          <w:szCs w:val="18"/>
          <w:color w:val="auto"/>
        </w:rPr>
      </w:pPr>
    </w:p>
    <w:p>
      <w:pPr>
        <w:ind w:left="2340" w:hanging="861"/>
        <w:spacing w:after="0"/>
        <w:tabs>
          <w:tab w:leader="none" w:pos="2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if at any time subsequent to the Effective Date, any of the following events shall have occurred:</w:t>
      </w:r>
    </w:p>
    <w:p>
      <w:pPr>
        <w:spacing w:after="0" w:line="248" w:lineRule="exact"/>
        <w:rPr>
          <w:rFonts w:ascii="Arial" w:cs="Arial" w:eastAsia="Arial" w:hAnsi="Arial"/>
          <w:sz w:val="16"/>
          <w:szCs w:val="16"/>
          <w:color w:val="auto"/>
        </w:rPr>
      </w:pPr>
    </w:p>
    <w:p>
      <w:pPr>
        <w:jc w:val="both"/>
        <w:ind w:left="1520" w:firstLine="669"/>
        <w:spacing w:after="0" w:line="272" w:lineRule="auto"/>
        <w:tabs>
          <w:tab w:leader="none" w:pos="2998"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Section 14(d)(2) of the Securities Exchange Act of 1934, as amended (the “Exchange Act”)(each, a “Person”), of beneficial ownership (within the meaning of Rule 13d-3 promulgated under the Exchange Act) of voting securities of the Company where such acquisition causes any such Person to own fifty percent (50%) or more of the combined voting power of the then outstanding voting securities of the Company entitled to vote generally in the election of directors (the “Outstanding Voting Securities”); provided, however, that for purposes of this definition, any acquisition by any corporation pursuant to a transaction that complies with clauses (A), (B) and (C) of subparagraph (iii) below shall not be deemed to result in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both"/>
        <w:ind w:left="320" w:firstLine="669"/>
        <w:spacing w:after="0" w:line="255" w:lineRule="auto"/>
        <w:tabs>
          <w:tab w:leader="none" w:pos="1848"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9" w:lineRule="exact"/>
        <w:rPr>
          <w:rFonts w:ascii="Arial" w:cs="Arial" w:eastAsia="Arial" w:hAnsi="Arial"/>
          <w:sz w:val="18"/>
          <w:szCs w:val="18"/>
          <w:color w:val="auto"/>
        </w:rPr>
      </w:pPr>
    </w:p>
    <w:p>
      <w:pPr>
        <w:jc w:val="both"/>
        <w:ind w:left="320" w:firstLine="669"/>
        <w:spacing w:after="0" w:line="291" w:lineRule="auto"/>
        <w:tabs>
          <w:tab w:leader="none" w:pos="1898" w:val="left"/>
        </w:tabs>
        <w:numPr>
          <w:ilvl w:val="2"/>
          <w:numId w:val="12"/>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or sale or other disposition of more than fifty percent (50%) of the assets of the Company (a “Business Combination”), in each case, unless, following such Business Combination,</w:t>
      </w:r>
    </w:p>
    <w:p>
      <w:pPr>
        <w:jc w:val="both"/>
        <w:ind w:left="320" w:firstLine="9"/>
        <w:spacing w:after="0" w:line="267" w:lineRule="auto"/>
        <w:tabs>
          <w:tab w:leader="none" w:pos="6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or substantially all of the individuals and entities who were the beneficial owners, respectively, of the Outstanding Voting Securities immediately prior to such Business Combination beneficially own, directly or indirectly, at least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the action of the Board, providing for such Business Combination; or</w:t>
      </w:r>
    </w:p>
    <w:p>
      <w:pPr>
        <w:spacing w:after="0" w:line="182" w:lineRule="exact"/>
        <w:rPr>
          <w:rFonts w:ascii="Arial" w:cs="Arial" w:eastAsia="Arial" w:hAnsi="Arial"/>
          <w:sz w:val="17"/>
          <w:szCs w:val="17"/>
          <w:color w:val="auto"/>
        </w:rPr>
      </w:pPr>
    </w:p>
    <w:p>
      <w:pPr>
        <w:jc w:val="both"/>
        <w:ind w:left="-440" w:firstLine="719"/>
        <w:spacing w:after="0" w:line="264" w:lineRule="auto"/>
        <w:tabs>
          <w:tab w:leader="none" w:pos="11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Reference to a specific Section of the Code shall include such Section, any regulation interpreting such Section and any comparable provision of any future legislation amending, supplementing or superseding such Section.</w:t>
      </w:r>
    </w:p>
    <w:p>
      <w:pPr>
        <w:spacing w:after="0" w:line="181" w:lineRule="exact"/>
        <w:rPr>
          <w:rFonts w:ascii="Arial" w:cs="Arial" w:eastAsia="Arial" w:hAnsi="Arial"/>
          <w:sz w:val="18"/>
          <w:szCs w:val="18"/>
          <w:color w:val="auto"/>
        </w:rPr>
      </w:pPr>
    </w:p>
    <w:p>
      <w:pPr>
        <w:ind w:left="-440" w:firstLine="719"/>
        <w:spacing w:after="0" w:line="277" w:lineRule="auto"/>
        <w:tabs>
          <w:tab w:leader="none" w:pos="10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Communications Sales &amp; Leasing, Inc. Unless otherwise delegated by the Board of Directors, the Compensation Committee of the Company shall act on behalf of the Company for purposes of the Plan.</w:t>
      </w:r>
    </w:p>
    <w:p>
      <w:pPr>
        <w:spacing w:after="0" w:line="170" w:lineRule="exact"/>
        <w:rPr>
          <w:rFonts w:ascii="Arial" w:cs="Arial" w:eastAsia="Arial" w:hAnsi="Arial"/>
          <w:sz w:val="18"/>
          <w:szCs w:val="18"/>
          <w:color w:val="auto"/>
        </w:rPr>
      </w:pPr>
    </w:p>
    <w:p>
      <w:pPr>
        <w:jc w:val="both"/>
        <w:ind w:left="-440" w:firstLine="719"/>
        <w:spacing w:after="0" w:line="218" w:lineRule="exact"/>
        <w:tabs>
          <w:tab w:leader="none" w:pos="10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w:t>
      </w:r>
      <w:r>
        <w:rPr>
          <w:rFonts w:ascii="Arial" w:cs="Arial" w:eastAsia="Arial" w:hAnsi="Arial"/>
          <w:sz w:val="16"/>
          <w:szCs w:val="16"/>
          <w:color w:val="auto"/>
        </w:rPr>
        <w:t>” means wages (within the meaning of Section 3401(a) of the Code) and all other payments of compensation which an Employer is required to report in Box 1 (“wages, tips, other compensation”) of IRS Form W</w:t>
      </w:r>
      <w:r>
        <w:rPr>
          <w:rFonts w:ascii="MS PGothic" w:cs="MS PGothic" w:eastAsia="MS PGothic" w:hAnsi="MS PGothic"/>
          <w:sz w:val="16"/>
          <w:szCs w:val="16"/>
          <w:color w:val="auto"/>
        </w:rPr>
        <w:t>‑</w:t>
      </w:r>
      <w:r>
        <w:rPr>
          <w:rFonts w:ascii="Arial" w:cs="Arial" w:eastAsia="Arial" w:hAnsi="Arial"/>
          <w:sz w:val="16"/>
          <w:szCs w:val="16"/>
          <w:color w:val="auto"/>
        </w:rPr>
        <w:t>2, (i) including the aggregate of any Elective Deferrals credited to his or her Elective Deferral Account and any other amounts (A) contributed by an Employer on his or her behalf to an employee benefit plan pursuant to a salary reduction agreement and (B) not includible in gross income under Section 125, 132(f) or 402(e)(3) of the Code; but (ii) excluding amounts paid or reimbursed by the Employer for moving expenses incurred by the Participant, to the extent that at the time of payment it is reasonable to believe that such amounts will qualify as a qualified moving expense reimbursement (within the meaning of Section 132(a)(6) of the Code); and (iii) determined without regard to any rules that limit the remuneration included in wages based on the nature or location of the employment or the services performed (such as the agricultural labor exception).</w:t>
      </w:r>
    </w:p>
    <w:p>
      <w:pPr>
        <w:spacing w:after="0" w:line="203" w:lineRule="exact"/>
        <w:rPr>
          <w:rFonts w:ascii="Arial" w:cs="Arial" w:eastAsia="Arial" w:hAnsi="Arial"/>
          <w:sz w:val="16"/>
          <w:szCs w:val="16"/>
          <w:color w:val="auto"/>
        </w:rPr>
      </w:pPr>
    </w:p>
    <w:p>
      <w:pPr>
        <w:jc w:val="both"/>
        <w:ind w:left="-440" w:firstLine="719"/>
        <w:spacing w:after="0" w:line="257" w:lineRule="auto"/>
        <w:tabs>
          <w:tab w:leader="none" w:pos="11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or “</w:t>
      </w:r>
      <w:r>
        <w:rPr>
          <w:rFonts w:ascii="Arial" w:cs="Arial" w:eastAsia="Arial" w:hAnsi="Arial"/>
          <w:sz w:val="18"/>
          <w:szCs w:val="18"/>
          <w:i w:val="1"/>
          <w:iCs w:val="1"/>
          <w:color w:val="auto"/>
        </w:rPr>
        <w:t>Disabled</w:t>
      </w:r>
      <w:r>
        <w:rPr>
          <w:rFonts w:ascii="Arial" w:cs="Arial" w:eastAsia="Arial" w:hAnsi="Arial"/>
          <w:sz w:val="18"/>
          <w:szCs w:val="18"/>
          <w:color w:val="auto"/>
        </w:rPr>
        <w:t>” means a Participant’s inability to engage in any substantial gainful activity because of a medically determinable physical or mental impairment which can be expected to result in death or can be expected to last for a continuous period of not less than 12 months, or the Participant’s receipt of income replacement benefits for a period of not less than three months under an accident or health plan sponsored by the Employer. A Participant shall be deemed to have incurred a Disability if the Participant is determined to be totally disabled by the Social Security Administration.</w:t>
      </w:r>
    </w:p>
    <w:p>
      <w:pPr>
        <w:spacing w:after="0" w:line="188" w:lineRule="exact"/>
        <w:rPr>
          <w:rFonts w:ascii="Arial" w:cs="Arial" w:eastAsia="Arial" w:hAnsi="Arial"/>
          <w:sz w:val="18"/>
          <w:szCs w:val="18"/>
          <w:color w:val="auto"/>
        </w:rPr>
      </w:pPr>
    </w:p>
    <w:p>
      <w:pPr>
        <w:ind w:left="-440" w:firstLine="719"/>
        <w:spacing w:after="0" w:line="277" w:lineRule="auto"/>
        <w:tabs>
          <w:tab w:leader="none" w:pos="10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Elective Deferrals</w:t>
      </w:r>
      <w:r>
        <w:rPr>
          <w:rFonts w:ascii="Arial" w:cs="Arial" w:eastAsia="Arial" w:hAnsi="Arial"/>
          <w:sz w:val="18"/>
          <w:szCs w:val="18"/>
          <w:color w:val="auto"/>
        </w:rPr>
        <w:t>” means, as to each Participant, the amounts credited to the Participant’s Elective Deferral Account pursuant to the Participant’s deferral election made in accordance with Section 4.01.</w:t>
      </w:r>
    </w:p>
    <w:p>
      <w:pPr>
        <w:spacing w:after="0" w:line="170" w:lineRule="exact"/>
        <w:rPr>
          <w:rFonts w:ascii="Arial" w:cs="Arial" w:eastAsia="Arial" w:hAnsi="Arial"/>
          <w:sz w:val="18"/>
          <w:szCs w:val="18"/>
          <w:color w:val="auto"/>
        </w:rPr>
      </w:pPr>
    </w:p>
    <w:p>
      <w:pPr>
        <w:ind w:left="-440" w:right="20" w:firstLine="719"/>
        <w:spacing w:after="0" w:line="342" w:lineRule="auto"/>
        <w:tabs>
          <w:tab w:leader="none" w:pos="1178"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Employee</w:t>
      </w:r>
      <w:r>
        <w:rPr>
          <w:rFonts w:ascii="Arial" w:cs="Arial" w:eastAsia="Arial" w:hAnsi="Arial"/>
          <w:sz w:val="16"/>
          <w:szCs w:val="16"/>
          <w:color w:val="auto"/>
        </w:rPr>
        <w:t>” means an employee who is determined by the Plan Administrator to be a member of the select group of management or highly compensated employees of the Employer and who have been designated by the Employer as eligible to participate.</w:t>
      </w:r>
    </w:p>
    <w:p>
      <w:pPr>
        <w:spacing w:after="0" w:line="3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64" w:name="page65"/>
    <w:bookmarkEnd w:id="64"/>
    <w:p>
      <w:pPr>
        <w:ind w:left="1140" w:hanging="861"/>
        <w:spacing w:after="0" w:line="207" w:lineRule="exact"/>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 individual who is a common</w:t>
      </w:r>
      <w:r>
        <w:rPr>
          <w:rFonts w:ascii="MS PGothic" w:cs="MS PGothic" w:eastAsia="MS PGothic" w:hAnsi="MS PGothic"/>
          <w:sz w:val="18"/>
          <w:szCs w:val="18"/>
          <w:color w:val="auto"/>
        </w:rPr>
        <w:t>‑</w:t>
      </w:r>
      <w:r>
        <w:rPr>
          <w:rFonts w:ascii="Arial" w:cs="Arial" w:eastAsia="Arial" w:hAnsi="Arial"/>
          <w:sz w:val="18"/>
          <w:szCs w:val="18"/>
          <w:color w:val="auto"/>
        </w:rPr>
        <w:t>law employee or a leased employee of any Employer.</w:t>
      </w:r>
    </w:p>
    <w:p>
      <w:pPr>
        <w:spacing w:after="0" w:line="225" w:lineRule="exact"/>
        <w:rPr>
          <w:rFonts w:ascii="Arial" w:cs="Arial" w:eastAsia="Arial" w:hAnsi="Arial"/>
          <w:sz w:val="18"/>
          <w:szCs w:val="18"/>
          <w:color w:val="auto"/>
        </w:rPr>
      </w:pPr>
    </w:p>
    <w:p>
      <w:pPr>
        <w:jc w:val="both"/>
        <w:ind w:left="-440" w:firstLine="719"/>
        <w:spacing w:after="0" w:line="255" w:lineRule="auto"/>
        <w:tabs>
          <w:tab w:leader="none" w:pos="11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Employer</w:t>
      </w:r>
      <w:r>
        <w:rPr>
          <w:rFonts w:ascii="Arial" w:cs="Arial" w:eastAsia="Arial" w:hAnsi="Arial"/>
          <w:sz w:val="18"/>
          <w:szCs w:val="18"/>
          <w:color w:val="auto"/>
        </w:rPr>
        <w:t>” means, except to the extent the context clearly indicates reference to an individual employer, collectively CSL National, LP, the Company and any Subsidiary which, consistent with authorization by the Company, has adopted the Plan and any successor thereto. Unless otherwise delegated by the Board of Directors, the Board of Directors shall act on behalf of the Employer for purposes of the Plan. By its adoption of the Plan, an Employer shall be deemed to appoint the Company and the Plan Administrator its exclusive agents to exercise on its behalf all of the power and authority conferred by the Plan upon the Employer. The authority of the Company and the Plan Administrator to act as such agents shall continue until the Plan is terminated as to the adopting Employer and the assets have been distributed to Participants in accordance with the Plan.</w:t>
      </w:r>
    </w:p>
    <w:p>
      <w:pPr>
        <w:spacing w:after="0" w:line="189" w:lineRule="exact"/>
        <w:rPr>
          <w:rFonts w:ascii="Arial" w:cs="Arial" w:eastAsia="Arial" w:hAnsi="Arial"/>
          <w:sz w:val="18"/>
          <w:szCs w:val="18"/>
          <w:color w:val="auto"/>
        </w:rPr>
      </w:pPr>
    </w:p>
    <w:p>
      <w:pPr>
        <w:ind w:left="-440" w:firstLine="719"/>
        <w:spacing w:after="0" w:line="277" w:lineRule="auto"/>
        <w:tabs>
          <w:tab w:leader="none" w:pos="11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Employer Contributions</w:t>
      </w:r>
      <w:r>
        <w:rPr>
          <w:rFonts w:ascii="Arial" w:cs="Arial" w:eastAsia="Arial" w:hAnsi="Arial"/>
          <w:sz w:val="18"/>
          <w:szCs w:val="18"/>
          <w:color w:val="auto"/>
        </w:rPr>
        <w:t>” means the amounts credited to Participants’ Accounts as Profit Sharing Contributions in accordance with Article V, but excluding Elective Deferrals.</w:t>
      </w:r>
    </w:p>
    <w:p>
      <w:pPr>
        <w:spacing w:after="0" w:line="170" w:lineRule="exact"/>
        <w:rPr>
          <w:rFonts w:ascii="Arial" w:cs="Arial" w:eastAsia="Arial" w:hAnsi="Arial"/>
          <w:sz w:val="18"/>
          <w:szCs w:val="18"/>
          <w:color w:val="auto"/>
        </w:rPr>
      </w:pPr>
    </w:p>
    <w:p>
      <w:pPr>
        <w:jc w:val="both"/>
        <w:ind w:left="-440" w:firstLine="719"/>
        <w:spacing w:after="0" w:line="264" w:lineRule="auto"/>
        <w:tabs>
          <w:tab w:leader="none" w:pos="11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Reference to a specific Section of ERISA shall include such Section, any regulation interpreting such Section and any comparable provision of any future legislation amending, supplementing or superseding such Section.</w:t>
      </w:r>
    </w:p>
    <w:p>
      <w:pPr>
        <w:spacing w:after="0" w:line="181" w:lineRule="exact"/>
        <w:rPr>
          <w:rFonts w:ascii="Arial" w:cs="Arial" w:eastAsia="Arial" w:hAnsi="Arial"/>
          <w:sz w:val="18"/>
          <w:szCs w:val="18"/>
          <w:color w:val="auto"/>
        </w:rPr>
      </w:pPr>
    </w:p>
    <w:p>
      <w:pPr>
        <w:ind w:left="-440" w:firstLine="719"/>
        <w:spacing w:after="0" w:line="277" w:lineRule="auto"/>
        <w:tabs>
          <w:tab w:leader="none" w:pos="10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who becomes a Participant in the Plan pursuant to Section 3.01 and has not ceased to be a Participant pursuant to Section 3.03 or 3.04.</w:t>
      </w:r>
    </w:p>
    <w:p>
      <w:pPr>
        <w:spacing w:after="0" w:line="170" w:lineRule="exact"/>
        <w:rPr>
          <w:rFonts w:ascii="Arial" w:cs="Arial" w:eastAsia="Arial" w:hAnsi="Arial"/>
          <w:sz w:val="18"/>
          <w:szCs w:val="18"/>
          <w:color w:val="auto"/>
        </w:rPr>
      </w:pPr>
    </w:p>
    <w:p>
      <w:pPr>
        <w:ind w:left="-440" w:firstLine="719"/>
        <w:spacing w:after="0" w:line="277" w:lineRule="auto"/>
        <w:tabs>
          <w:tab w:leader="none" w:pos="11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Participant’s Account</w:t>
      </w:r>
      <w:r>
        <w:rPr>
          <w:rFonts w:ascii="Arial" w:cs="Arial" w:eastAsia="Arial" w:hAnsi="Arial"/>
          <w:sz w:val="18"/>
          <w:szCs w:val="18"/>
          <w:color w:val="auto"/>
        </w:rPr>
        <w:t>” or “</w:t>
      </w:r>
      <w:r>
        <w:rPr>
          <w:rFonts w:ascii="Arial" w:cs="Arial" w:eastAsia="Arial" w:hAnsi="Arial"/>
          <w:sz w:val="18"/>
          <w:szCs w:val="18"/>
          <w:i w:val="1"/>
          <w:iCs w:val="1"/>
          <w:color w:val="auto"/>
        </w:rPr>
        <w:t>Account</w:t>
      </w:r>
      <w:r>
        <w:rPr>
          <w:rFonts w:ascii="Arial" w:cs="Arial" w:eastAsia="Arial" w:hAnsi="Arial"/>
          <w:sz w:val="18"/>
          <w:szCs w:val="18"/>
          <w:color w:val="auto"/>
        </w:rPr>
        <w:t>” means, as to any Participant, the separate bookkeeping account maintained in order to reflect his or her interest in the Plan. Each Participant’s Account may be comprised of separate subaccounts, as follows:</w:t>
      </w:r>
    </w:p>
    <w:p>
      <w:pPr>
        <w:spacing w:after="0" w:line="170" w:lineRule="exact"/>
        <w:rPr>
          <w:rFonts w:ascii="Arial" w:cs="Arial" w:eastAsia="Arial" w:hAnsi="Arial"/>
          <w:sz w:val="18"/>
          <w:szCs w:val="18"/>
          <w:color w:val="auto"/>
        </w:rPr>
      </w:pPr>
    </w:p>
    <w:p>
      <w:pPr>
        <w:ind w:left="320" w:firstLine="669"/>
        <w:spacing w:after="0" w:line="277" w:lineRule="auto"/>
        <w:tabs>
          <w:tab w:leader="none" w:pos="17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Elective Deferral Account</w:t>
      </w:r>
      <w:r>
        <w:rPr>
          <w:rFonts w:ascii="Arial" w:cs="Arial" w:eastAsia="Arial" w:hAnsi="Arial"/>
          <w:sz w:val="18"/>
          <w:szCs w:val="18"/>
          <w:color w:val="auto"/>
        </w:rPr>
        <w:t>” means the subaccount maintained to record the Elective Deferrals made on behalf of the Participant pursuant to Section 4.01 and any adjustments relating thereto.</w:t>
      </w:r>
    </w:p>
    <w:p>
      <w:pPr>
        <w:spacing w:after="0" w:line="170" w:lineRule="exact"/>
        <w:rPr>
          <w:rFonts w:ascii="Arial" w:cs="Arial" w:eastAsia="Arial" w:hAnsi="Arial"/>
          <w:sz w:val="18"/>
          <w:szCs w:val="18"/>
          <w:color w:val="auto"/>
        </w:rPr>
      </w:pPr>
    </w:p>
    <w:p>
      <w:pPr>
        <w:ind w:left="320" w:right="20" w:firstLine="669"/>
        <w:spacing w:after="0" w:line="277" w:lineRule="auto"/>
        <w:tabs>
          <w:tab w:leader="none" w:pos="18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Profit Sharing Account</w:t>
      </w:r>
      <w:r>
        <w:rPr>
          <w:rFonts w:ascii="Arial" w:cs="Arial" w:eastAsia="Arial" w:hAnsi="Arial"/>
          <w:sz w:val="18"/>
          <w:szCs w:val="18"/>
          <w:color w:val="auto"/>
        </w:rPr>
        <w:t>” means the subaccount maintained to record the Profit Sharing Contributions made on behalf of the Participant pursuant to Section 5.01 and any adjustments relating thereto.</w:t>
      </w:r>
    </w:p>
    <w:p>
      <w:pPr>
        <w:spacing w:after="0" w:line="170" w:lineRule="exact"/>
        <w:rPr>
          <w:rFonts w:ascii="Arial" w:cs="Arial" w:eastAsia="Arial" w:hAnsi="Arial"/>
          <w:sz w:val="18"/>
          <w:szCs w:val="18"/>
          <w:color w:val="auto"/>
        </w:rPr>
      </w:pPr>
    </w:p>
    <w:p>
      <w:pPr>
        <w:ind w:left="-440" w:firstLine="719"/>
        <w:spacing w:after="0" w:line="277" w:lineRule="auto"/>
        <w:tabs>
          <w:tab w:leader="none" w:pos="10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Communications Sales &amp; Leasing, Inc. Deferred Compensation Plan, as set forth in this instrument and as heretofore or hereafter amended from time to time.</w:t>
      </w:r>
    </w:p>
    <w:p>
      <w:pPr>
        <w:spacing w:after="0" w:line="170" w:lineRule="exact"/>
        <w:rPr>
          <w:rFonts w:ascii="Arial" w:cs="Arial" w:eastAsia="Arial" w:hAnsi="Arial"/>
          <w:sz w:val="18"/>
          <w:szCs w:val="18"/>
          <w:color w:val="auto"/>
        </w:rPr>
      </w:pPr>
    </w:p>
    <w:p>
      <w:pPr>
        <w:ind w:left="1140" w:hanging="86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Administrator</w:t>
      </w:r>
      <w:r>
        <w:rPr>
          <w:rFonts w:ascii="Arial" w:cs="Arial" w:eastAsia="Arial" w:hAnsi="Arial"/>
          <w:sz w:val="18"/>
          <w:szCs w:val="18"/>
          <w:color w:val="auto"/>
        </w:rPr>
        <w:t>” means the Company.</w:t>
      </w:r>
    </w:p>
    <w:p>
      <w:pPr>
        <w:spacing w:after="0" w:line="225" w:lineRule="exact"/>
        <w:rPr>
          <w:rFonts w:ascii="Arial" w:cs="Arial" w:eastAsia="Arial" w:hAnsi="Arial"/>
          <w:sz w:val="18"/>
          <w:szCs w:val="18"/>
          <w:color w:val="auto"/>
        </w:rPr>
      </w:pPr>
    </w:p>
    <w:p>
      <w:pPr>
        <w:ind w:left="1140" w:hanging="86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Year</w:t>
      </w:r>
      <w:r>
        <w:rPr>
          <w:rFonts w:ascii="Arial" w:cs="Arial" w:eastAsia="Arial" w:hAnsi="Arial"/>
          <w:sz w:val="18"/>
          <w:szCs w:val="18"/>
          <w:color w:val="auto"/>
        </w:rPr>
        <w:t>” means the calendar year.</w:t>
      </w:r>
    </w:p>
    <w:p>
      <w:pPr>
        <w:spacing w:after="0" w:line="225" w:lineRule="exact"/>
        <w:rPr>
          <w:rFonts w:ascii="Arial" w:cs="Arial" w:eastAsia="Arial" w:hAnsi="Arial"/>
          <w:sz w:val="18"/>
          <w:szCs w:val="18"/>
          <w:color w:val="auto"/>
        </w:rPr>
      </w:pPr>
    </w:p>
    <w:p>
      <w:pPr>
        <w:ind w:left="-440" w:firstLine="719"/>
        <w:spacing w:after="0" w:line="277"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Profit Sharing Contribution</w:t>
      </w:r>
      <w:r>
        <w:rPr>
          <w:rFonts w:ascii="Arial" w:cs="Arial" w:eastAsia="Arial" w:hAnsi="Arial"/>
          <w:sz w:val="18"/>
          <w:szCs w:val="18"/>
          <w:color w:val="auto"/>
        </w:rPr>
        <w:t>” means, as to each Participant, the amounts (if any) credited to a Participant’s Profit Sharing Account in accordance with Section 5.01.</w:t>
      </w:r>
    </w:p>
    <w:p>
      <w:pPr>
        <w:spacing w:after="0" w:line="170" w:lineRule="exact"/>
        <w:rPr>
          <w:rFonts w:ascii="Arial" w:cs="Arial" w:eastAsia="Arial" w:hAnsi="Arial"/>
          <w:sz w:val="18"/>
          <w:szCs w:val="18"/>
          <w:color w:val="auto"/>
        </w:rPr>
      </w:pPr>
    </w:p>
    <w:p>
      <w:pPr>
        <w:jc w:val="both"/>
        <w:ind w:left="-440" w:firstLine="719"/>
        <w:spacing w:after="0" w:line="286" w:lineRule="auto"/>
        <w:tabs>
          <w:tab w:leader="none" w:pos="11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Service</w:t>
      </w:r>
      <w:r>
        <w:rPr>
          <w:rFonts w:ascii="Arial" w:cs="Arial" w:eastAsia="Arial" w:hAnsi="Arial"/>
          <w:sz w:val="17"/>
          <w:szCs w:val="17"/>
          <w:color w:val="auto"/>
        </w:rPr>
        <w:t>” means, as to each Employee, each period beginning on his or her first day of employment with an Employer and ending on his or her next Severance Date. An Employee’s Service shall include periods of employment with a predecessor employer (within the meaning of Code Section 414(a)), provided any such period otherwise qualifies as Service under this definition.</w:t>
      </w:r>
    </w:p>
    <w:p>
      <w:pPr>
        <w:spacing w:after="0" w:line="165" w:lineRule="exact"/>
        <w:rPr>
          <w:rFonts w:ascii="Arial" w:cs="Arial" w:eastAsia="Arial" w:hAnsi="Arial"/>
          <w:sz w:val="17"/>
          <w:szCs w:val="17"/>
          <w:color w:val="auto"/>
        </w:rPr>
      </w:pPr>
    </w:p>
    <w:p>
      <w:pPr>
        <w:jc w:val="both"/>
        <w:ind w:left="-440" w:firstLine="719"/>
        <w:spacing w:after="0" w:line="279" w:lineRule="auto"/>
        <w:tabs>
          <w:tab w:leader="none" w:pos="11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Severance Date</w:t>
      </w:r>
      <w:r>
        <w:rPr>
          <w:rFonts w:ascii="Arial" w:cs="Arial" w:eastAsia="Arial" w:hAnsi="Arial"/>
          <w:sz w:val="17"/>
          <w:szCs w:val="17"/>
          <w:color w:val="auto"/>
        </w:rPr>
        <w:t>” means the earlier of (i) the date on which an Employee dies or his or her employment with all Employers otherwise terminates, or (ii) the first anniversary of the first date of a period in which an Employee remains absent from Service with all Employers for any reason other than his or her death or other termination of employment. The determination of whether an Employee has a termination of employment will be made in accordance with Code Section 409A and the regulations thereunder.</w:t>
      </w: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65" w:name="page66"/>
    <w:bookmarkEnd w:id="65"/>
    <w:p>
      <w:pPr>
        <w:jc w:val="both"/>
        <w:ind w:left="760" w:firstLine="719"/>
        <w:spacing w:after="0" w:line="259" w:lineRule="auto"/>
        <w:tabs>
          <w:tab w:leader="none" w:pos="23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Employee</w:t>
      </w:r>
      <w:r>
        <w:rPr>
          <w:rFonts w:ascii="Arial" w:cs="Arial" w:eastAsia="Arial" w:hAnsi="Arial"/>
          <w:sz w:val="18"/>
          <w:szCs w:val="18"/>
          <w:color w:val="auto"/>
        </w:rPr>
        <w:t>” means a person who is a Specified Employee determined in accordance with Code Sections 416(i) and 409A, including regulations and guidance issued thereunder, and pursuant to any policies and procedures for the Plan as adopted by the Plan Administrator. In general, “Specified Employee” means any employee who, as of the date of such person’s termination of employment from all Affiliates, was:</w:t>
      </w:r>
    </w:p>
    <w:p>
      <w:pPr>
        <w:spacing w:after="0" w:line="186" w:lineRule="exact"/>
        <w:rPr>
          <w:rFonts w:ascii="Arial" w:cs="Arial" w:eastAsia="Arial" w:hAnsi="Arial"/>
          <w:sz w:val="18"/>
          <w:szCs w:val="18"/>
          <w:color w:val="auto"/>
        </w:rPr>
      </w:pPr>
    </w:p>
    <w:p>
      <w:pPr>
        <w:ind w:left="1520" w:firstLine="669"/>
        <w:spacing w:after="0" w:line="277" w:lineRule="auto"/>
        <w:tabs>
          <w:tab w:leader="none" w:pos="299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officer of the Affiliates having annual compensation greater than the adjusted limit specified in Code Section 416(i) ($165,000 for 2012);</w:t>
      </w:r>
    </w:p>
    <w:p>
      <w:pPr>
        <w:spacing w:after="0" w:line="170" w:lineRule="exact"/>
        <w:rPr>
          <w:rFonts w:ascii="Arial" w:cs="Arial" w:eastAsia="Arial" w:hAnsi="Arial"/>
          <w:sz w:val="18"/>
          <w:szCs w:val="18"/>
          <w:color w:val="auto"/>
        </w:rPr>
      </w:pPr>
    </w:p>
    <w:p>
      <w:pPr>
        <w:ind w:left="3060" w:hanging="871"/>
        <w:spacing w:after="0"/>
        <w:tabs>
          <w:tab w:leader="none" w:pos="3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5% owner of the Affiliates; or</w:t>
      </w:r>
    </w:p>
    <w:p>
      <w:pPr>
        <w:spacing w:after="0" w:line="225" w:lineRule="exact"/>
        <w:rPr>
          <w:rFonts w:ascii="Arial" w:cs="Arial" w:eastAsia="Arial" w:hAnsi="Arial"/>
          <w:sz w:val="18"/>
          <w:szCs w:val="18"/>
          <w:color w:val="auto"/>
        </w:rPr>
      </w:pPr>
    </w:p>
    <w:p>
      <w:pPr>
        <w:ind w:left="3100" w:hanging="911"/>
        <w:spacing w:after="0"/>
        <w:tabs>
          <w:tab w:leader="none" w:pos="3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1% owner of the Affiliates having annual compensation of more than $150,000.</w:t>
      </w:r>
    </w:p>
    <w:p>
      <w:pPr>
        <w:spacing w:after="0" w:line="22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For purposes of clause (i), no more than 50 employees of the Affiliates, ranked by Compensation (or, if lesser, the greater of three employees or 10% of the employees), shall be treated as officers.</w:t>
      </w:r>
    </w:p>
    <w:p>
      <w:pPr>
        <w:spacing w:after="0" w:line="170" w:lineRule="exact"/>
        <w:rPr>
          <w:sz w:val="20"/>
          <w:szCs w:val="20"/>
          <w:color w:val="auto"/>
        </w:rPr>
      </w:pPr>
    </w:p>
    <w:p>
      <w:pPr>
        <w:jc w:val="both"/>
        <w:ind w:left="760" w:firstLine="719"/>
        <w:spacing w:after="0" w:line="259" w:lineRule="auto"/>
        <w:tabs>
          <w:tab w:leader="none" w:pos="23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limited liability company, partnership, limited liability partnership, joint venture or other entity in which the Company owns or controls, directly or indirectly, not less than 50% of the total combined voting power or equity interests represented by all classes of stock, membership or other interests issued by such corporation, limited liability company, partnership, limited liability partnership, joint venture or other entity.</w:t>
      </w:r>
    </w:p>
    <w:p>
      <w:pPr>
        <w:spacing w:after="0" w:line="186" w:lineRule="exact"/>
        <w:rPr>
          <w:rFonts w:ascii="Arial" w:cs="Arial" w:eastAsia="Arial" w:hAnsi="Arial"/>
          <w:sz w:val="18"/>
          <w:szCs w:val="18"/>
          <w:color w:val="auto"/>
        </w:rPr>
      </w:pPr>
    </w:p>
    <w:p>
      <w:pPr>
        <w:jc w:val="both"/>
        <w:ind w:left="760" w:firstLine="719"/>
        <w:spacing w:after="0" w:line="291" w:lineRule="auto"/>
        <w:tabs>
          <w:tab w:leader="none" w:pos="241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Unforeseeable Emergency</w:t>
      </w:r>
      <w:r>
        <w:rPr>
          <w:rFonts w:ascii="Arial" w:cs="Arial" w:eastAsia="Arial" w:hAnsi="Arial"/>
          <w:sz w:val="16"/>
          <w:szCs w:val="16"/>
          <w:color w:val="auto"/>
        </w:rPr>
        <w:t>” means a severe financial hardship of the Participant resulting from an illness or accident of the Participant, the Participant’s spouse, Beneficiary or dependent (as defined in Code Section 152, without regard to Section 152(b)(1), (b)(2) and (d)</w:t>
      </w:r>
    </w:p>
    <w:p>
      <w:pPr>
        <w:jc w:val="both"/>
        <w:ind w:left="760"/>
        <w:spacing w:after="0" w:line="255" w:lineRule="auto"/>
        <w:rPr>
          <w:rFonts w:ascii="Arial" w:cs="Arial" w:eastAsia="Arial" w:hAnsi="Arial"/>
          <w:sz w:val="16"/>
          <w:szCs w:val="16"/>
          <w:color w:val="auto"/>
        </w:rPr>
      </w:pPr>
      <w:r>
        <w:rPr>
          <w:rFonts w:ascii="Arial" w:cs="Arial" w:eastAsia="Arial" w:hAnsi="Arial"/>
          <w:sz w:val="18"/>
          <w:szCs w:val="18"/>
          <w:color w:val="auto"/>
        </w:rPr>
        <w:t>(1)(B)), loss of the Participant’s property due to casualty or other similar extraordinary and unforeseeable circumstances arising as a result of events beyond the control of the Participant. The determination of whether there has been an Unforeseeable Emergency will be made in accordance with Code Section 409A, including regulations and guidance issued thereunder.</w:t>
      </w:r>
    </w:p>
    <w:p>
      <w:pPr>
        <w:spacing w:after="0" w:line="190" w:lineRule="exact"/>
        <w:rPr>
          <w:rFonts w:ascii="Arial" w:cs="Arial" w:eastAsia="Arial" w:hAnsi="Arial"/>
          <w:sz w:val="16"/>
          <w:szCs w:val="16"/>
          <w:color w:val="auto"/>
        </w:rPr>
      </w:pPr>
    </w:p>
    <w:p>
      <w:pPr>
        <w:ind w:left="2400" w:hanging="921"/>
        <w:spacing w:after="0"/>
        <w:tabs>
          <w:tab w:leader="none" w:pos="24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Weighted Average Cost of Debt</w:t>
      </w:r>
      <w:r>
        <w:rPr>
          <w:rFonts w:ascii="Arial" w:cs="Arial" w:eastAsia="Arial" w:hAnsi="Arial"/>
          <w:sz w:val="16"/>
          <w:szCs w:val="16"/>
          <w:color w:val="auto"/>
        </w:rPr>
        <w:t>” means the market value weighted average yield of the Company’s long term and short</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term debt.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25"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Section 3.01. Eligibility Requirements</w:t>
      </w:r>
      <w:r>
        <w:rPr>
          <w:rFonts w:ascii="Arial" w:cs="Arial" w:eastAsia="Arial" w:hAnsi="Arial"/>
          <w:sz w:val="18"/>
          <w:szCs w:val="18"/>
          <w:color w:val="auto"/>
        </w:rPr>
        <w:t>. Every Employee of an Employer who is an Eligible Employee as determined by the Plan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eligible to participate in the Plan as of the date the Plan Administrator notifies the Employee he or she is an Eligible Employee. An Eligible Employee may become a Participant in the Plan by completing a deferral election in accordance with Section 4.01 or by the Employer making a contribution to the Plan on behalf of the Eligible Employee.</w:t>
      </w:r>
    </w:p>
    <w:p>
      <w:pPr>
        <w:spacing w:after="0" w:line="180" w:lineRule="exact"/>
        <w:rPr>
          <w:sz w:val="20"/>
          <w:szCs w:val="20"/>
          <w:color w:val="auto"/>
        </w:rPr>
      </w:pPr>
    </w:p>
    <w:p>
      <w:pPr>
        <w:jc w:val="both"/>
        <w:ind w:firstLine="761"/>
        <w:spacing w:after="0" w:line="313" w:lineRule="auto"/>
        <w:rPr>
          <w:sz w:val="20"/>
          <w:szCs w:val="20"/>
          <w:color w:val="auto"/>
        </w:rPr>
      </w:pPr>
      <w:r>
        <w:rPr>
          <w:rFonts w:ascii="Arial" w:cs="Arial" w:eastAsia="Arial" w:hAnsi="Arial"/>
          <w:sz w:val="17"/>
          <w:szCs w:val="17"/>
          <w:b w:val="1"/>
          <w:bCs w:val="1"/>
          <w:color w:val="auto"/>
        </w:rPr>
        <w:t>Section 3.02. Continued Participation</w:t>
      </w:r>
      <w:r>
        <w:rPr>
          <w:rFonts w:ascii="Arial" w:cs="Arial" w:eastAsia="Arial" w:hAnsi="Arial"/>
          <w:sz w:val="17"/>
          <w:szCs w:val="17"/>
          <w:color w:val="auto"/>
        </w:rPr>
        <w:t>. Subject to Section 3.03, an individual who becomes a Participant in the Plan shall continue to be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may continue to make written deferrals in accordance with Section 4.01 so long as he or she remains an Eligible Employee.</w:t>
      </w:r>
    </w:p>
    <w:p>
      <w:pPr>
        <w:spacing w:after="0" w:line="138"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Section 3.03. Termination of Eligibility</w:t>
      </w:r>
      <w:r>
        <w:rPr>
          <w:rFonts w:ascii="Arial" w:cs="Arial" w:eastAsia="Arial" w:hAnsi="Arial"/>
          <w:sz w:val="18"/>
          <w:szCs w:val="18"/>
          <w:color w:val="auto"/>
        </w:rPr>
        <w:t>. A Participant will become ineligible to continue to participate in the Plan when he or she is no longer an</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Employee or on his or her Severance Date. The Plan Administrator may terminate an Employee’s participation in the Plan prospectively for any reason, including, but not limited to, the Plan Administrator’s determination that such Employee is no longer an Eligible Employee or that termination is necessary in order to maintain the Plan as a top hat plan in accordance with ERISA.</w:t>
      </w:r>
    </w:p>
    <w:p>
      <w:pPr>
        <w:spacing w:after="0" w:line="180"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7"/>
          <w:szCs w:val="17"/>
          <w:b w:val="1"/>
          <w:bCs w:val="1"/>
          <w:color w:val="auto"/>
        </w:rPr>
        <w:t>Section 3.04. Termination of Participation</w:t>
      </w:r>
      <w:r>
        <w:rPr>
          <w:rFonts w:ascii="Arial" w:cs="Arial" w:eastAsia="Arial" w:hAnsi="Arial"/>
          <w:sz w:val="17"/>
          <w:szCs w:val="17"/>
          <w:color w:val="auto"/>
        </w:rPr>
        <w:t>. An Eligible Employee who has become a Participant shall remain a Participant until his or her entire</w:t>
      </w:r>
      <w:r>
        <w:rPr>
          <w:rFonts w:ascii="Arial" w:cs="Arial" w:eastAsia="Arial" w:hAnsi="Arial"/>
          <w:sz w:val="17"/>
          <w:szCs w:val="17"/>
          <w:b w:val="1"/>
          <w:bCs w:val="1"/>
          <w:color w:val="auto"/>
        </w:rPr>
        <w:t xml:space="preserve"> </w:t>
      </w:r>
      <w:r>
        <w:rPr>
          <w:rFonts w:ascii="Arial" w:cs="Arial" w:eastAsia="Arial" w:hAnsi="Arial"/>
          <w:sz w:val="17"/>
          <w:szCs w:val="17"/>
          <w:color w:val="auto"/>
        </w:rPr>
        <w:t>vested Account balance is distributed. However, an Eligible Employee who has become a Participant may or may not be an Active Participant making an Elective Deferral for a particular Plan Year, depending upon whether he or she has elected to make Elective Deferrals for that Plan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ELECTIVE DEFERRALS</w:t>
      </w:r>
    </w:p>
    <w:p>
      <w:pPr>
        <w:spacing w:after="0" w:line="22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7"/>
          <w:szCs w:val="17"/>
          <w:b w:val="1"/>
          <w:bCs w:val="1"/>
          <w:color w:val="auto"/>
        </w:rPr>
        <w:t>Section 4.01. Elective Deferral Elections</w:t>
      </w:r>
      <w:r>
        <w:rPr>
          <w:rFonts w:ascii="Arial" w:cs="Arial" w:eastAsia="Arial" w:hAnsi="Arial"/>
          <w:sz w:val="17"/>
          <w:szCs w:val="17"/>
          <w:color w:val="auto"/>
        </w:rPr>
        <w:t>. At the time and in the manner prescribed in this Section 4.01, each Eligible Employee may elect to</w:t>
      </w:r>
      <w:r>
        <w:rPr>
          <w:rFonts w:ascii="Arial" w:cs="Arial" w:eastAsia="Arial" w:hAnsi="Arial"/>
          <w:sz w:val="17"/>
          <w:szCs w:val="17"/>
          <w:b w:val="1"/>
          <w:bCs w:val="1"/>
          <w:color w:val="auto"/>
        </w:rPr>
        <w:t xml:space="preserve"> </w:t>
      </w:r>
      <w:r>
        <w:rPr>
          <w:rFonts w:ascii="Arial" w:cs="Arial" w:eastAsia="Arial" w:hAnsi="Arial"/>
          <w:sz w:val="17"/>
          <w:szCs w:val="17"/>
          <w:color w:val="auto"/>
        </w:rPr>
        <w:t>defer portions of his or her Base Compensation, Bonuses and other cash Compensation otherwise payable to him or her for the Plan Year and to have the amounts of such deferrals credited to his or her Elective Deferral Account under the Plan, provided he or she elects to make Elective Deferrals in such manner and within such advance notice period as the Plan Administrator shall specify. Each eligible employee may defer up to 75% of his or her Base Compensation, up to 90% of his or her Bonuses, and up to 90% of his or her other cash Compensation.</w:t>
      </w:r>
    </w:p>
    <w:p>
      <w:pPr>
        <w:spacing w:after="0" w:line="172" w:lineRule="exact"/>
        <w:rPr>
          <w:sz w:val="20"/>
          <w:szCs w:val="20"/>
          <w:color w:val="auto"/>
        </w:rPr>
      </w:pPr>
    </w:p>
    <w:p>
      <w:pPr>
        <w:jc w:val="both"/>
        <w:ind w:left="760" w:firstLine="719"/>
        <w:spacing w:after="0" w:line="270" w:lineRule="auto"/>
        <w:tabs>
          <w:tab w:leader="none" w:pos="2318"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Deferral Elections</w:t>
      </w:r>
      <w:r>
        <w:rPr>
          <w:rFonts w:ascii="Arial" w:cs="Arial" w:eastAsia="Arial" w:hAnsi="Arial"/>
          <w:sz w:val="17"/>
          <w:szCs w:val="17"/>
          <w:color w:val="auto"/>
        </w:rPr>
        <w:t>. A Participant, or Eligible Employee desiring to become a Participant, may elect, in accordance with rules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procedures established by the Plan Administrator, to defer Base Compensation, Bonuses, and other cash Compensation otherwise payable to him or her for the Plan Year by executing a deferral election form and filing such election with the Plan Administrator on or before the deadlines prescribed in Section 4.01(b) for initial elections or Section 4.01(c) for subsequent elections. The Participant shall also elect at the time of deferral election, in accordance with Section 9.01, the form of payment for distribution of the amounts credited to the Participant’s Account(s) for the Plan Year of that deferral election. Each deferral election and related distribution election shall be valid only for the Plan Year to which it relates. A Participant’s election will continue for each subsequent year the Participant is an Eligible Employee under the Plan. A Participant wishing to terminate or change his or her election for any subsequent Plan Year must submit a new deferral election and related distribution election for such Plan Year pursuant to Section 4.01(c).</w:t>
      </w:r>
    </w:p>
    <w:p>
      <w:pPr>
        <w:spacing w:after="0" w:line="181" w:lineRule="exact"/>
        <w:rPr>
          <w:rFonts w:ascii="Arial" w:cs="Arial" w:eastAsia="Arial" w:hAnsi="Arial"/>
          <w:sz w:val="17"/>
          <w:szCs w:val="17"/>
          <w:color w:val="auto"/>
        </w:rPr>
      </w:pPr>
    </w:p>
    <w:p>
      <w:pPr>
        <w:jc w:val="both"/>
        <w:ind w:left="760" w:firstLine="719"/>
        <w:spacing w:after="0" w:line="254" w:lineRule="auto"/>
        <w:tabs>
          <w:tab w:leader="none" w:pos="2328"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Initial Deferral Elections</w:t>
      </w:r>
      <w:r>
        <w:rPr>
          <w:rFonts w:ascii="Arial" w:cs="Arial" w:eastAsia="Arial" w:hAnsi="Arial"/>
          <w:sz w:val="18"/>
          <w:szCs w:val="18"/>
          <w:color w:val="auto"/>
        </w:rPr>
        <w:t>. Initial deferral elections for an Eligible Employee must be received within 30 days from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or she first becomes eligible. If the Eligible Employee fails to timely submit an initial deferral election within 30 days from the date he or she first becomes eligible, the Eligible Employee will become a Participant in the Plan as of the first day of the Plan Year following the date he or she files a deferral election. The initial deferral election shall apply only to Compensation earned after such election is received by the Plan Administrator. For Compensation that is earned based upon a specified performance period (for example, an annual bonus), where an initial deferral election is made after the beginning of the performance period, the election shall apply only to an amount equal to the total amount of the Compensation for the performance period multiplied by the ratio of the number of days remaining in the performance period after the election over the total number of days in the performance period.</w:t>
      </w:r>
    </w:p>
    <w:p>
      <w:pPr>
        <w:spacing w:after="0" w:line="192" w:lineRule="exact"/>
        <w:rPr>
          <w:rFonts w:ascii="Arial" w:cs="Arial" w:eastAsia="Arial" w:hAnsi="Arial"/>
          <w:sz w:val="18"/>
          <w:szCs w:val="18"/>
          <w:color w:val="auto"/>
        </w:rPr>
      </w:pPr>
    </w:p>
    <w:p>
      <w:pPr>
        <w:jc w:val="both"/>
        <w:ind w:left="760" w:firstLine="719"/>
        <w:spacing w:after="0" w:line="302" w:lineRule="auto"/>
        <w:tabs>
          <w:tab w:leader="none" w:pos="2318"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Elections for Subsequent Plan Years</w:t>
      </w:r>
      <w:r>
        <w:rPr>
          <w:rFonts w:ascii="Arial" w:cs="Arial" w:eastAsia="Arial" w:hAnsi="Arial"/>
          <w:sz w:val="16"/>
          <w:szCs w:val="16"/>
          <w:color w:val="auto"/>
        </w:rPr>
        <w:t>. A Participant may elect to change or reinstate his or her active participation in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any Plan Year following the Plan Year of the Participant’s initial participation in the Plan by electing to defer Base Compensation and Bonuses otherwise payable to him or her for such subsequent Plan Year by executing a deferral election form and filing such election with the Plan Administrator on or before December 31 of the year preceding the Plan Year for which the Eligible Employee is making the election.</w:t>
      </w:r>
    </w:p>
    <w:p>
      <w:pPr>
        <w:spacing w:after="0" w:line="150"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18"/>
          <w:szCs w:val="18"/>
          <w:b w:val="1"/>
          <w:bCs w:val="1"/>
          <w:color w:val="auto"/>
        </w:rPr>
        <w:t>Section 4.02. No Election Changes During Plan Year</w:t>
      </w:r>
      <w:r>
        <w:rPr>
          <w:rFonts w:ascii="Arial" w:cs="Arial" w:eastAsia="Arial" w:hAnsi="Arial"/>
          <w:sz w:val="18"/>
          <w:szCs w:val="18"/>
          <w:color w:val="auto"/>
        </w:rPr>
        <w:t>. A Participant shall not be permitted to change or revoke his or her election for a Plan</w:t>
      </w:r>
      <w:r>
        <w:rPr>
          <w:rFonts w:ascii="Arial" w:cs="Arial" w:eastAsia="Arial" w:hAnsi="Arial"/>
          <w:sz w:val="18"/>
          <w:szCs w:val="18"/>
          <w:b w:val="1"/>
          <w:bCs w:val="1"/>
          <w:color w:val="auto"/>
        </w:rPr>
        <w:t xml:space="preserve"> </w:t>
      </w:r>
      <w:r>
        <w:rPr>
          <w:rFonts w:ascii="Arial" w:cs="Arial" w:eastAsia="Arial" w:hAnsi="Arial"/>
          <w:sz w:val="18"/>
          <w:szCs w:val="18"/>
          <w:color w:val="auto"/>
        </w:rPr>
        <w:t>Year after the beginning of such Plan Year. Notwithstanding the foregoing, the deferral election of a Participant who receives a distribution from the Employer’s 401(k) plan on account of a hardship, as defined by the 401(k) plan, or suffers a Disability shall be cancelled for the remainder of the Plan Year. The Participant whose deferral election is automatically revoked hereunder is entitled to again defer to the Plan effective as of the first day of the Plan Year following the year of revocation. In addition, a deferral election of a Participant who receives a distribution from the Plan on account of an Unforeseeable Emergency will be cancelled in accordance with Section 10.01(d).</w:t>
      </w:r>
    </w:p>
    <w:p>
      <w:pPr>
        <w:spacing w:after="0" w:line="188"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4.03. FICA and FUTA Taxes</w:t>
      </w:r>
      <w:r>
        <w:rPr>
          <w:rFonts w:ascii="Arial" w:cs="Arial" w:eastAsia="Arial" w:hAnsi="Arial"/>
          <w:sz w:val="18"/>
          <w:szCs w:val="18"/>
          <w:color w:val="auto"/>
        </w:rPr>
        <w:t>. FICA and FUTA taxes attributable to Elective Deferrals credited to a Participant’s Account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4.01 shall be withheld from the portion of Compensation paid directly to the Participant.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EMPLOYER CONTRIBUTIONS</w:t>
      </w:r>
    </w:p>
    <w:p>
      <w:pPr>
        <w:spacing w:after="0" w:line="225"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Section 5.01. Discretionary Profit Sharing Contributions</w:t>
      </w:r>
      <w:r>
        <w:rPr>
          <w:rFonts w:ascii="Arial" w:cs="Arial" w:eastAsia="Arial" w:hAnsi="Arial"/>
          <w:sz w:val="18"/>
          <w:szCs w:val="18"/>
          <w:color w:val="auto"/>
        </w:rPr>
        <w:t>. For any Plan Year, the Employer may credit to any Participant’s Profit Sharing</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such amount (if any) as the Employer may direct be allocated as a Profit Sharing Contribution for such Plan Year. The Employer shall determine (in its discretion) which Employees or classes of Employees are eligible to receive such a Profit Sharing Contribution and the amount each such Eligible Employee or class of Eligible Employees shall receive for the Plan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PARTICIPANT ACCOUNTS/ALLOCATION OF CONTRIBUTIONS</w:t>
      </w:r>
    </w:p>
    <w:p>
      <w:pPr>
        <w:spacing w:after="0" w:line="225"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Section 6.01. Participant’s Accounts</w:t>
      </w:r>
      <w:r>
        <w:rPr>
          <w:rFonts w:ascii="Arial" w:cs="Arial" w:eastAsia="Arial" w:hAnsi="Arial"/>
          <w:sz w:val="18"/>
          <w:szCs w:val="18"/>
          <w:color w:val="auto"/>
        </w:rPr>
        <w:t>. The Plan Administrator shall establish a bookkeeping Account for each Participant reflecting subaccounts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Elective Deferrals and Profit Sharing Contributions made under the terms of Articles IV and V. A Participant’s Account shall reflect his or her share of such deferrals, including his or her allocable share of any gains and losses pursuant to Section 7.01.</w:t>
      </w:r>
    </w:p>
    <w:p>
      <w:pPr>
        <w:spacing w:after="0" w:line="176"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6.02. Elective Deferrals</w:t>
      </w:r>
      <w:r>
        <w:rPr>
          <w:rFonts w:ascii="Arial" w:cs="Arial" w:eastAsia="Arial" w:hAnsi="Arial"/>
          <w:sz w:val="18"/>
          <w:szCs w:val="18"/>
          <w:color w:val="auto"/>
        </w:rPr>
        <w:t>. Any Elective Deferrals made on behalf of an Active Participant shall be credited to his or her Elective Deferral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as soon as practicable.</w:t>
      </w:r>
    </w:p>
    <w:p>
      <w:pPr>
        <w:spacing w:after="0" w:line="162" w:lineRule="exact"/>
        <w:rPr>
          <w:sz w:val="20"/>
          <w:szCs w:val="20"/>
          <w:color w:val="auto"/>
        </w:rPr>
      </w:pPr>
    </w:p>
    <w:p>
      <w:pPr>
        <w:jc w:val="both"/>
        <w:ind w:firstLine="761"/>
        <w:spacing w:after="0" w:line="313" w:lineRule="auto"/>
        <w:rPr>
          <w:sz w:val="20"/>
          <w:szCs w:val="20"/>
          <w:color w:val="auto"/>
        </w:rPr>
      </w:pPr>
      <w:r>
        <w:rPr>
          <w:rFonts w:ascii="Arial" w:cs="Arial" w:eastAsia="Arial" w:hAnsi="Arial"/>
          <w:sz w:val="17"/>
          <w:szCs w:val="17"/>
          <w:b w:val="1"/>
          <w:bCs w:val="1"/>
          <w:color w:val="auto"/>
        </w:rPr>
        <w:t>Section 6.03. Profit Sharing Contributions</w:t>
      </w:r>
      <w:r>
        <w:rPr>
          <w:rFonts w:ascii="Arial" w:cs="Arial" w:eastAsia="Arial" w:hAnsi="Arial"/>
          <w:sz w:val="17"/>
          <w:szCs w:val="17"/>
          <w:color w:val="auto"/>
        </w:rPr>
        <w:t>. Any Profit Sharing Contributions made for a Plan Year shall be credited, as soon as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practicable, to the Profit Sharing Accounts of all Eligible Employees for whom the Profit Sharing Contributions were made pursuant to Section 5.01.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w:t>
      </w:r>
    </w:p>
    <w:p>
      <w:pPr>
        <w:spacing w:after="0" w:line="22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7"/>
          <w:szCs w:val="17"/>
          <w:b w:val="1"/>
          <w:bCs w:val="1"/>
          <w:color w:val="auto"/>
        </w:rPr>
        <w:t>Section 7.01. In General</w:t>
      </w:r>
      <w:r>
        <w:rPr>
          <w:rFonts w:ascii="Arial" w:cs="Arial" w:eastAsia="Arial" w:hAnsi="Arial"/>
          <w:sz w:val="17"/>
          <w:szCs w:val="17"/>
          <w:color w:val="auto"/>
        </w:rPr>
        <w:t>. Unless otherwise determined by resolution of the Company’s Board of Directors, the Participants’ Account(s)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credited with an annual rate of return equal to the lesser of (a) the Company’s Weighted Average Cost of Debt and (b) the then current yield on the United States 10 year Treasury Note as quoted in The Wall Street Journal for the last business day of the previous calendar year.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w:t>
      </w:r>
    </w:p>
    <w:p>
      <w:pPr>
        <w:spacing w:after="0" w:line="225"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8.01. Elective Deferral Accounts</w:t>
      </w:r>
      <w:r>
        <w:rPr>
          <w:rFonts w:ascii="Arial" w:cs="Arial" w:eastAsia="Arial" w:hAnsi="Arial"/>
          <w:sz w:val="18"/>
          <w:szCs w:val="18"/>
          <w:color w:val="auto"/>
        </w:rPr>
        <w:t>. Each Participant shall have a fully 100% vested and nonforfeitable interest in his or her Elective</w:t>
      </w:r>
      <w:r>
        <w:rPr>
          <w:rFonts w:ascii="Arial" w:cs="Arial" w:eastAsia="Arial" w:hAnsi="Arial"/>
          <w:sz w:val="18"/>
          <w:szCs w:val="18"/>
          <w:b w:val="1"/>
          <w:bCs w:val="1"/>
          <w:color w:val="auto"/>
        </w:rPr>
        <w:t xml:space="preserve"> </w:t>
      </w:r>
      <w:r>
        <w:rPr>
          <w:rFonts w:ascii="Arial" w:cs="Arial" w:eastAsia="Arial" w:hAnsi="Arial"/>
          <w:sz w:val="18"/>
          <w:szCs w:val="18"/>
          <w:color w:val="auto"/>
        </w:rPr>
        <w:t>Deferral Account at all times.</w:t>
      </w:r>
    </w:p>
    <w:p>
      <w:pPr>
        <w:spacing w:after="0" w:line="16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8.02. Employer Contributions</w:t>
      </w:r>
      <w:r>
        <w:rPr>
          <w:rFonts w:ascii="Arial" w:cs="Arial" w:eastAsia="Arial" w:hAnsi="Arial"/>
          <w:sz w:val="18"/>
          <w:szCs w:val="18"/>
          <w:color w:val="auto"/>
        </w:rPr>
        <w:t>. Unless the Company determines otherwise with respect to a Participant, the interest of each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in his or her Profit Sharing Account shall vest in accordance with the following schedule:</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Years of</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Service</w:t>
            </w:r>
          </w:p>
        </w:tc>
        <w:tc>
          <w:tcPr>
            <w:tcW w:w="1400" w:type="dxa"/>
            <w:vAlign w:val="bottom"/>
          </w:tcPr>
          <w:p>
            <w:pPr>
              <w:spacing w:after="0"/>
              <w:rPr>
                <w:sz w:val="20"/>
                <w:szCs w:val="20"/>
                <w:color w:val="auto"/>
              </w:rPr>
            </w:pPr>
            <w:r>
              <w:rPr>
                <w:rFonts w:ascii="Arial" w:cs="Arial" w:eastAsia="Arial" w:hAnsi="Arial"/>
                <w:sz w:val="18"/>
                <w:szCs w:val="18"/>
                <w:b w:val="1"/>
                <w:bCs w:val="1"/>
                <w:color w:val="auto"/>
                <w:w w:val="85"/>
              </w:rPr>
              <w:t>Vested Percentage</w:t>
            </w:r>
          </w:p>
        </w:tc>
      </w:tr>
      <w:tr>
        <w:trPr>
          <w:trHeight w:val="195"/>
        </w:trPr>
        <w:tc>
          <w:tcPr>
            <w:tcW w:w="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Less than one year</w:t>
            </w:r>
          </w:p>
        </w:tc>
        <w:tc>
          <w:tcPr>
            <w:tcW w:w="24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0%</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One but less than two</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Two but less than three</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30"/>
        </w:trPr>
        <w:tc>
          <w:tcPr>
            <w:tcW w:w="5440" w:type="dxa"/>
            <w:vAlign w:val="bottom"/>
            <w:gridSpan w:val="3"/>
          </w:tcPr>
          <w:p>
            <w:pPr>
              <w:spacing w:after="0"/>
              <w:rPr>
                <w:sz w:val="20"/>
                <w:szCs w:val="20"/>
                <w:color w:val="auto"/>
              </w:rPr>
            </w:pPr>
            <w:r>
              <w:rPr>
                <w:rFonts w:ascii="Arial" w:cs="Arial" w:eastAsia="Arial" w:hAnsi="Arial"/>
                <w:sz w:val="18"/>
                <w:szCs w:val="18"/>
                <w:color w:val="auto"/>
              </w:rPr>
              <w:t>Three years or more</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100</w:t>
            </w:r>
          </w:p>
        </w:tc>
      </w:tr>
    </w:tbl>
    <w:p>
      <w:pPr>
        <w:spacing w:after="0" w:line="225"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Section 8.03. Full Vesting Rule</w:t>
      </w:r>
      <w:r>
        <w:rPr>
          <w:rFonts w:ascii="Arial" w:cs="Arial" w:eastAsia="Arial" w:hAnsi="Arial"/>
          <w:sz w:val="18"/>
          <w:szCs w:val="18"/>
          <w:color w:val="auto"/>
        </w:rPr>
        <w:t>. Notwithstanding the foregoing provisions of this Article VIII, a Participant who has not already begun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under the Plan shall have a fully 100% vested and nonforfeitable interest in his or her Profit Sharing Account if the Participant dies or becomes Disabled, if a Change in Control occurs or if the Plan is terminated.</w:t>
      </w:r>
    </w:p>
    <w:p>
      <w:pPr>
        <w:spacing w:after="0" w:line="176" w:lineRule="exact"/>
        <w:rPr>
          <w:sz w:val="20"/>
          <w:szCs w:val="20"/>
          <w:color w:val="auto"/>
        </w:rPr>
      </w:pPr>
    </w:p>
    <w:p>
      <w:pPr>
        <w:jc w:val="both"/>
        <w:ind w:right="20" w:firstLine="761"/>
        <w:spacing w:after="0" w:line="282" w:lineRule="auto"/>
        <w:rPr>
          <w:sz w:val="20"/>
          <w:szCs w:val="20"/>
          <w:color w:val="auto"/>
        </w:rPr>
      </w:pPr>
      <w:r>
        <w:rPr>
          <w:rFonts w:ascii="Arial" w:cs="Arial" w:eastAsia="Arial" w:hAnsi="Arial"/>
          <w:sz w:val="18"/>
          <w:szCs w:val="18"/>
          <w:b w:val="1"/>
          <w:bCs w:val="1"/>
          <w:color w:val="auto"/>
        </w:rPr>
        <w:t>Section 8.04. Forfeitures</w:t>
      </w:r>
      <w:r>
        <w:rPr>
          <w:rFonts w:ascii="Arial" w:cs="Arial" w:eastAsia="Arial" w:hAnsi="Arial"/>
          <w:sz w:val="18"/>
          <w:szCs w:val="18"/>
          <w:color w:val="auto"/>
        </w:rPr>
        <w:t>. The nonvested portions of a Participant’s Profit Sharing Account shall be immediately forfeited upon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his or her employment with all Employers.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25"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9.01. Election of Time and Form of Payment</w:t>
      </w:r>
      <w:r>
        <w:rPr>
          <w:rFonts w:ascii="Arial" w:cs="Arial" w:eastAsia="Arial" w:hAnsi="Arial"/>
          <w:sz w:val="18"/>
          <w:szCs w:val="18"/>
          <w:color w:val="auto"/>
        </w:rPr>
        <w:t>. A Participant’s Account may first be distributed upon the occurrence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 in the following forms as elected by the Participant on his or her distribution election form:</w:t>
      </w:r>
    </w:p>
    <w:p>
      <w:pPr>
        <w:spacing w:after="0" w:line="166" w:lineRule="exact"/>
        <w:rPr>
          <w:sz w:val="20"/>
          <w:szCs w:val="20"/>
          <w:color w:val="auto"/>
        </w:rPr>
      </w:pPr>
    </w:p>
    <w:p>
      <w:pPr>
        <w:ind w:left="760" w:firstLine="719"/>
        <w:spacing w:after="0" w:line="277" w:lineRule="auto"/>
        <w:tabs>
          <w:tab w:leader="none" w:pos="2318"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Specified Time</w:t>
      </w:r>
      <w:r>
        <w:rPr>
          <w:rFonts w:ascii="Arial" w:cs="Arial" w:eastAsia="Arial" w:hAnsi="Arial"/>
          <w:sz w:val="18"/>
          <w:szCs w:val="18"/>
          <w:color w:val="auto"/>
        </w:rPr>
        <w:t>. A Participant is entitled to payment of his or her Elective Deferral Account, as vested under Article VIII,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time or pursuant to a fixed schedule specified in his or her distribution election form.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ind w:left="760"/>
        <w:spacing w:after="0" w:line="223" w:lineRule="exact"/>
        <w:rPr>
          <w:sz w:val="20"/>
          <w:szCs w:val="20"/>
          <w:color w:val="auto"/>
        </w:rPr>
      </w:pPr>
      <w:r>
        <w:rPr>
          <w:rFonts w:ascii="Arial" w:cs="Arial" w:eastAsia="Arial" w:hAnsi="Arial"/>
          <w:sz w:val="18"/>
          <w:szCs w:val="18"/>
          <w:color w:val="auto"/>
        </w:rPr>
        <w:t>amount payable will be paid in a single lump</w:t>
      </w:r>
      <w:r>
        <w:rPr>
          <w:rFonts w:ascii="MS PGothic" w:cs="MS PGothic" w:eastAsia="MS PGothic" w:hAnsi="MS PGothic"/>
          <w:sz w:val="18"/>
          <w:szCs w:val="18"/>
          <w:color w:val="auto"/>
        </w:rPr>
        <w:t>‑</w:t>
      </w:r>
      <w:r>
        <w:rPr>
          <w:rFonts w:ascii="Arial" w:cs="Arial" w:eastAsia="Arial" w:hAnsi="Arial"/>
          <w:sz w:val="18"/>
          <w:szCs w:val="18"/>
          <w:color w:val="auto"/>
        </w:rPr>
        <w:t>sum cash payment, unless the Participant elects on his or her distribution election form to receive such payment in annual installments not to exceed four years.</w:t>
      </w:r>
    </w:p>
    <w:p>
      <w:pPr>
        <w:spacing w:after="0" w:line="203" w:lineRule="exact"/>
        <w:rPr>
          <w:sz w:val="20"/>
          <w:szCs w:val="20"/>
          <w:color w:val="auto"/>
        </w:rPr>
      </w:pPr>
    </w:p>
    <w:p>
      <w:pPr>
        <w:jc w:val="both"/>
        <w:ind w:left="760" w:firstLine="719"/>
        <w:spacing w:after="0" w:line="220" w:lineRule="exact"/>
        <w:tabs>
          <w:tab w:leader="none" w:pos="2328"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A Participant is entitled to payment of his or her Account(s), as vested under Article VIII,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termination of his or her employment status with all Employers. The amount payable will be paid in a single lump</w:t>
      </w:r>
      <w:r>
        <w:rPr>
          <w:rFonts w:ascii="MS PGothic" w:cs="MS PGothic" w:eastAsia="MS PGothic" w:hAnsi="MS PGothic"/>
          <w:sz w:val="18"/>
          <w:szCs w:val="18"/>
          <w:color w:val="auto"/>
        </w:rPr>
        <w:t>‑</w:t>
      </w:r>
      <w:r>
        <w:rPr>
          <w:rFonts w:ascii="Arial" w:cs="Arial" w:eastAsia="Arial" w:hAnsi="Arial"/>
          <w:sz w:val="18"/>
          <w:szCs w:val="18"/>
          <w:color w:val="auto"/>
        </w:rPr>
        <w:t>sum cash payment, unless the Participant elects on his or her distribution election form to receive such payment in annual installments not to exceed five years.</w:t>
      </w:r>
    </w:p>
    <w:p>
      <w:pPr>
        <w:spacing w:after="0" w:line="204" w:lineRule="exact"/>
        <w:rPr>
          <w:rFonts w:ascii="Arial" w:cs="Arial" w:eastAsia="Arial" w:hAnsi="Arial"/>
          <w:sz w:val="18"/>
          <w:szCs w:val="18"/>
          <w:color w:val="auto"/>
        </w:rPr>
      </w:pPr>
    </w:p>
    <w:p>
      <w:pPr>
        <w:ind w:left="760" w:right="20" w:firstLine="719"/>
        <w:spacing w:after="0" w:line="223" w:lineRule="exact"/>
        <w:tabs>
          <w:tab w:leader="none" w:pos="2318"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A Participant is entitled to payment of his or her Account(s), as 100% vested pursuant to Article VIII,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occurrence of a Change in Control. The amount payable will be in a single lump</w:t>
      </w:r>
      <w:r>
        <w:rPr>
          <w:rFonts w:ascii="MS PGothic" w:cs="MS PGothic" w:eastAsia="MS PGothic" w:hAnsi="MS PGothic"/>
          <w:sz w:val="18"/>
          <w:szCs w:val="18"/>
          <w:color w:val="auto"/>
        </w:rPr>
        <w:t>‑</w:t>
      </w:r>
      <w:r>
        <w:rPr>
          <w:rFonts w:ascii="Arial" w:cs="Arial" w:eastAsia="Arial" w:hAnsi="Arial"/>
          <w:sz w:val="18"/>
          <w:szCs w:val="18"/>
          <w:color w:val="auto"/>
        </w:rPr>
        <w:t>sum cash payment.</w:t>
      </w:r>
    </w:p>
    <w:p>
      <w:pPr>
        <w:spacing w:after="0" w:line="203" w:lineRule="exact"/>
        <w:rPr>
          <w:rFonts w:ascii="Arial" w:cs="Arial" w:eastAsia="Arial" w:hAnsi="Arial"/>
          <w:sz w:val="18"/>
          <w:szCs w:val="18"/>
          <w:color w:val="auto"/>
        </w:rPr>
      </w:pPr>
    </w:p>
    <w:p>
      <w:pPr>
        <w:ind w:left="760" w:firstLine="719"/>
        <w:spacing w:after="0" w:line="223" w:lineRule="exact"/>
        <w:tabs>
          <w:tab w:leader="none" w:pos="2328"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Death</w:t>
      </w:r>
      <w:r>
        <w:rPr>
          <w:rFonts w:ascii="Arial" w:cs="Arial" w:eastAsia="Arial" w:hAnsi="Arial"/>
          <w:sz w:val="18"/>
          <w:szCs w:val="18"/>
          <w:color w:val="auto"/>
        </w:rPr>
        <w:t>. A Participant is entitled to payment of his or her Account(s), as 100% vested pursuant to Article VIII,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death. The amount payable will be in a single lump</w:t>
      </w:r>
      <w:r>
        <w:rPr>
          <w:rFonts w:ascii="MS PGothic" w:cs="MS PGothic" w:eastAsia="MS PGothic" w:hAnsi="MS PGothic"/>
          <w:sz w:val="18"/>
          <w:szCs w:val="18"/>
          <w:color w:val="auto"/>
        </w:rPr>
        <w:t>‑</w:t>
      </w:r>
      <w:r>
        <w:rPr>
          <w:rFonts w:ascii="Arial" w:cs="Arial" w:eastAsia="Arial" w:hAnsi="Arial"/>
          <w:sz w:val="18"/>
          <w:szCs w:val="18"/>
          <w:color w:val="auto"/>
        </w:rPr>
        <w:t>sum cash payment.</w:t>
      </w:r>
    </w:p>
    <w:p>
      <w:pPr>
        <w:spacing w:after="0" w:line="203" w:lineRule="exact"/>
        <w:rPr>
          <w:rFonts w:ascii="Arial" w:cs="Arial" w:eastAsia="Arial" w:hAnsi="Arial"/>
          <w:sz w:val="18"/>
          <w:szCs w:val="18"/>
          <w:color w:val="auto"/>
        </w:rPr>
      </w:pPr>
    </w:p>
    <w:p>
      <w:pPr>
        <w:jc w:val="both"/>
        <w:ind w:left="760" w:firstLine="719"/>
        <w:spacing w:after="0" w:line="221" w:lineRule="exact"/>
        <w:tabs>
          <w:tab w:leader="none" w:pos="2318"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A Participant is entitled to payment of his or her Account(s), as 100% vested pursuant to Article VIII,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determination of a Participant’s Disability. The amount payable will be in a single lump</w:t>
      </w:r>
      <w:r>
        <w:rPr>
          <w:rFonts w:ascii="MS PGothic" w:cs="MS PGothic" w:eastAsia="MS PGothic" w:hAnsi="MS PGothic"/>
          <w:sz w:val="18"/>
          <w:szCs w:val="18"/>
          <w:color w:val="auto"/>
        </w:rPr>
        <w:t>‑</w:t>
      </w:r>
      <w:r>
        <w:rPr>
          <w:rFonts w:ascii="Arial" w:cs="Arial" w:eastAsia="Arial" w:hAnsi="Arial"/>
          <w:sz w:val="18"/>
          <w:szCs w:val="18"/>
          <w:color w:val="auto"/>
        </w:rPr>
        <w:t>sum cash payment, unless the Participant elects on his or her distribution election form to receive such payments in annual installments not to exceed five years.</w:t>
      </w:r>
    </w:p>
    <w:p>
      <w:pPr>
        <w:spacing w:after="0" w:line="202" w:lineRule="exact"/>
        <w:rPr>
          <w:sz w:val="20"/>
          <w:szCs w:val="20"/>
          <w:color w:val="auto"/>
        </w:rPr>
      </w:pPr>
    </w:p>
    <w:p>
      <w:pPr>
        <w:jc w:val="both"/>
        <w:ind w:firstLine="761"/>
        <w:spacing w:after="0" w:line="219" w:lineRule="exact"/>
        <w:rPr>
          <w:sz w:val="20"/>
          <w:szCs w:val="20"/>
          <w:color w:val="auto"/>
        </w:rPr>
      </w:pPr>
      <w:r>
        <w:rPr>
          <w:rFonts w:ascii="Arial" w:cs="Arial" w:eastAsia="Arial" w:hAnsi="Arial"/>
          <w:sz w:val="18"/>
          <w:szCs w:val="18"/>
          <w:color w:val="auto"/>
        </w:rPr>
        <w:t>If a Participant’s distribution election is ineffective for any reason or no distribution election is made, the Participant’s Account(s) will be paid in a single lump</w:t>
      </w:r>
      <w:r>
        <w:rPr>
          <w:rFonts w:ascii="MS PGothic" w:cs="MS PGothic" w:eastAsia="MS PGothic" w:hAnsi="MS PGothic"/>
          <w:sz w:val="18"/>
          <w:szCs w:val="18"/>
          <w:color w:val="auto"/>
        </w:rPr>
        <w:t>‑</w:t>
      </w:r>
      <w:r>
        <w:rPr>
          <w:rFonts w:ascii="Arial" w:cs="Arial" w:eastAsia="Arial" w:hAnsi="Arial"/>
          <w:sz w:val="18"/>
          <w:szCs w:val="18"/>
          <w:color w:val="auto"/>
        </w:rPr>
        <w:t>sum cash payment on the Participant’s separation from service, Change in Control or Disability, as the case may be. For all purposes of the Plan, whether a Participant has a separation from service will be determined in accordance with Code Section 409A and the regulations and guidance thereunder. Notwithstanding the foregoing, a Participant’s Account(s) may also become distributable upon an Unforeseeable Emergency pursuant to Section 10.01.</w:t>
      </w:r>
    </w:p>
    <w:p>
      <w:pPr>
        <w:spacing w:after="0" w:line="20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9.02. Change of Distribution Election Method</w:t>
      </w:r>
      <w:r>
        <w:rPr>
          <w:rFonts w:ascii="Arial" w:cs="Arial" w:eastAsia="Arial" w:hAnsi="Arial"/>
          <w:sz w:val="18"/>
          <w:szCs w:val="18"/>
          <w:color w:val="auto"/>
        </w:rPr>
        <w:t>. A Participant may change the form of distribution elected pursuant to Section 4.01 by</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Plan Administrator written notice of such change in accordance with the following rules:</w:t>
      </w:r>
    </w:p>
    <w:p>
      <w:pPr>
        <w:spacing w:after="0" w:line="166" w:lineRule="exact"/>
        <w:rPr>
          <w:sz w:val="20"/>
          <w:szCs w:val="20"/>
          <w:color w:val="auto"/>
        </w:rPr>
      </w:pPr>
    </w:p>
    <w:p>
      <w:pPr>
        <w:ind w:left="760" w:firstLine="719"/>
        <w:spacing w:after="0" w:line="277" w:lineRule="auto"/>
        <w:tabs>
          <w:tab w:leader="none" w:pos="23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subsequent distribution election may not take effect until at least 12 months after the date on which the election is submitted to the Plan Administrator; and</w:t>
      </w:r>
    </w:p>
    <w:p>
      <w:pPr>
        <w:spacing w:after="0" w:line="170" w:lineRule="exact"/>
        <w:rPr>
          <w:rFonts w:ascii="Arial" w:cs="Arial" w:eastAsia="Arial" w:hAnsi="Arial"/>
          <w:sz w:val="18"/>
          <w:szCs w:val="18"/>
          <w:color w:val="auto"/>
        </w:rPr>
      </w:pPr>
    </w:p>
    <w:p>
      <w:pPr>
        <w:jc w:val="both"/>
        <w:ind w:left="760" w:firstLine="719"/>
        <w:spacing w:after="0" w:line="264" w:lineRule="auto"/>
        <w:tabs>
          <w:tab w:leader="none" w:pos="2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distribution elections that relate to a Participant’s separation from employment, or specified time, other than in cases of Disability, death or subject to the limitations provided in Section 10.01, such election shall not take effect until at least five years from the date the distribution would have otherwise been made.</w:t>
      </w:r>
    </w:p>
    <w:p>
      <w:pPr>
        <w:spacing w:after="0" w:line="177" w:lineRule="exact"/>
        <w:rPr>
          <w:sz w:val="20"/>
          <w:szCs w:val="20"/>
          <w:color w:val="auto"/>
        </w:rPr>
      </w:pPr>
    </w:p>
    <w:p>
      <w:pPr>
        <w:jc w:val="both"/>
        <w:ind w:firstLine="761"/>
        <w:spacing w:after="0" w:line="220" w:lineRule="exact"/>
        <w:rPr>
          <w:sz w:val="20"/>
          <w:szCs w:val="20"/>
          <w:color w:val="auto"/>
        </w:rPr>
      </w:pPr>
      <w:r>
        <w:rPr>
          <w:rFonts w:ascii="Arial" w:cs="Arial" w:eastAsia="Arial" w:hAnsi="Arial"/>
          <w:sz w:val="17"/>
          <w:szCs w:val="17"/>
          <w:b w:val="1"/>
          <w:bCs w:val="1"/>
          <w:color w:val="auto"/>
        </w:rPr>
        <w:t>Section 9.03. Times for Distribution</w:t>
      </w:r>
      <w:r>
        <w:rPr>
          <w:rFonts w:ascii="Arial" w:cs="Arial" w:eastAsia="Arial" w:hAnsi="Arial"/>
          <w:sz w:val="17"/>
          <w:szCs w:val="17"/>
          <w:color w:val="auto"/>
        </w:rPr>
        <w:t>. Subject to Sections 9.01 and 9.02, (a) if distributions from a Participant’s Account(s) are payable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lump</w:t>
      </w:r>
      <w:r>
        <w:rPr>
          <w:rFonts w:ascii="MS PGothic" w:cs="MS PGothic" w:eastAsia="MS PGothic" w:hAnsi="MS PGothic"/>
          <w:sz w:val="17"/>
          <w:szCs w:val="17"/>
          <w:color w:val="auto"/>
        </w:rPr>
        <w:t>‑</w:t>
      </w:r>
      <w:r>
        <w:rPr>
          <w:rFonts w:ascii="Arial" w:cs="Arial" w:eastAsia="Arial" w:hAnsi="Arial"/>
          <w:sz w:val="17"/>
          <w:szCs w:val="17"/>
          <w:color w:val="auto"/>
        </w:rPr>
        <w:t>sum form provided under the Participant’s distribution election, distributions shall be made as soon as reasonably possible after the date the event permitting the distribution occurs but no later than 15 days following the distribution event; and (b) if distributions from a Participant’s Account(s) are payable in the form of installments as provided under the Participant’s distribution election, the first installment shall be paid within 15 days of the distribution event, and the remaining installments shall be paid on the successive anniversaries of the date of the first payment.</w:t>
      </w:r>
    </w:p>
    <w:p>
      <w:pPr>
        <w:spacing w:after="0" w:line="201"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18"/>
          <w:szCs w:val="18"/>
          <w:b w:val="1"/>
          <w:bCs w:val="1"/>
          <w:color w:val="auto"/>
        </w:rPr>
        <w:t>Section 9.04. Distribution Delay for Specified Employees</w:t>
      </w:r>
      <w:r>
        <w:rPr>
          <w:rFonts w:ascii="Arial" w:cs="Arial" w:eastAsia="Arial" w:hAnsi="Arial"/>
          <w:sz w:val="18"/>
          <w:szCs w:val="18"/>
          <w:color w:val="auto"/>
        </w:rPr>
        <w:t>. To the extent a Participant is a Specified Employee, any distribution from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on account of termination of employment will not be made until the date which is (a) six months after the date of the Specified Employee’s separation from service with the Employer or, if earlier, (b) the date of the Specified Employee’s death. To the extent a Specified Employee has chosen to receive distributions in installments, the first installment shall be paid on the first business day after expiration of the six-month period, with all successive installments paid according to the times set forth in Section 9.03.</w:t>
      </w:r>
    </w:p>
    <w:p>
      <w:pPr>
        <w:spacing w:after="0" w:line="184" w:lineRule="exact"/>
        <w:rPr>
          <w:sz w:val="20"/>
          <w:szCs w:val="20"/>
          <w:color w:val="auto"/>
        </w:rPr>
      </w:pPr>
    </w:p>
    <w:p>
      <w:pPr>
        <w:jc w:val="both"/>
        <w:ind w:firstLine="761"/>
        <w:spacing w:after="0" w:line="220" w:lineRule="exact"/>
        <w:rPr>
          <w:sz w:val="20"/>
          <w:szCs w:val="20"/>
          <w:color w:val="auto"/>
        </w:rPr>
      </w:pPr>
      <w:r>
        <w:rPr>
          <w:rFonts w:ascii="Arial" w:cs="Arial" w:eastAsia="Arial" w:hAnsi="Arial"/>
          <w:sz w:val="18"/>
          <w:szCs w:val="18"/>
          <w:b w:val="1"/>
          <w:bCs w:val="1"/>
          <w:color w:val="auto"/>
        </w:rPr>
        <w:t>Section 9.05. De Minimis Amounts</w:t>
      </w:r>
      <w:r>
        <w:rPr>
          <w:rFonts w:ascii="Arial" w:cs="Arial" w:eastAsia="Arial" w:hAnsi="Arial"/>
          <w:sz w:val="18"/>
          <w:szCs w:val="18"/>
          <w:color w:val="auto"/>
        </w:rPr>
        <w:t>. Notwithstanding any payment election made by the Participant, the vested balance in all Account(s)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will be distributed in a single lump</w:t>
      </w:r>
      <w:r>
        <w:rPr>
          <w:rFonts w:ascii="MS PGothic" w:cs="MS PGothic" w:eastAsia="MS PGothic" w:hAnsi="MS PGothic"/>
          <w:sz w:val="18"/>
          <w:szCs w:val="18"/>
          <w:color w:val="auto"/>
        </w:rPr>
        <w:t>‑</w:t>
      </w:r>
      <w:r>
        <w:rPr>
          <w:rFonts w:ascii="Arial" w:cs="Arial" w:eastAsia="Arial" w:hAnsi="Arial"/>
          <w:sz w:val="18"/>
          <w:szCs w:val="18"/>
          <w:color w:val="auto"/>
        </w:rPr>
        <w:t>sum payment at the time designated under the Plan if at the time of a separation from service, death, Disability or Change in Control, the vested balance does not exceed $50,000. In addition, the Employer may distribute a Participant's vested balance in all Account(s) of the Participant at any time if the balance does not exceed the limit in Code Section 402(g)(1)(B) and results in the termination of the Participant’s entire interest in the Plan.</w:t>
      </w:r>
    </w:p>
    <w:p>
      <w:pPr>
        <w:spacing w:after="0" w:line="201"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Section 9.06. Delayed Distributions</w:t>
      </w:r>
      <w:r>
        <w:rPr>
          <w:rFonts w:ascii="Arial" w:cs="Arial" w:eastAsia="Arial" w:hAnsi="Arial"/>
          <w:sz w:val="18"/>
          <w:szCs w:val="18"/>
          <w:color w:val="auto"/>
        </w:rPr>
        <w:t>. Notwithstanding any provision of the Plan to the contrary, distributions under the Plan may be delayed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permitted by Code Section 409A and the guidance thereunder, including, but not limited to, the Employer reasonably anticipating that its deduction with respect to any distribution is limited or eliminated by the application of Code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auto"/>
        </w:rPr>
        <w:t>Section 162(m) or reasonably anticipating that a distribution would violate federal securities laws or other applicable laws. Any delay hereunder will be made in accordance with Code Section 409A and the guidance thereunder.</w:t>
      </w:r>
    </w:p>
    <w:p>
      <w:pPr>
        <w:spacing w:after="0" w:line="166" w:lineRule="exact"/>
        <w:rPr>
          <w:sz w:val="20"/>
          <w:szCs w:val="20"/>
          <w:color w:val="auto"/>
        </w:rPr>
      </w:pPr>
    </w:p>
    <w:p>
      <w:pPr>
        <w:jc w:val="both"/>
        <w:ind w:firstLine="761"/>
        <w:spacing w:after="0" w:line="314" w:lineRule="auto"/>
        <w:rPr>
          <w:sz w:val="20"/>
          <w:szCs w:val="20"/>
          <w:color w:val="auto"/>
        </w:rPr>
      </w:pPr>
      <w:r>
        <w:rPr>
          <w:rFonts w:ascii="Arial" w:cs="Arial" w:eastAsia="Arial" w:hAnsi="Arial"/>
          <w:sz w:val="16"/>
          <w:szCs w:val="16"/>
          <w:b w:val="1"/>
          <w:bCs w:val="1"/>
          <w:color w:val="auto"/>
        </w:rPr>
        <w:t>Section 9.07. Withholding</w:t>
      </w:r>
      <w:r>
        <w:rPr>
          <w:rFonts w:ascii="Arial" w:cs="Arial" w:eastAsia="Arial" w:hAnsi="Arial"/>
          <w:sz w:val="16"/>
          <w:szCs w:val="16"/>
          <w:color w:val="auto"/>
        </w:rPr>
        <w:t>. The Employer may withhold any federal, state or local taxes required with respect to any distribution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The Participant shall take whatever action the Plan Administrator deems appropriate with respect to withholding of taxes, including, but not limited to, the Participant remitting to the Employer any taxes required to be withheld by the Employer under federal, state or local law as a result of the distribution.</w:t>
      </w:r>
    </w:p>
    <w:p>
      <w:pPr>
        <w:spacing w:after="0" w:line="14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9.08. Death Distribution</w:t>
      </w:r>
      <w:r>
        <w:rPr>
          <w:rFonts w:ascii="Arial" w:cs="Arial" w:eastAsia="Arial" w:hAnsi="Arial"/>
          <w:sz w:val="18"/>
          <w:szCs w:val="18"/>
          <w:color w:val="auto"/>
        </w:rPr>
        <w:t>. Upon the death of a Participant and receipt of proof of death satisfactory to the Plan Administrator,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balance credited to his or her Account(s) shall be paid to his or her Beneficiary in the form elected pursuant to Section 9.01.</w:t>
      </w:r>
    </w:p>
    <w:p>
      <w:pPr>
        <w:spacing w:after="0" w:line="16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7"/>
          <w:szCs w:val="17"/>
          <w:b w:val="1"/>
          <w:bCs w:val="1"/>
          <w:color w:val="auto"/>
        </w:rPr>
        <w:t>Section 9.09. Beneficiary Designations</w:t>
      </w:r>
      <w:r>
        <w:rPr>
          <w:rFonts w:ascii="Arial" w:cs="Arial" w:eastAsia="Arial" w:hAnsi="Arial"/>
          <w:sz w:val="17"/>
          <w:szCs w:val="17"/>
          <w:color w:val="auto"/>
        </w:rPr>
        <w:t>. A Participant may designate one or more primary Beneficiaries and contingent Beneficiaries on such</w:t>
      </w:r>
      <w:r>
        <w:rPr>
          <w:rFonts w:ascii="Arial" w:cs="Arial" w:eastAsia="Arial" w:hAnsi="Arial"/>
          <w:sz w:val="17"/>
          <w:szCs w:val="17"/>
          <w:b w:val="1"/>
          <w:bCs w:val="1"/>
          <w:color w:val="auto"/>
        </w:rPr>
        <w:t xml:space="preserve"> </w:t>
      </w:r>
      <w:r>
        <w:rPr>
          <w:rFonts w:ascii="Arial" w:cs="Arial" w:eastAsia="Arial" w:hAnsi="Arial"/>
          <w:sz w:val="17"/>
          <w:szCs w:val="17"/>
          <w:color w:val="auto"/>
        </w:rPr>
        <w:t>form as the Plan Administrator shall specify. A Participant may designate different Beneficiaries (or revoke a prior designation) at any time by delivering a new designation form (or a signed revocation of a prior designation) to the Plan Administrator. If a Participant dies without having designated a Beneficiary, or if no Beneficiary survives the Participant, the Participant’s Account(s) shall be payable first to his or her surviving spouse or, if the Participant is not survived by his or her spouse, the Account shall be paid to the executor and/or administrator of the Participant’s estate.</w:t>
      </w:r>
    </w:p>
    <w:p>
      <w:pPr>
        <w:spacing w:after="0" w:line="168"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Section 9.10. Payments to Minors or Incompetents</w:t>
      </w:r>
      <w:r>
        <w:rPr>
          <w:rFonts w:ascii="Arial" w:cs="Arial" w:eastAsia="Arial" w:hAnsi="Arial"/>
          <w:sz w:val="18"/>
          <w:szCs w:val="18"/>
          <w:color w:val="auto"/>
        </w:rPr>
        <w:t>. If any individual to whom a benefit is payable under the Plan is a minor, or if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determines that any individual to whom a benefit is payable under the Plan is mentally incompetent to receive such payment or to give a valid release therefor, payment shall be made to the guardian, administrator or other representative of the estate of the minor or incompetent which has been duly appointed by a court of competent jurisdiction.</w:t>
      </w:r>
    </w:p>
    <w:p>
      <w:pPr>
        <w:spacing w:after="0" w:line="180" w:lineRule="exact"/>
        <w:rPr>
          <w:sz w:val="20"/>
          <w:szCs w:val="20"/>
          <w:color w:val="auto"/>
        </w:rPr>
      </w:pPr>
    </w:p>
    <w:p>
      <w:pPr>
        <w:jc w:val="both"/>
        <w:ind w:right="20" w:firstLine="761"/>
        <w:spacing w:after="0" w:line="266" w:lineRule="auto"/>
        <w:rPr>
          <w:sz w:val="20"/>
          <w:szCs w:val="20"/>
          <w:color w:val="auto"/>
        </w:rPr>
      </w:pPr>
      <w:r>
        <w:rPr>
          <w:rFonts w:ascii="Arial" w:cs="Arial" w:eastAsia="Arial" w:hAnsi="Arial"/>
          <w:sz w:val="18"/>
          <w:szCs w:val="18"/>
          <w:b w:val="1"/>
          <w:bCs w:val="1"/>
          <w:color w:val="auto"/>
        </w:rPr>
        <w:t>Section 9.11. Undistributable Accounts</w:t>
      </w:r>
      <w:r>
        <w:rPr>
          <w:rFonts w:ascii="Arial" w:cs="Arial" w:eastAsia="Arial" w:hAnsi="Arial"/>
          <w:sz w:val="18"/>
          <w:szCs w:val="18"/>
          <w:color w:val="auto"/>
        </w:rPr>
        <w:t>. Each Participant and (in the event of death) his or her Beneficiary shall keep the Plan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advised of his or her current address. If the Plan Administrator is unable (after making reasonable efforts) to locate the Participant or Beneficiary to whom a Participant’s Account(s) is payable under this Article IX:</w:t>
      </w:r>
    </w:p>
    <w:p>
      <w:pPr>
        <w:spacing w:after="0" w:line="180" w:lineRule="exact"/>
        <w:rPr>
          <w:sz w:val="20"/>
          <w:szCs w:val="20"/>
          <w:color w:val="auto"/>
        </w:rPr>
      </w:pPr>
    </w:p>
    <w:p>
      <w:pPr>
        <w:ind w:left="760" w:firstLine="719"/>
        <w:spacing w:after="0" w:line="342" w:lineRule="auto"/>
        <w:tabs>
          <w:tab w:leader="none" w:pos="231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Participant’s Account(s) shall be frozen as of the date the Participant or Beneficiary entitled to payment of the Account(s) is first determined to be missing and no further appreciation, depreciation, earnings, gains or losses shall be credited or debited thereto; and</w:t>
      </w:r>
    </w:p>
    <w:p>
      <w:pPr>
        <w:spacing w:after="0" w:line="123" w:lineRule="exact"/>
        <w:rPr>
          <w:rFonts w:ascii="Arial" w:cs="Arial" w:eastAsia="Arial" w:hAnsi="Arial"/>
          <w:sz w:val="16"/>
          <w:szCs w:val="16"/>
          <w:color w:val="auto"/>
        </w:rPr>
      </w:pPr>
    </w:p>
    <w:p>
      <w:pPr>
        <w:jc w:val="both"/>
        <w:ind w:left="760" w:firstLine="719"/>
        <w:spacing w:after="0" w:line="264" w:lineRule="auto"/>
        <w:tabs>
          <w:tab w:leader="none" w:pos="2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Participant or Beneficiary whose Account(s) was frozen under paragraph (a) above later files a claim for distribution of the Account(s), and if the Plan Administrator (in its discretion) determines that such claim is valid, then the balance previously frozen shall be restored to the Account(s).</w:t>
      </w:r>
    </w:p>
    <w:p>
      <w:pPr>
        <w:spacing w:after="0" w:line="177" w:lineRule="exact"/>
        <w:rPr>
          <w:sz w:val="20"/>
          <w:szCs w:val="20"/>
          <w:color w:val="auto"/>
        </w:rPr>
      </w:pPr>
    </w:p>
    <w:p>
      <w:pPr>
        <w:jc w:val="both"/>
        <w:ind w:right="20" w:firstLine="761"/>
        <w:spacing w:after="0" w:line="289" w:lineRule="auto"/>
        <w:rPr>
          <w:sz w:val="20"/>
          <w:szCs w:val="20"/>
          <w:color w:val="auto"/>
        </w:rPr>
      </w:pPr>
      <w:r>
        <w:rPr>
          <w:rFonts w:ascii="Arial" w:cs="Arial" w:eastAsia="Arial" w:hAnsi="Arial"/>
          <w:sz w:val="17"/>
          <w:szCs w:val="17"/>
          <w:b w:val="1"/>
          <w:bCs w:val="1"/>
          <w:color w:val="auto"/>
        </w:rPr>
        <w:t>Section 9.12. Additional Payments</w:t>
      </w:r>
      <w:r>
        <w:rPr>
          <w:rFonts w:ascii="Arial" w:cs="Arial" w:eastAsia="Arial" w:hAnsi="Arial"/>
          <w:sz w:val="17"/>
          <w:szCs w:val="17"/>
          <w:color w:val="auto"/>
        </w:rPr>
        <w:t>. As allowed under Section 409A of the Code and its accompanying regulations, the Plan permits a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to receive a distribution from his or her vested Account of any amount deemed to violate Section 409A. Such payment may not exceed the amount required to be included as income as a result of such failure to comply with Section 409A and its accompanying regulations.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UNFORESEEABLE EMERGENCIES</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color w:val="auto"/>
        </w:rPr>
        <w:t>Section 10.01. Unforeseeable Emergencies</w:t>
      </w:r>
      <w:r>
        <w:rPr>
          <w:rFonts w:ascii="Arial" w:cs="Arial" w:eastAsia="Arial" w:hAnsi="Arial"/>
          <w:sz w:val="18"/>
          <w:szCs w:val="18"/>
          <w:color w:val="auto"/>
        </w:rPr>
        <w:t>. A Participant may apply to the Plan Administrator for a distribution from the Plan on account of an</w:t>
      </w:r>
      <w:r>
        <w:rPr>
          <w:rFonts w:ascii="Arial" w:cs="Arial" w:eastAsia="Arial" w:hAnsi="Arial"/>
          <w:sz w:val="18"/>
          <w:szCs w:val="18"/>
          <w:b w:val="1"/>
          <w:bCs w:val="1"/>
          <w:color w:val="auto"/>
        </w:rPr>
        <w:t xml:space="preserve"> </w:t>
      </w:r>
      <w:r>
        <w:rPr>
          <w:rFonts w:ascii="Arial" w:cs="Arial" w:eastAsia="Arial" w:hAnsi="Arial"/>
          <w:sz w:val="18"/>
          <w:szCs w:val="18"/>
          <w:color w:val="auto"/>
        </w:rPr>
        <w:t>Unforeseeable Emergency. The Plan Administrator (in its sole discretion) shall determine whether an Unforeseeable Emergency exists based on the relevant facts and circumstances of each case. If the Plan Administrator (in its discretion) approves an application for a distribution on account of an Unforeseeable Emergency, the amount withdrawn shall be (a) withdrawn from the subaccounts of the Participant’s Elective Deferral Account as specified in procedures approved by the Plan Administrator (in its discretion), and (b) distributed to the Participant as soon as reasonably possible after the application approval date, but no later than 60 days following the application approval date. A Participant may make a withdrawal from his or her Elective Deferral Account subject to the following rules:</w:t>
      </w:r>
    </w:p>
    <w:p>
      <w:pPr>
        <w:spacing w:after="0" w:line="193" w:lineRule="exact"/>
        <w:rPr>
          <w:sz w:val="20"/>
          <w:szCs w:val="20"/>
          <w:color w:val="auto"/>
        </w:rPr>
      </w:pPr>
    </w:p>
    <w:p>
      <w:pPr>
        <w:ind w:left="760" w:firstLine="719"/>
        <w:spacing w:after="0" w:line="277" w:lineRule="auto"/>
        <w:tabs>
          <w:tab w:leader="none" w:pos="2318"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Unforeseeable Emergency</w:t>
      </w:r>
      <w:r>
        <w:rPr>
          <w:rFonts w:ascii="Arial" w:cs="Arial" w:eastAsia="Arial" w:hAnsi="Arial"/>
          <w:sz w:val="18"/>
          <w:szCs w:val="18"/>
          <w:color w:val="auto"/>
        </w:rPr>
        <w:t>. For purposes of applying this Section 10.01, a Participant may make a withdrawal only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 of an Unforeseeable Emergency.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jc w:val="both"/>
        <w:ind w:left="760" w:firstLine="719"/>
        <w:spacing w:after="0" w:line="259" w:lineRule="auto"/>
        <w:tabs>
          <w:tab w:leader="none" w:pos="2328"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Amount Limitation</w:t>
      </w:r>
      <w:r>
        <w:rPr>
          <w:rFonts w:ascii="Arial" w:cs="Arial" w:eastAsia="Arial" w:hAnsi="Arial"/>
          <w:sz w:val="18"/>
          <w:szCs w:val="18"/>
          <w:color w:val="auto"/>
        </w:rPr>
        <w:t>. The amount available for the Unforeseeable Emergency is limited to the amount reasonably necessary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satisfy the emergency need, as determined by the Plan Administrator (in its discretion), and shall not exceed the balances credited to the Participant’s Elective Deferral Account, determined as of the date that next preceded the withdrawal date; provided, however, that no income allocated to his or her Elective Deferral Account shall be available for withdrawal.</w:t>
      </w:r>
    </w:p>
    <w:p>
      <w:pPr>
        <w:spacing w:after="0" w:line="186" w:lineRule="exact"/>
        <w:rPr>
          <w:rFonts w:ascii="Arial" w:cs="Arial" w:eastAsia="Arial" w:hAnsi="Arial"/>
          <w:sz w:val="18"/>
          <w:szCs w:val="18"/>
          <w:color w:val="auto"/>
        </w:rPr>
      </w:pPr>
    </w:p>
    <w:p>
      <w:pPr>
        <w:ind w:left="760" w:firstLine="719"/>
        <w:spacing w:after="0" w:line="277" w:lineRule="auto"/>
        <w:tabs>
          <w:tab w:leader="none" w:pos="2318"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Other Sources</w:t>
      </w:r>
      <w:r>
        <w:rPr>
          <w:rFonts w:ascii="Arial" w:cs="Arial" w:eastAsia="Arial" w:hAnsi="Arial"/>
          <w:sz w:val="18"/>
          <w:szCs w:val="18"/>
          <w:color w:val="auto"/>
        </w:rPr>
        <w:t>. The Participant shall first obtain reimbursement through insurance or otherwise and shall liquidate assets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extent the liquidation of such assets would not itself cause severe financial hardship.</w:t>
      </w:r>
    </w:p>
    <w:p>
      <w:pPr>
        <w:spacing w:after="0" w:line="170" w:lineRule="exact"/>
        <w:rPr>
          <w:rFonts w:ascii="Arial" w:cs="Arial" w:eastAsia="Arial" w:hAnsi="Arial"/>
          <w:sz w:val="18"/>
          <w:szCs w:val="18"/>
          <w:color w:val="auto"/>
        </w:rPr>
      </w:pPr>
    </w:p>
    <w:p>
      <w:pPr>
        <w:jc w:val="both"/>
        <w:ind w:left="760" w:firstLine="719"/>
        <w:spacing w:after="0" w:line="264" w:lineRule="auto"/>
        <w:tabs>
          <w:tab w:leader="none" w:pos="2328"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Suspension From Further Contributions</w:t>
      </w:r>
      <w:r>
        <w:rPr>
          <w:rFonts w:ascii="Arial" w:cs="Arial" w:eastAsia="Arial" w:hAnsi="Arial"/>
          <w:sz w:val="18"/>
          <w:szCs w:val="18"/>
          <w:color w:val="auto"/>
        </w:rPr>
        <w:t>. Upon obtaining a distribution due to an Unforeseeable Emergency, a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deferral election will be revoked for the remainder of the Plan Year in which the Participant received such distribution. The Participant may resume deferrals under the Plan as of the first day of the next Plan Year.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OF THE PLAN</w:t>
      </w:r>
    </w:p>
    <w:p>
      <w:pPr>
        <w:spacing w:after="0" w:line="225"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Section 11.01. Plan Administrator</w:t>
      </w:r>
      <w:r>
        <w:rPr>
          <w:rFonts w:ascii="Arial" w:cs="Arial" w:eastAsia="Arial" w:hAnsi="Arial"/>
          <w:sz w:val="18"/>
          <w:szCs w:val="18"/>
          <w:color w:val="auto"/>
        </w:rPr>
        <w:t>. The Compensation Committee of the Board of Directos is hereby designated as the Plan Administrator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Plan Administrator may designate certain specified duties of Plan administration to an individual or group of individuals who, with respect to such duties, shall have all reasonable powers necessary or appropriate to accomplish them.</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Section 11.02. Powers of Plan Administrator</w:t>
      </w:r>
      <w:r>
        <w:rPr>
          <w:rFonts w:ascii="Arial" w:cs="Arial" w:eastAsia="Arial" w:hAnsi="Arial"/>
          <w:sz w:val="16"/>
          <w:szCs w:val="16"/>
          <w:color w:val="auto"/>
        </w:rPr>
        <w:t>.  The Plan Administrator shall have all powers necessary to supervise the administration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 and to control its operation in accordance with its terms, including, but not by way of limitation, the following discretionary powers:</w:t>
      </w:r>
    </w:p>
    <w:p>
      <w:pPr>
        <w:spacing w:after="0" w:line="211" w:lineRule="exact"/>
        <w:rPr>
          <w:sz w:val="20"/>
          <w:szCs w:val="20"/>
          <w:color w:val="auto"/>
        </w:rPr>
      </w:pPr>
    </w:p>
    <w:p>
      <w:pPr>
        <w:ind w:left="760" w:firstLine="719"/>
        <w:spacing w:after="0" w:line="277" w:lineRule="auto"/>
        <w:tabs>
          <w:tab w:leader="none" w:pos="23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interpret the provisions of the Plan and to determine any question arising under, or in connection with the administration or operation of, the Plan;</w:t>
      </w:r>
    </w:p>
    <w:p>
      <w:pPr>
        <w:spacing w:after="0" w:line="170" w:lineRule="exact"/>
        <w:rPr>
          <w:rFonts w:ascii="Arial" w:cs="Arial" w:eastAsia="Arial" w:hAnsi="Arial"/>
          <w:sz w:val="18"/>
          <w:szCs w:val="18"/>
          <w:color w:val="auto"/>
        </w:rPr>
      </w:pPr>
    </w:p>
    <w:p>
      <w:pPr>
        <w:ind w:left="760" w:right="20" w:firstLine="719"/>
        <w:spacing w:after="0" w:line="277" w:lineRule="auto"/>
        <w:tabs>
          <w:tab w:leader="none" w:pos="2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determine all questions concerning the eligibility of any Employee to become or remain a Participant and/or an Active Participant in the Plan;</w:t>
      </w:r>
    </w:p>
    <w:p>
      <w:pPr>
        <w:spacing w:after="0" w:line="170" w:lineRule="exact"/>
        <w:rPr>
          <w:rFonts w:ascii="Arial" w:cs="Arial" w:eastAsia="Arial" w:hAnsi="Arial"/>
          <w:sz w:val="18"/>
          <w:szCs w:val="18"/>
          <w:color w:val="auto"/>
        </w:rPr>
      </w:pPr>
    </w:p>
    <w:p>
      <w:pPr>
        <w:ind w:left="2320" w:hanging="841"/>
        <w:spacing w:after="0"/>
        <w:tabs>
          <w:tab w:leader="none" w:pos="2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cause one or more separate Accounts to be maintained for each Participant;</w:t>
      </w:r>
    </w:p>
    <w:p>
      <w:pPr>
        <w:spacing w:after="0" w:line="225" w:lineRule="exact"/>
        <w:rPr>
          <w:rFonts w:ascii="Arial" w:cs="Arial" w:eastAsia="Arial" w:hAnsi="Arial"/>
          <w:sz w:val="18"/>
          <w:szCs w:val="18"/>
          <w:color w:val="auto"/>
        </w:rPr>
      </w:pPr>
    </w:p>
    <w:p>
      <w:pPr>
        <w:ind w:left="2340" w:hanging="861"/>
        <w:spacing w:after="0"/>
        <w:tabs>
          <w:tab w:leader="none" w:pos="2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determine the manner and form of any distribution to be made under the Plan;</w:t>
      </w:r>
    </w:p>
    <w:p>
      <w:pPr>
        <w:spacing w:after="0" w:line="225" w:lineRule="exact"/>
        <w:rPr>
          <w:rFonts w:ascii="Arial" w:cs="Arial" w:eastAsia="Arial" w:hAnsi="Arial"/>
          <w:sz w:val="18"/>
          <w:szCs w:val="18"/>
          <w:color w:val="auto"/>
        </w:rPr>
      </w:pPr>
    </w:p>
    <w:p>
      <w:pPr>
        <w:ind w:left="2320" w:hanging="841"/>
        <w:spacing w:after="0"/>
        <w:tabs>
          <w:tab w:leader="none" w:pos="2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determine the status and rights of Participants and their spouses, Beneficiaries or estates;</w:t>
      </w:r>
    </w:p>
    <w:p>
      <w:pPr>
        <w:spacing w:after="0" w:line="225" w:lineRule="exact"/>
        <w:rPr>
          <w:rFonts w:ascii="Arial" w:cs="Arial" w:eastAsia="Arial" w:hAnsi="Arial"/>
          <w:sz w:val="18"/>
          <w:szCs w:val="18"/>
          <w:color w:val="auto"/>
        </w:rPr>
      </w:pPr>
    </w:p>
    <w:p>
      <w:pPr>
        <w:ind w:left="760" w:firstLine="719"/>
        <w:spacing w:after="0" w:line="342" w:lineRule="auto"/>
        <w:tabs>
          <w:tab w:leader="none" w:pos="22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appoint and discharge such trustees, recordkeepers, consultants, counsel (who may be of counsel to any Employer) and other agents and advisers, and to obtain such other services, as it may deem necessary or appropriate in carrying out the provisions of the Plan;</w:t>
      </w:r>
    </w:p>
    <w:p>
      <w:pPr>
        <w:spacing w:after="0" w:line="123" w:lineRule="exact"/>
        <w:rPr>
          <w:rFonts w:ascii="Arial" w:cs="Arial" w:eastAsia="Arial" w:hAnsi="Arial"/>
          <w:sz w:val="16"/>
          <w:szCs w:val="16"/>
          <w:color w:val="auto"/>
        </w:rPr>
      </w:pPr>
    </w:p>
    <w:p>
      <w:pPr>
        <w:ind w:left="760" w:right="20" w:firstLine="719"/>
        <w:spacing w:after="0" w:line="277" w:lineRule="auto"/>
        <w:tabs>
          <w:tab w:leader="none" w:pos="2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prescribe the manner and notice period in which any Participant, or his or her spouse or other Beneficiary, may make any election or designation provided under the Plan;</w:t>
      </w:r>
    </w:p>
    <w:p>
      <w:pPr>
        <w:spacing w:after="0" w:line="170" w:lineRule="exact"/>
        <w:rPr>
          <w:rFonts w:ascii="Arial" w:cs="Arial" w:eastAsia="Arial" w:hAnsi="Arial"/>
          <w:sz w:val="18"/>
          <w:szCs w:val="18"/>
          <w:color w:val="auto"/>
        </w:rPr>
      </w:pPr>
    </w:p>
    <w:p>
      <w:pPr>
        <w:ind w:left="2340" w:hanging="861"/>
        <w:spacing w:after="0"/>
        <w:tabs>
          <w:tab w:leader="none" w:pos="2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establish rules for the performance of its powers and duties and for the administration of the Plan;</w:t>
      </w:r>
    </w:p>
    <w:p>
      <w:pPr>
        <w:spacing w:after="0" w:line="225" w:lineRule="exact"/>
        <w:rPr>
          <w:rFonts w:ascii="Arial" w:cs="Arial" w:eastAsia="Arial" w:hAnsi="Arial"/>
          <w:sz w:val="18"/>
          <w:szCs w:val="18"/>
          <w:color w:val="auto"/>
        </w:rPr>
      </w:pPr>
    </w:p>
    <w:p>
      <w:pPr>
        <w:ind w:left="760" w:right="20" w:firstLine="719"/>
        <w:spacing w:after="0" w:line="277" w:lineRule="auto"/>
        <w:tabs>
          <w:tab w:leader="none" w:pos="22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establish rules, regulations and procedures under which requests for Plan information from Participants are processed promptly and completely;</w:t>
      </w:r>
    </w:p>
    <w:p>
      <w:pPr>
        <w:spacing w:after="0" w:line="170" w:lineRule="exact"/>
        <w:rPr>
          <w:rFonts w:ascii="Arial" w:cs="Arial" w:eastAsia="Arial" w:hAnsi="Arial"/>
          <w:sz w:val="18"/>
          <w:szCs w:val="18"/>
          <w:color w:val="auto"/>
        </w:rPr>
      </w:pPr>
    </w:p>
    <w:p>
      <w:pPr>
        <w:ind w:left="760" w:firstLine="719"/>
        <w:spacing w:after="0" w:line="277" w:lineRule="auto"/>
        <w:tabs>
          <w:tab w:leader="none" w:pos="22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act as agent for the Employer in keeping all records and assisting with the preparation, filing and distribution of all necessary reports and disclosures;</w:t>
      </w:r>
    </w:p>
    <w:p>
      <w:pPr>
        <w:spacing w:after="0" w:line="170" w:lineRule="exact"/>
        <w:rPr>
          <w:rFonts w:ascii="Arial" w:cs="Arial" w:eastAsia="Arial" w:hAnsi="Arial"/>
          <w:sz w:val="18"/>
          <w:szCs w:val="18"/>
          <w:color w:val="auto"/>
        </w:rPr>
      </w:pPr>
    </w:p>
    <w:p>
      <w:pPr>
        <w:ind w:left="760" w:firstLine="719"/>
        <w:spacing w:after="0" w:line="277" w:lineRule="auto"/>
        <w:tabs>
          <w:tab w:leader="none" w:pos="2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delegate to one or more persons, severally or jointly, the authority to perform for and on behalf of the Plan Administrator one or more of the functions of the Plan Administrator under the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jc w:val="both"/>
        <w:ind w:left="760" w:firstLine="719"/>
        <w:spacing w:after="0" w:line="264" w:lineRule="auto"/>
        <w:tabs>
          <w:tab w:leader="none" w:pos="22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exercise the authority to make decisions and to make changes to the Plan independent of the Board of Directors, including adopting one or more amendments to the Plan that are not anticipated to have a material financial impact on the Plan or the Employers or a material adverse effect on Participants;</w:t>
      </w:r>
    </w:p>
    <w:p>
      <w:pPr>
        <w:spacing w:after="0" w:line="181" w:lineRule="exact"/>
        <w:rPr>
          <w:rFonts w:ascii="Arial" w:cs="Arial" w:eastAsia="Arial" w:hAnsi="Arial"/>
          <w:sz w:val="18"/>
          <w:szCs w:val="18"/>
          <w:color w:val="auto"/>
        </w:rPr>
      </w:pPr>
    </w:p>
    <w:p>
      <w:pPr>
        <w:ind w:left="2380" w:hanging="901"/>
        <w:spacing w:after="0"/>
        <w:tabs>
          <w:tab w:leader="none" w:pos="2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establish, liquidate or consolidate any rabbi trust or secular trust associated with the Plan, with the approval of the Board</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of Directors; and</w:t>
      </w:r>
    </w:p>
    <w:p>
      <w:pPr>
        <w:spacing w:after="0" w:line="210" w:lineRule="exact"/>
        <w:rPr>
          <w:rFonts w:ascii="Arial" w:cs="Arial" w:eastAsia="Arial" w:hAnsi="Arial"/>
          <w:sz w:val="16"/>
          <w:szCs w:val="16"/>
          <w:color w:val="auto"/>
        </w:rPr>
      </w:pPr>
    </w:p>
    <w:p>
      <w:pPr>
        <w:jc w:val="both"/>
        <w:ind w:left="760" w:firstLine="719"/>
        <w:spacing w:after="0" w:line="264" w:lineRule="auto"/>
        <w:tabs>
          <w:tab w:leader="none" w:pos="2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and all decisions, to take any and all actions, and to execute any and all documents as the Plan Administrator, its delegate or the officers of the Employer deem necessary or desirable to implement any resolutions made by the Board of Directors and to contribute to the smooth operation of the Plan.</w:t>
      </w:r>
    </w:p>
    <w:p>
      <w:pPr>
        <w:spacing w:after="0" w:line="177"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Section 11.03. Decisions of Plan Administrator</w:t>
      </w:r>
      <w:r>
        <w:rPr>
          <w:rFonts w:ascii="Arial" w:cs="Arial" w:eastAsia="Arial" w:hAnsi="Arial"/>
          <w:sz w:val="18"/>
          <w:szCs w:val="18"/>
          <w:color w:val="auto"/>
        </w:rPr>
        <w:t>. All decisions of the Plan Administrator, any action taken by the Plan Administrator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Plan and within the powers granted to it under the Plan, and any interpretation of provision of the Plan by the Plan Administrator shall be conclusive and binding on all persons and shall be given the maximum possible deference allowed by law.</w:t>
      </w:r>
    </w:p>
    <w:p>
      <w:pPr>
        <w:spacing w:after="0" w:line="176"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Section 11.04. Administrative Expenses</w:t>
      </w:r>
      <w:r>
        <w:rPr>
          <w:rFonts w:ascii="Arial" w:cs="Arial" w:eastAsia="Arial" w:hAnsi="Arial"/>
          <w:sz w:val="18"/>
          <w:szCs w:val="18"/>
          <w:color w:val="auto"/>
        </w:rPr>
        <w:t>. The Plan Administrator shall serve without compensation for his or her services as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All expenses incurred in connection with the administration of the Plan or the trust, if any, by the Company, the Employers, the Plan Administrator or otherwise, including trustee, if any, and legal fees and expenses, shall be equitably apportioned among the Employers as determined by the Plan Administrator (in his or her discretion).</w:t>
      </w:r>
    </w:p>
    <w:p>
      <w:pPr>
        <w:spacing w:after="0" w:line="180"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7"/>
          <w:szCs w:val="17"/>
          <w:b w:val="1"/>
          <w:bCs w:val="1"/>
          <w:color w:val="auto"/>
        </w:rPr>
        <w:t>Section 11.05. Eligibility To Participate</w:t>
      </w:r>
      <w:r>
        <w:rPr>
          <w:rFonts w:ascii="Arial" w:cs="Arial" w:eastAsia="Arial" w:hAnsi="Arial"/>
          <w:sz w:val="17"/>
          <w:szCs w:val="17"/>
          <w:color w:val="auto"/>
        </w:rPr>
        <w:t>. One or more persons acting as the Plan Administrator may be an Eligible Employee and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under Article III to participate in the Plan. The Plan Administrator shall not act or pass upon any matters pertaining specifically to his or her own Account(s) under the Plan. For such matters, the Board of Directors of the Company, not including such individual, shall act as the Plan Administrator.</w:t>
      </w:r>
    </w:p>
    <w:p>
      <w:pPr>
        <w:spacing w:after="0" w:line="15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7"/>
          <w:szCs w:val="17"/>
          <w:b w:val="1"/>
          <w:bCs w:val="1"/>
          <w:color w:val="auto"/>
        </w:rPr>
        <w:t>Section 11.06. Indemnification</w:t>
      </w:r>
      <w:r>
        <w:rPr>
          <w:rFonts w:ascii="Arial" w:cs="Arial" w:eastAsia="Arial" w:hAnsi="Arial"/>
          <w:sz w:val="17"/>
          <w:szCs w:val="17"/>
          <w:color w:val="auto"/>
        </w:rPr>
        <w:t>. Each of the Employers shall, and by adopting the Plan agrees to, indemnify and hold harmless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officers or directors who may be deemed to be a fiduciary of the Plan, the Company and the Plan Administrator from and against any and all losses, claims, damages, expenses and liabilities (including reasonable attorneys’ fees and amounts paid, with the approval of the Board of Directors, in settlement of any claim) arising out of or resulting from the implementation of a duty, act or decision with respect to the Plan, so long as such duty, act or decision does not involve bad faith, gross negligence or willful misconduct on the part of any such individual.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CLAIMS PROCEDURES</w:t>
      </w:r>
    </w:p>
    <w:p>
      <w:pPr>
        <w:spacing w:after="0" w:line="225" w:lineRule="exact"/>
        <w:rPr>
          <w:sz w:val="20"/>
          <w:szCs w:val="20"/>
          <w:color w:val="auto"/>
        </w:rPr>
      </w:pPr>
    </w:p>
    <w:p>
      <w:pPr>
        <w:jc w:val="both"/>
        <w:ind w:right="20" w:firstLine="761"/>
        <w:spacing w:after="0" w:line="266" w:lineRule="auto"/>
        <w:rPr>
          <w:sz w:val="20"/>
          <w:szCs w:val="20"/>
          <w:color w:val="auto"/>
        </w:rPr>
      </w:pPr>
      <w:r>
        <w:rPr>
          <w:rFonts w:ascii="Arial" w:cs="Arial" w:eastAsia="Arial" w:hAnsi="Arial"/>
          <w:sz w:val="18"/>
          <w:szCs w:val="18"/>
          <w:b w:val="1"/>
          <w:bCs w:val="1"/>
          <w:color w:val="auto"/>
        </w:rPr>
        <w:t>Section 12.01. Filing a Claim</w:t>
      </w:r>
      <w:r>
        <w:rPr>
          <w:rFonts w:ascii="Arial" w:cs="Arial" w:eastAsia="Arial" w:hAnsi="Arial"/>
          <w:sz w:val="18"/>
          <w:szCs w:val="18"/>
          <w:color w:val="auto"/>
        </w:rPr>
        <w:t>. A claim for benefits not previously elected under a deferral agreement, shall be made in writing by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if applicable, the Participant’s Beneficiary, executor or administrator, or authorized representative (collectively, the “Claimant”) to the Plan Administrator within 60 days of the event by which the Claimant claims he or she is entitled to receive benefits under the Plan.</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Section 12.02. Review of Initial Claim</w:t>
      </w:r>
      <w:r>
        <w:rPr>
          <w:rFonts w:ascii="Arial" w:cs="Arial" w:eastAsia="Arial" w:hAnsi="Arial"/>
          <w:sz w:val="18"/>
          <w:szCs w:val="18"/>
          <w:color w:val="auto"/>
        </w:rPr>
        <w:t>.</w:t>
      </w:r>
    </w:p>
    <w:p>
      <w:pPr>
        <w:spacing w:after="0" w:line="229" w:lineRule="exact"/>
        <w:rPr>
          <w:sz w:val="20"/>
          <w:szCs w:val="20"/>
          <w:color w:val="auto"/>
        </w:rPr>
      </w:pPr>
    </w:p>
    <w:p>
      <w:pPr>
        <w:jc w:val="both"/>
        <w:ind w:left="760" w:firstLine="719"/>
        <w:spacing w:after="0" w:line="273" w:lineRule="auto"/>
        <w:tabs>
          <w:tab w:leader="none" w:pos="2318"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Initial Period for Review of the Claim</w:t>
      </w:r>
      <w:r>
        <w:rPr>
          <w:rFonts w:ascii="Arial" w:cs="Arial" w:eastAsia="Arial" w:hAnsi="Arial"/>
          <w:sz w:val="17"/>
          <w:szCs w:val="17"/>
          <w:color w:val="auto"/>
        </w:rPr>
        <w:t>. The Plan Administrator shall review all materials and shall decide whether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approve or deny the claim. If a claim is denied in whole or in part, written notice of denial shall be furnished by the Plan Administrator to the Claimant within a reasonable time after the claim is filed but not later than 90 days after the Plan Administrator receives the claim. The notice shall set forth the specific reason(s) for the denial, reference to the specific Plan provisions on which the denial is based, a description of any additional material or information necessary for the Claimant to perfect his or her claim and an explanation of why such material or information is necessary, and a description of the Plan’s review procedures, including the applicable time limits.</w:t>
      </w:r>
    </w:p>
    <w:p>
      <w:pPr>
        <w:spacing w:after="0" w:line="178" w:lineRule="exact"/>
        <w:rPr>
          <w:rFonts w:ascii="Arial" w:cs="Arial" w:eastAsia="Arial" w:hAnsi="Arial"/>
          <w:sz w:val="17"/>
          <w:szCs w:val="17"/>
          <w:color w:val="auto"/>
        </w:rPr>
      </w:pPr>
    </w:p>
    <w:p>
      <w:pPr>
        <w:jc w:val="both"/>
        <w:ind w:left="760" w:firstLine="719"/>
        <w:spacing w:after="0" w:line="220" w:lineRule="exact"/>
        <w:tabs>
          <w:tab w:leader="none" w:pos="2328"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Extension</w:t>
      </w:r>
      <w:r>
        <w:rPr>
          <w:rFonts w:ascii="Arial" w:cs="Arial" w:eastAsia="Arial" w:hAnsi="Arial"/>
          <w:sz w:val="18"/>
          <w:szCs w:val="18"/>
          <w:color w:val="auto"/>
        </w:rPr>
        <w:t>. If the Plan Administrator determines that special circumstances require an extension of time for processing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 it shall give written notice to the Claimant and the extension shall not exceed 90 days. The notice shall be given before the expiration of the 90</w:t>
      </w:r>
      <w:r>
        <w:rPr>
          <w:rFonts w:ascii="MS PGothic" w:cs="MS PGothic" w:eastAsia="MS PGothic" w:hAnsi="MS PGothic"/>
          <w:sz w:val="18"/>
          <w:szCs w:val="18"/>
          <w:color w:val="auto"/>
        </w:rPr>
        <w:t>‑</w:t>
      </w:r>
      <w:r>
        <w:rPr>
          <w:rFonts w:ascii="Arial" w:cs="Arial" w:eastAsia="Arial" w:hAnsi="Arial"/>
          <w:sz w:val="18"/>
          <w:szCs w:val="18"/>
          <w:color w:val="auto"/>
        </w:rPr>
        <w:t>day period described in Section 12.02(a) above and shall indicate the special circumstances requiring the extension and the date by which the Plan Administrator expects to render its decision.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jc w:val="both"/>
        <w:ind w:firstLine="761"/>
        <w:spacing w:after="0" w:line="266" w:lineRule="auto"/>
        <w:rPr>
          <w:sz w:val="20"/>
          <w:szCs w:val="20"/>
          <w:color w:val="auto"/>
        </w:rPr>
      </w:pPr>
      <w:r>
        <w:rPr>
          <w:rFonts w:ascii="Arial" w:cs="Arial" w:eastAsia="Arial" w:hAnsi="Arial"/>
          <w:sz w:val="18"/>
          <w:szCs w:val="18"/>
          <w:b w:val="1"/>
          <w:bCs w:val="1"/>
          <w:color w:val="auto"/>
        </w:rPr>
        <w:t>Section 12.03. Appeal of Denial of Initial Claim</w:t>
      </w:r>
      <w:r>
        <w:rPr>
          <w:rFonts w:ascii="Arial" w:cs="Arial" w:eastAsia="Arial" w:hAnsi="Arial"/>
          <w:sz w:val="18"/>
          <w:szCs w:val="18"/>
          <w:color w:val="auto"/>
        </w:rPr>
        <w:t>. The Claimant may request a review upon written application, may review pertinent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may submit issues or comments in writing. The Claimant must request a review within the reasonable period of time prescribed by the Plan Administrator. The time period for such a request shall be at least 60 days.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Section 12.04. Review of Appeal</w:t>
      </w:r>
      <w:r>
        <w:rPr>
          <w:rFonts w:ascii="Arial" w:cs="Arial" w:eastAsia="Arial" w:hAnsi="Arial"/>
          <w:sz w:val="18"/>
          <w:szCs w:val="18"/>
          <w:color w:val="auto"/>
        </w:rPr>
        <w:t>.</w:t>
      </w:r>
    </w:p>
    <w:p>
      <w:pPr>
        <w:spacing w:after="0" w:line="229" w:lineRule="exact"/>
        <w:rPr>
          <w:sz w:val="20"/>
          <w:szCs w:val="20"/>
          <w:color w:val="auto"/>
        </w:rPr>
      </w:pPr>
    </w:p>
    <w:p>
      <w:pPr>
        <w:jc w:val="both"/>
        <w:ind w:left="760" w:firstLine="719"/>
        <w:spacing w:after="0" w:line="276" w:lineRule="auto"/>
        <w:tabs>
          <w:tab w:leader="none" w:pos="2318"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Initial Period for Review of the Appeal</w:t>
      </w:r>
      <w:r>
        <w:rPr>
          <w:rFonts w:ascii="Arial" w:cs="Arial" w:eastAsia="Arial" w:hAnsi="Arial"/>
          <w:sz w:val="17"/>
          <w:szCs w:val="17"/>
          <w:color w:val="auto"/>
        </w:rPr>
        <w:t>. The Plan Administrator shall conduct all reviews of denied claims and shall render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decision within a reasonable time, but not more than 60 days of the receipt of the appeal by the Plan Administrator. The Claimant shall be notified of the Plan Administrator’s decision in a notice, which shall set forth the specific reason(s) for the denial, reference to the specific Plan provisions on which the denial is based, a statement that the Claimant is entitled to receive, upon request and free of charge, reasonable access to and copies of all documents, records and other information relevant to the Claimant’s claim.</w:t>
      </w:r>
    </w:p>
    <w:p>
      <w:pPr>
        <w:spacing w:after="0" w:line="172" w:lineRule="exact"/>
        <w:rPr>
          <w:rFonts w:ascii="Arial" w:cs="Arial" w:eastAsia="Arial" w:hAnsi="Arial"/>
          <w:sz w:val="17"/>
          <w:szCs w:val="17"/>
          <w:color w:val="auto"/>
        </w:rPr>
      </w:pPr>
    </w:p>
    <w:p>
      <w:pPr>
        <w:jc w:val="both"/>
        <w:ind w:left="760" w:firstLine="719"/>
        <w:spacing w:after="0" w:line="220" w:lineRule="exact"/>
        <w:tabs>
          <w:tab w:leader="none" w:pos="2328"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Extension</w:t>
      </w:r>
      <w:r>
        <w:rPr>
          <w:rFonts w:ascii="Arial" w:cs="Arial" w:eastAsia="Arial" w:hAnsi="Arial"/>
          <w:sz w:val="18"/>
          <w:szCs w:val="18"/>
          <w:color w:val="auto"/>
        </w:rPr>
        <w:t>. If the Plan Administrator determines that special circumstances require an extension of time for reviewing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appeal, it shall give written notice to the Claimant and the extension shall not exceed 60 days. The notice shall be given before the expiration of the 60</w:t>
      </w:r>
      <w:r>
        <w:rPr>
          <w:rFonts w:ascii="MS PGothic" w:cs="MS PGothic" w:eastAsia="MS PGothic" w:hAnsi="MS PGothic"/>
          <w:sz w:val="18"/>
          <w:szCs w:val="18"/>
          <w:color w:val="auto"/>
        </w:rPr>
        <w:t>‑</w:t>
      </w:r>
      <w:r>
        <w:rPr>
          <w:rFonts w:ascii="Arial" w:cs="Arial" w:eastAsia="Arial" w:hAnsi="Arial"/>
          <w:sz w:val="18"/>
          <w:szCs w:val="18"/>
          <w:color w:val="auto"/>
        </w:rPr>
        <w:t>day period described in Section 12.04(a) above and shall indicate the special circumstances requiring the extension and the date by which the Plan Administrator expects to render its decision.</w:t>
      </w:r>
    </w:p>
    <w:p>
      <w:pPr>
        <w:spacing w:after="0" w:line="200" w:lineRule="exact"/>
        <w:rPr>
          <w:sz w:val="20"/>
          <w:szCs w:val="20"/>
          <w:color w:val="auto"/>
        </w:rPr>
      </w:pPr>
    </w:p>
    <w:p>
      <w:pPr>
        <w:ind w:firstLine="761"/>
        <w:spacing w:after="0" w:line="282" w:lineRule="auto"/>
        <w:rPr>
          <w:sz w:val="20"/>
          <w:szCs w:val="20"/>
          <w:color w:val="auto"/>
        </w:rPr>
      </w:pPr>
      <w:r>
        <w:rPr>
          <w:rFonts w:ascii="Arial" w:cs="Arial" w:eastAsia="Arial" w:hAnsi="Arial"/>
          <w:sz w:val="18"/>
          <w:szCs w:val="18"/>
          <w:b w:val="1"/>
          <w:bCs w:val="1"/>
          <w:color w:val="auto"/>
        </w:rPr>
        <w:t>Section 12.05. Disability Claims</w:t>
      </w:r>
      <w:r>
        <w:rPr>
          <w:rFonts w:ascii="Arial" w:cs="Arial" w:eastAsia="Arial" w:hAnsi="Arial"/>
          <w:sz w:val="18"/>
          <w:szCs w:val="18"/>
          <w:color w:val="auto"/>
        </w:rPr>
        <w:t>. If a claim for benefit is based on the Participant’s Disability, the claim will be processed as specified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12.04, except that the following additional rules shall apply:</w:t>
      </w:r>
    </w:p>
    <w:p>
      <w:pPr>
        <w:spacing w:after="0" w:line="166" w:lineRule="exact"/>
        <w:rPr>
          <w:sz w:val="20"/>
          <w:szCs w:val="20"/>
          <w:color w:val="auto"/>
        </w:rPr>
      </w:pPr>
    </w:p>
    <w:p>
      <w:pPr>
        <w:jc w:val="both"/>
        <w:ind w:left="760" w:firstLine="719"/>
        <w:spacing w:after="0" w:line="270" w:lineRule="auto"/>
        <w:tabs>
          <w:tab w:leader="none" w:pos="2318"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Notice of Decision</w:t>
      </w:r>
      <w:r>
        <w:rPr>
          <w:rFonts w:ascii="Arial" w:cs="Arial" w:eastAsia="Arial" w:hAnsi="Arial"/>
          <w:sz w:val="17"/>
          <w:szCs w:val="17"/>
          <w:color w:val="auto"/>
        </w:rPr>
        <w:t>. The Plan Administrator will notify the Claimant of his or her decision within 45 days of receipt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claim. The 45-day period may be extended for an additional 30 days if the extension is necessary due to matters beyond the Plan Administrator’s control and the Plan Administrator notifies the Claimant prior to the expiration of the initial 45-day period of the circumstances requiring the extension and the date by which the Plan Administrator expects to render a decision. The 30-day extension period can be extended for a second period of 30 days due to matters beyond the Plan Administrator’s control, provided the Plan Administrator again notifies the Claimant prior to the expiration of the first extension period in the same manner as the first extension. If the Claimant is asked to provide additional information so that the claim can be processed, the Claimant will have 45 days to provide the additional information. In the case of an adverse determination with respect to a claim, if an internal rule, guideline, protocol or other similar criterion was relied upon in making the decision, the Plan Administrator will notify the Claimant of such reliance and that a copy of such rule, guideline, protocol or other criterion will be provided free of charge to the Claimant upon written request.</w:t>
      </w:r>
    </w:p>
    <w:p>
      <w:pPr>
        <w:spacing w:after="0" w:line="177" w:lineRule="exact"/>
        <w:rPr>
          <w:rFonts w:ascii="Arial" w:cs="Arial" w:eastAsia="Arial" w:hAnsi="Arial"/>
          <w:sz w:val="17"/>
          <w:szCs w:val="17"/>
          <w:color w:val="auto"/>
        </w:rPr>
      </w:pPr>
    </w:p>
    <w:p>
      <w:pPr>
        <w:ind w:left="760" w:firstLine="719"/>
        <w:spacing w:after="0" w:line="277" w:lineRule="auto"/>
        <w:tabs>
          <w:tab w:leader="none" w:pos="2328"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Review Procedures</w:t>
      </w:r>
      <w:r>
        <w:rPr>
          <w:rFonts w:ascii="Arial" w:cs="Arial" w:eastAsia="Arial" w:hAnsi="Arial"/>
          <w:sz w:val="18"/>
          <w:szCs w:val="18"/>
          <w:color w:val="auto"/>
        </w:rPr>
        <w:t>. A Claimant will have 180 days following the receipt of an adverse determination involving a Disability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to request a review of the determination. If a review of the adverse decision is requested, the following shall apply:</w:t>
      </w:r>
    </w:p>
    <w:p>
      <w:pPr>
        <w:spacing w:after="0" w:line="170" w:lineRule="exact"/>
        <w:rPr>
          <w:rFonts w:ascii="Arial" w:cs="Arial" w:eastAsia="Arial" w:hAnsi="Arial"/>
          <w:sz w:val="18"/>
          <w:szCs w:val="18"/>
          <w:color w:val="auto"/>
        </w:rPr>
      </w:pPr>
    </w:p>
    <w:p>
      <w:pPr>
        <w:ind w:left="1520" w:firstLine="669"/>
        <w:spacing w:after="0" w:line="277" w:lineRule="auto"/>
        <w:tabs>
          <w:tab w:leader="none" w:pos="29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deference will be given to the initial decision and the review will be conducted by an appropriate individual who is neither the individual who made the initial decision nor a subordinate of that individual.</w:t>
      </w:r>
    </w:p>
    <w:p>
      <w:pPr>
        <w:spacing w:after="0" w:line="170" w:lineRule="exact"/>
        <w:rPr>
          <w:rFonts w:ascii="Arial" w:cs="Arial" w:eastAsia="Arial" w:hAnsi="Arial"/>
          <w:sz w:val="18"/>
          <w:szCs w:val="18"/>
          <w:color w:val="auto"/>
        </w:rPr>
      </w:pPr>
    </w:p>
    <w:p>
      <w:pPr>
        <w:jc w:val="both"/>
        <w:ind w:left="1520" w:firstLine="669"/>
        <w:spacing w:after="0" w:line="264" w:lineRule="auto"/>
        <w:tabs>
          <w:tab w:leader="none" w:pos="30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initial decision was based in whole or in part on a medical judgment, the appropriate individual will consult with a health care professional who has the appropriate training and experience in the field of medicine involved in the medical judgment.</w:t>
      </w:r>
    </w:p>
    <w:p>
      <w:pPr>
        <w:spacing w:after="0" w:line="181" w:lineRule="exact"/>
        <w:rPr>
          <w:rFonts w:ascii="Arial" w:cs="Arial" w:eastAsia="Arial" w:hAnsi="Arial"/>
          <w:sz w:val="18"/>
          <w:szCs w:val="18"/>
          <w:color w:val="auto"/>
        </w:rPr>
      </w:pPr>
    </w:p>
    <w:p>
      <w:pPr>
        <w:jc w:val="both"/>
        <w:ind w:left="1520" w:firstLine="669"/>
        <w:spacing w:after="0" w:line="264" w:lineRule="auto"/>
        <w:tabs>
          <w:tab w:leader="none" w:pos="30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Plan Administrator will provide to the Claimant the identity of the medical or vocational experts whose advice was obtained on behalf of the Plan in connection with the adverse determination, without regard to whether the advice was relied on in making the determination.</w:t>
      </w:r>
    </w:p>
    <w:p>
      <w:pPr>
        <w:spacing w:after="0" w:line="181" w:lineRule="exact"/>
        <w:rPr>
          <w:rFonts w:ascii="Arial" w:cs="Arial" w:eastAsia="Arial" w:hAnsi="Arial"/>
          <w:sz w:val="18"/>
          <w:szCs w:val="18"/>
          <w:color w:val="auto"/>
        </w:rPr>
      </w:pPr>
    </w:p>
    <w:p>
      <w:pPr>
        <w:ind w:left="1520" w:firstLine="669"/>
        <w:spacing w:after="0" w:line="277" w:lineRule="auto"/>
        <w:tabs>
          <w:tab w:leader="none" w:pos="30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health care professional engaged for purposes of reviewing the initial decision will be an individual who is neither an individual who was consulted in connection with the initial decision nor a subordinate of that individual.</w:t>
      </w:r>
    </w:p>
    <w:p>
      <w:pPr>
        <w:spacing w:after="0" w:line="170" w:lineRule="exact"/>
        <w:rPr>
          <w:rFonts w:ascii="Arial" w:cs="Arial" w:eastAsia="Arial" w:hAnsi="Arial"/>
          <w:sz w:val="18"/>
          <w:szCs w:val="18"/>
          <w:color w:val="auto"/>
        </w:rPr>
      </w:pPr>
    </w:p>
    <w:p>
      <w:pPr>
        <w:jc w:val="both"/>
        <w:ind w:left="1520" w:firstLine="669"/>
        <w:spacing w:after="0" w:line="259" w:lineRule="auto"/>
        <w:tabs>
          <w:tab w:leader="none" w:pos="303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Plan Administrator shall notify the Claimant of his or her decision on review within 45 days after the request for review is received, or within 90 days if special circumstances require an extension of time, the Claimant is given written notice of the extension within the first 45-day period, and the notice describes the special circumstances and indicates the date a decision is expected to be made.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3" w:name="page74"/>
    <w:bookmarkEnd w:id="73"/>
    <w:p>
      <w:pPr>
        <w:jc w:val="both"/>
        <w:ind w:right="20" w:firstLine="761"/>
        <w:spacing w:after="0" w:line="282" w:lineRule="auto"/>
        <w:rPr>
          <w:sz w:val="20"/>
          <w:szCs w:val="20"/>
          <w:color w:val="auto"/>
        </w:rPr>
      </w:pPr>
      <w:r>
        <w:rPr>
          <w:rFonts w:ascii="Arial" w:cs="Arial" w:eastAsia="Arial" w:hAnsi="Arial"/>
          <w:sz w:val="18"/>
          <w:szCs w:val="18"/>
          <w:b w:val="1"/>
          <w:bCs w:val="1"/>
          <w:color w:val="auto"/>
        </w:rPr>
        <w:t>Section 12.06. Form of Notice to Claimant</w:t>
      </w:r>
      <w:r>
        <w:rPr>
          <w:rFonts w:ascii="Arial" w:cs="Arial" w:eastAsia="Arial" w:hAnsi="Arial"/>
          <w:sz w:val="18"/>
          <w:szCs w:val="18"/>
          <w:color w:val="auto"/>
        </w:rPr>
        <w:t>. The notice to the Claimant shall be given in writing or electronically and shall be written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calculated to be understood by the Claimant.</w:t>
      </w:r>
    </w:p>
    <w:p>
      <w:pPr>
        <w:spacing w:after="0" w:line="162" w:lineRule="exact"/>
        <w:rPr>
          <w:sz w:val="20"/>
          <w:szCs w:val="20"/>
          <w:color w:val="auto"/>
        </w:rPr>
      </w:pPr>
    </w:p>
    <w:p>
      <w:pPr>
        <w:jc w:val="both"/>
        <w:ind w:firstLine="761"/>
        <w:spacing w:after="0" w:line="313" w:lineRule="auto"/>
        <w:rPr>
          <w:sz w:val="20"/>
          <w:szCs w:val="20"/>
          <w:color w:val="auto"/>
        </w:rPr>
      </w:pPr>
      <w:r>
        <w:rPr>
          <w:rFonts w:ascii="Arial" w:cs="Arial" w:eastAsia="Arial" w:hAnsi="Arial"/>
          <w:sz w:val="17"/>
          <w:szCs w:val="17"/>
          <w:b w:val="1"/>
          <w:bCs w:val="1"/>
          <w:color w:val="auto"/>
        </w:rPr>
        <w:t>Section 12.07. Discretionary Authority of Plan Administrator</w:t>
      </w:r>
      <w:r>
        <w:rPr>
          <w:rFonts w:ascii="Arial" w:cs="Arial" w:eastAsia="Arial" w:hAnsi="Arial"/>
          <w:sz w:val="17"/>
          <w:szCs w:val="17"/>
          <w:color w:val="auto"/>
        </w:rPr>
        <w:t>. The Plan Administrator shall have full discretionary authority to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eligibility, status and the rights of all individuals under the Plan; to construe any and all terms of the Plan; and to find and construe all facts.</w:t>
      </w:r>
    </w:p>
    <w:p>
      <w:pPr>
        <w:spacing w:after="0" w:line="138"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18"/>
          <w:szCs w:val="18"/>
          <w:b w:val="1"/>
          <w:bCs w:val="1"/>
          <w:color w:val="auto"/>
        </w:rPr>
        <w:t>Section 12.08. Exhaustion of Claims Procedures</w:t>
      </w:r>
      <w:r>
        <w:rPr>
          <w:rFonts w:ascii="Arial" w:cs="Arial" w:eastAsia="Arial" w:hAnsi="Arial"/>
          <w:sz w:val="18"/>
          <w:szCs w:val="18"/>
          <w:color w:val="auto"/>
        </w:rPr>
        <w:t>. Failure to comply with the claims procedure set forth in this Article XII does not relieve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any obligation to pay benefits pursuant to the Plan. Compliance with the claims review procedures set forth in this Article XII shall be a condition precedent to the filing of a lawsuit by a Participant or his or her Beneficiary or any person claiming through a Participant or Beneficiary in connection with a Plan benefit, and a failure to timely exhaust the administrative remedies set forth herein shall bar any such proceeding in federal or state court.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w:t>
      </w:r>
    </w:p>
    <w:p>
      <w:pPr>
        <w:spacing w:after="0" w:line="225"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color w:val="auto"/>
        </w:rPr>
        <w:t>Section 13.01. Establishment of the Trust</w:t>
      </w:r>
      <w:r>
        <w:rPr>
          <w:rFonts w:ascii="Arial" w:cs="Arial" w:eastAsia="Arial" w:hAnsi="Arial"/>
          <w:sz w:val="17"/>
          <w:szCs w:val="17"/>
          <w:color w:val="auto"/>
        </w:rPr>
        <w:t>. The Company shall not be required to fund or otherwise segregate assets for the payment of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Notwithstanding the foregoing, however, the Company may, in its sole and absolute discretion, establish a trust under which any contributions to the Plan may be held, administered and managed, subject to the claims of the Employers’ creditors in the event of any Employer’s insolvency, until paid to the Participant and/or his or her Beneficiaries specified in the Plan. Any trust established pursuant to the Plan is intended to be treated as a grantor trust under the Code, and the establishment of the trust shall not cause the Participant to realize current income on amounts contributed thereto or to give the Participant any claim to any assets held thereunder. Such trust shall be subject to all the provisions of the Plan, shall be property of the Employer until distributed, and shall be subject to the Employers’ general, unsecured creditors and judgment creditors. Such trust shall not be deemed to be collateral security for fulfilling any obligation of the Employers to the Participants.</w:t>
      </w:r>
    </w:p>
    <w:p>
      <w:pPr>
        <w:spacing w:after="0" w:line="172"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7"/>
          <w:szCs w:val="17"/>
          <w:b w:val="1"/>
          <w:bCs w:val="1"/>
          <w:color w:val="auto"/>
        </w:rPr>
        <w:t>Section 13.02. Participants Remain General Creditors</w:t>
      </w:r>
      <w:r>
        <w:rPr>
          <w:rFonts w:ascii="Arial" w:cs="Arial" w:eastAsia="Arial" w:hAnsi="Arial"/>
          <w:sz w:val="17"/>
          <w:szCs w:val="17"/>
          <w:color w:val="auto"/>
        </w:rPr>
        <w:t>. Notwithstanding any other provisions of the Plan, the Plan shall be unfunded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in the Plan shall be no more than general, unsecured creditors of the Employer with regard to benefits payable pursuant to the Plan. The Company may establish a trust to hold Participants’ Elective Deferrals and Profit Sharing Contributions and earnings thereon.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MODIFICATION OR TERMINATION OF PLAN</w:t>
      </w:r>
    </w:p>
    <w:p>
      <w:pPr>
        <w:spacing w:after="0" w:line="225"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Section 14.01. Company’s Obligations Limited</w:t>
      </w:r>
      <w:r>
        <w:rPr>
          <w:rFonts w:ascii="Arial" w:cs="Arial" w:eastAsia="Arial" w:hAnsi="Arial"/>
          <w:sz w:val="18"/>
          <w:szCs w:val="18"/>
          <w:color w:val="auto"/>
        </w:rPr>
        <w:t>. The Plan is voluntary on the part of the Company, and the Company does not guarantee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the Plan. By an appropriate amendment to the Plan, the Company may at any time discontinue Elective Deferrals and Employer Contributions (or any of them) for any reason at any time.</w:t>
      </w:r>
    </w:p>
    <w:p>
      <w:pPr>
        <w:spacing w:after="0" w:line="176"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7"/>
          <w:szCs w:val="17"/>
          <w:b w:val="1"/>
          <w:bCs w:val="1"/>
          <w:color w:val="auto"/>
        </w:rPr>
        <w:t>Section 14.02. Right To Amend or Terminate</w:t>
      </w:r>
      <w:r>
        <w:rPr>
          <w:rFonts w:ascii="Arial" w:cs="Arial" w:eastAsia="Arial" w:hAnsi="Arial"/>
          <w:sz w:val="17"/>
          <w:szCs w:val="17"/>
          <w:color w:val="auto"/>
        </w:rPr>
        <w:t>. The Company reserves the right to alter, amend or terminate the Plan, or any part of the Plan, in</w:t>
      </w:r>
      <w:r>
        <w:rPr>
          <w:rFonts w:ascii="Arial" w:cs="Arial" w:eastAsia="Arial" w:hAnsi="Arial"/>
          <w:sz w:val="17"/>
          <w:szCs w:val="17"/>
          <w:b w:val="1"/>
          <w:bCs w:val="1"/>
          <w:color w:val="auto"/>
        </w:rPr>
        <w:t xml:space="preserve"> </w:t>
      </w:r>
      <w:r>
        <w:rPr>
          <w:rFonts w:ascii="Arial" w:cs="Arial" w:eastAsia="Arial" w:hAnsi="Arial"/>
          <w:sz w:val="17"/>
          <w:szCs w:val="17"/>
          <w:color w:val="auto"/>
        </w:rPr>
        <w:t>such manner as it may determine. Any such alteration, amendment or termination (a “Change”) shall take effect upon the date indicated in the document embodying the Change; provided, however, that no Change shall divest any portion of an Account that is then vested under the Plan.</w:t>
      </w:r>
    </w:p>
    <w:p>
      <w:pPr>
        <w:spacing w:after="0" w:line="158" w:lineRule="exact"/>
        <w:rPr>
          <w:sz w:val="20"/>
          <w:szCs w:val="20"/>
          <w:color w:val="auto"/>
        </w:rPr>
      </w:pPr>
    </w:p>
    <w:p>
      <w:pPr>
        <w:jc w:val="both"/>
        <w:ind w:firstLine="761"/>
        <w:spacing w:after="0" w:line="281" w:lineRule="auto"/>
        <w:rPr>
          <w:sz w:val="20"/>
          <w:szCs w:val="20"/>
          <w:color w:val="auto"/>
        </w:rPr>
      </w:pPr>
      <w:r>
        <w:rPr>
          <w:rFonts w:ascii="Arial" w:cs="Arial" w:eastAsia="Arial" w:hAnsi="Arial"/>
          <w:sz w:val="17"/>
          <w:szCs w:val="17"/>
          <w:b w:val="1"/>
          <w:bCs w:val="1"/>
          <w:color w:val="auto"/>
        </w:rPr>
        <w:t>Section 14.03. Effect of Termination</w:t>
      </w:r>
      <w:r>
        <w:rPr>
          <w:rFonts w:ascii="Arial" w:cs="Arial" w:eastAsia="Arial" w:hAnsi="Arial"/>
          <w:sz w:val="17"/>
          <w:szCs w:val="17"/>
          <w:color w:val="auto"/>
        </w:rPr>
        <w:t>. If the Plan is terminated, each Participant who is affected by such termination shall have a fully 100%</w:t>
      </w:r>
      <w:r>
        <w:rPr>
          <w:rFonts w:ascii="Arial" w:cs="Arial" w:eastAsia="Arial" w:hAnsi="Arial"/>
          <w:sz w:val="17"/>
          <w:szCs w:val="17"/>
          <w:b w:val="1"/>
          <w:bCs w:val="1"/>
          <w:color w:val="auto"/>
        </w:rPr>
        <w:t xml:space="preserve"> </w:t>
      </w:r>
      <w:r>
        <w:rPr>
          <w:rFonts w:ascii="Arial" w:cs="Arial" w:eastAsia="Arial" w:hAnsi="Arial"/>
          <w:sz w:val="17"/>
          <w:szCs w:val="17"/>
          <w:color w:val="auto"/>
        </w:rPr>
        <w:t>vested and nonforfeitable interest in his or her Account(s). The Plan shall only be terminated, and funds from all such Participants’ Account(s) shall only become distributable, in accordance with the Participant’s distribution election as provided in Section 4.01. Notwithstanding the foregoing, the Company may elect to terminate the Plan and make accelerated distributions in accordance with the following:</w:t>
      </w:r>
    </w:p>
    <w:p>
      <w:pPr>
        <w:spacing w:after="0" w:line="169" w:lineRule="exact"/>
        <w:rPr>
          <w:sz w:val="20"/>
          <w:szCs w:val="20"/>
          <w:color w:val="auto"/>
        </w:rPr>
      </w:pPr>
    </w:p>
    <w:p>
      <w:pPr>
        <w:jc w:val="both"/>
        <w:ind w:left="760" w:firstLine="719"/>
        <w:spacing w:after="0" w:line="264" w:lineRule="auto"/>
        <w:tabs>
          <w:tab w:leader="none" w:pos="2318"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Corporate Dissolution or Bankruptcy</w:t>
      </w:r>
      <w:r>
        <w:rPr>
          <w:rFonts w:ascii="Arial" w:cs="Arial" w:eastAsia="Arial" w:hAnsi="Arial"/>
          <w:sz w:val="18"/>
          <w:szCs w:val="18"/>
          <w:color w:val="auto"/>
        </w:rPr>
        <w:t>. If termination of the Plan is due to corporate dissolution or bankruptcy,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may make an accelerated payment as allowed under Section 409A of the Code upon the later of the calendar year the Plan terminates or the first calendar year in which payment is administratively practicable;</w:t>
      </w:r>
    </w:p>
    <w:p>
      <w:pPr>
        <w:spacing w:after="0" w:line="181" w:lineRule="exact"/>
        <w:rPr>
          <w:rFonts w:ascii="Arial" w:cs="Arial" w:eastAsia="Arial" w:hAnsi="Arial"/>
          <w:sz w:val="18"/>
          <w:szCs w:val="18"/>
          <w:color w:val="auto"/>
        </w:rPr>
      </w:pPr>
    </w:p>
    <w:p>
      <w:pPr>
        <w:ind w:left="760" w:firstLine="719"/>
        <w:spacing w:after="0" w:line="277" w:lineRule="auto"/>
        <w:tabs>
          <w:tab w:leader="none" w:pos="2323"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If termination of the Plan is due to a Change in Control the Plan Administrator may make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period beginning 30 days prior to and ending 12 months following the change in control event;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jc w:val="both"/>
        <w:ind w:left="760" w:firstLine="719"/>
        <w:spacing w:after="0" w:line="257" w:lineRule="auto"/>
        <w:tabs>
          <w:tab w:leader="none" w:pos="2318"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in the Ordinary Course</w:t>
      </w:r>
      <w:r>
        <w:rPr>
          <w:rFonts w:ascii="Arial" w:cs="Arial" w:eastAsia="Arial" w:hAnsi="Arial"/>
          <w:sz w:val="18"/>
          <w:szCs w:val="18"/>
          <w:color w:val="auto"/>
        </w:rPr>
        <w:t>. If the Company terminates the Plan along with all other programs that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aggregated with the Plan as provided in Code Section 409A and the guidance thereunder, and this termination is not proximate to a downturn in the financial health of the Company, the Plan Administrator may make distributions no earlier than 12 months after and no later than 24 months after the termination of the Plan. Under this scenario, the Company shall not adopt a new plan that would be aggregated with the Plan within three years after the termination.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Section 15.01. Plan Information</w:t>
      </w:r>
      <w:r>
        <w:rPr>
          <w:rFonts w:ascii="Arial" w:cs="Arial" w:eastAsia="Arial" w:hAnsi="Arial"/>
          <w:sz w:val="18"/>
          <w:szCs w:val="18"/>
          <w:color w:val="auto"/>
        </w:rPr>
        <w:t>. Each Participant shall be advised of the general provisions of the Plan and, upon written request addressed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Administrator, shall be furnished with any information requested, to the extent required by applicable law, regarding his or her status, rights and privileges under the Plan.</w:t>
      </w:r>
    </w:p>
    <w:p>
      <w:pPr>
        <w:spacing w:after="0" w:line="176" w:lineRule="exact"/>
        <w:rPr>
          <w:sz w:val="20"/>
          <w:szCs w:val="20"/>
          <w:color w:val="auto"/>
        </w:rPr>
      </w:pPr>
    </w:p>
    <w:p>
      <w:pPr>
        <w:jc w:val="both"/>
        <w:ind w:firstLine="761"/>
        <w:spacing w:after="0" w:line="281" w:lineRule="auto"/>
        <w:rPr>
          <w:sz w:val="20"/>
          <w:szCs w:val="20"/>
          <w:color w:val="auto"/>
        </w:rPr>
      </w:pPr>
      <w:r>
        <w:rPr>
          <w:rFonts w:ascii="Arial" w:cs="Arial" w:eastAsia="Arial" w:hAnsi="Arial"/>
          <w:sz w:val="17"/>
          <w:szCs w:val="17"/>
          <w:b w:val="1"/>
          <w:bCs w:val="1"/>
          <w:color w:val="auto"/>
        </w:rPr>
        <w:t>Section 15.02. Inalienability</w:t>
      </w:r>
      <w:r>
        <w:rPr>
          <w:rFonts w:ascii="Arial" w:cs="Arial" w:eastAsia="Arial" w:hAnsi="Arial"/>
          <w:sz w:val="17"/>
          <w:szCs w:val="17"/>
          <w:color w:val="auto"/>
        </w:rPr>
        <w:t>. Except to the extent otherwise directed by applicable law, in no event may a Participant, a former Participant or his</w:t>
      </w:r>
      <w:r>
        <w:rPr>
          <w:rFonts w:ascii="Arial" w:cs="Arial" w:eastAsia="Arial" w:hAnsi="Arial"/>
          <w:sz w:val="17"/>
          <w:szCs w:val="17"/>
          <w:b w:val="1"/>
          <w:bCs w:val="1"/>
          <w:color w:val="auto"/>
        </w:rPr>
        <w:t xml:space="preserve"> </w:t>
      </w:r>
      <w:r>
        <w:rPr>
          <w:rFonts w:ascii="Arial" w:cs="Arial" w:eastAsia="Arial" w:hAnsi="Arial"/>
          <w:sz w:val="17"/>
          <w:szCs w:val="17"/>
          <w:color w:val="auto"/>
        </w:rPr>
        <w:t>or her spouse, Beneficiary or estate sell, transfer, anticipate, assign, pledge or otherwise dispose of any right or interest under the Plan; and such rights and interests shall not at any time be subject to the claims of creditors nor be liable to attachment, execution or other legal process. The Plan shall not recognize or give effect to any domestic relations order attempting to alienate, transfer or assign any Participant benefits.</w:t>
      </w:r>
    </w:p>
    <w:p>
      <w:pPr>
        <w:spacing w:after="0" w:line="165"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15.03. Rights and Duties</w:t>
      </w:r>
      <w:r>
        <w:rPr>
          <w:rFonts w:ascii="Arial" w:cs="Arial" w:eastAsia="Arial" w:hAnsi="Arial"/>
          <w:sz w:val="18"/>
          <w:szCs w:val="18"/>
          <w:color w:val="auto"/>
        </w:rPr>
        <w:t>. No person shall have any rights in or to any fund or other assets of the Plan, or under the Plan, except as, and</w:t>
      </w:r>
      <w:r>
        <w:rPr>
          <w:rFonts w:ascii="Arial" w:cs="Arial" w:eastAsia="Arial" w:hAnsi="Arial"/>
          <w:sz w:val="18"/>
          <w:szCs w:val="18"/>
          <w:b w:val="1"/>
          <w:bCs w:val="1"/>
          <w:color w:val="auto"/>
        </w:rPr>
        <w:t xml:space="preserve"> </w:t>
      </w:r>
      <w:r>
        <w:rPr>
          <w:rFonts w:ascii="Arial" w:cs="Arial" w:eastAsia="Arial" w:hAnsi="Arial"/>
          <w:sz w:val="18"/>
          <w:szCs w:val="18"/>
          <w:color w:val="auto"/>
        </w:rPr>
        <w:t>only to the extent, expressly provided for in the Plan.</w:t>
      </w:r>
    </w:p>
    <w:p>
      <w:pPr>
        <w:spacing w:after="0" w:line="162"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Section 15.04. No Enlargement of Employment Rights</w:t>
      </w:r>
      <w:r>
        <w:rPr>
          <w:rFonts w:ascii="Arial" w:cs="Arial" w:eastAsia="Arial" w:hAnsi="Arial"/>
          <w:sz w:val="18"/>
          <w:szCs w:val="18"/>
          <w:color w:val="auto"/>
        </w:rPr>
        <w:t>. Neither the establishment or maintenance of the Plan or the making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nor any action of any Employer, the trustee, if any, or Plan Administrator shall be held or construed to confer upon any individual any right to be continued as an Employee, nor, upon dismissal, any right or interest in any fund or any other assets of the Plan, except to the extent provided in the Plan. Each Employer expressly reserves the right to discharge any Employee at any time.</w:t>
      </w:r>
    </w:p>
    <w:p>
      <w:pPr>
        <w:spacing w:after="0" w:line="180" w:lineRule="exact"/>
        <w:rPr>
          <w:sz w:val="20"/>
          <w:szCs w:val="20"/>
          <w:color w:val="auto"/>
        </w:rPr>
      </w:pPr>
    </w:p>
    <w:p>
      <w:pPr>
        <w:jc w:val="both"/>
        <w:ind w:right="20" w:firstLine="761"/>
        <w:spacing w:after="0" w:line="266" w:lineRule="auto"/>
        <w:rPr>
          <w:sz w:val="20"/>
          <w:szCs w:val="20"/>
          <w:color w:val="auto"/>
        </w:rPr>
      </w:pPr>
      <w:r>
        <w:rPr>
          <w:rFonts w:ascii="Arial" w:cs="Arial" w:eastAsia="Arial" w:hAnsi="Arial"/>
          <w:sz w:val="18"/>
          <w:szCs w:val="18"/>
          <w:b w:val="1"/>
          <w:bCs w:val="1"/>
          <w:color w:val="auto"/>
        </w:rPr>
        <w:t>Section 15.05. Apportionment of Duties</w:t>
      </w:r>
      <w:r>
        <w:rPr>
          <w:rFonts w:ascii="Arial" w:cs="Arial" w:eastAsia="Arial" w:hAnsi="Arial"/>
          <w:sz w:val="18"/>
          <w:szCs w:val="18"/>
          <w:color w:val="auto"/>
        </w:rPr>
        <w:t>. All acts required of the Employers under the Plan may be performed by the Employer for</w:t>
      </w:r>
      <w:r>
        <w:rPr>
          <w:rFonts w:ascii="Arial" w:cs="Arial" w:eastAsia="Arial" w:hAnsi="Arial"/>
          <w:sz w:val="18"/>
          <w:szCs w:val="18"/>
          <w:b w:val="1"/>
          <w:bCs w:val="1"/>
          <w:color w:val="auto"/>
        </w:rPr>
        <w:t xml:space="preserve"> </w:t>
      </w:r>
      <w:r>
        <w:rPr>
          <w:rFonts w:ascii="Arial" w:cs="Arial" w:eastAsia="Arial" w:hAnsi="Arial"/>
          <w:sz w:val="18"/>
          <w:szCs w:val="18"/>
          <w:color w:val="auto"/>
        </w:rPr>
        <w:t>itself. Whenever an Employer is permitted or required under the terms of the Plan to do or perform any act, matter or thing, it shall be done and performed by any officer or employee of the Employer who is duly authorized to act for the Employer.</w:t>
      </w:r>
    </w:p>
    <w:p>
      <w:pPr>
        <w:spacing w:after="0" w:line="176" w:lineRule="exact"/>
        <w:rPr>
          <w:sz w:val="20"/>
          <w:szCs w:val="20"/>
          <w:color w:val="auto"/>
        </w:rPr>
      </w:pPr>
    </w:p>
    <w:p>
      <w:pPr>
        <w:jc w:val="both"/>
        <w:ind w:right="20" w:firstLine="761"/>
        <w:spacing w:after="0" w:line="226" w:lineRule="exact"/>
        <w:rPr>
          <w:sz w:val="20"/>
          <w:szCs w:val="20"/>
          <w:color w:val="auto"/>
        </w:rPr>
      </w:pPr>
      <w:r>
        <w:rPr>
          <w:rFonts w:ascii="Arial" w:cs="Arial" w:eastAsia="Arial" w:hAnsi="Arial"/>
          <w:sz w:val="18"/>
          <w:szCs w:val="18"/>
          <w:b w:val="1"/>
          <w:bCs w:val="1"/>
          <w:color w:val="auto"/>
        </w:rPr>
        <w:t>Section 15.06. Applicable Law</w:t>
      </w:r>
      <w:r>
        <w:rPr>
          <w:rFonts w:ascii="Arial" w:cs="Arial" w:eastAsia="Arial" w:hAnsi="Arial"/>
          <w:sz w:val="18"/>
          <w:szCs w:val="18"/>
          <w:color w:val="auto"/>
        </w:rPr>
        <w:t>. To the extent not subject to federal law, the provisions of the Plan shall be construed, administered and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applicable laws of the State of Delaware, without regard to conflict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law principles.</w:t>
      </w:r>
    </w:p>
    <w:p>
      <w:pPr>
        <w:spacing w:after="0" w:line="198" w:lineRule="exact"/>
        <w:rPr>
          <w:sz w:val="20"/>
          <w:szCs w:val="20"/>
          <w:color w:val="auto"/>
        </w:rPr>
      </w:pPr>
    </w:p>
    <w:p>
      <w:pPr>
        <w:jc w:val="both"/>
        <w:ind w:right="20" w:firstLine="761"/>
        <w:spacing w:after="0" w:line="266" w:lineRule="auto"/>
        <w:rPr>
          <w:sz w:val="20"/>
          <w:szCs w:val="20"/>
          <w:color w:val="auto"/>
        </w:rPr>
      </w:pPr>
      <w:r>
        <w:rPr>
          <w:rFonts w:ascii="Arial" w:cs="Arial" w:eastAsia="Arial" w:hAnsi="Arial"/>
          <w:sz w:val="18"/>
          <w:szCs w:val="18"/>
          <w:b w:val="1"/>
          <w:bCs w:val="1"/>
          <w:color w:val="auto"/>
        </w:rPr>
        <w:t>Section 15.07. Conformance with Applicable Laws</w:t>
      </w:r>
      <w:r>
        <w:rPr>
          <w:rFonts w:ascii="Arial" w:cs="Arial" w:eastAsia="Arial" w:hAnsi="Arial"/>
          <w:sz w:val="18"/>
          <w:szCs w:val="18"/>
          <w:color w:val="auto"/>
        </w:rPr>
        <w:t>. Notwithstanding anything contained herein to the contrary, the Plan shall be administered</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operated in accordance with any applicable laws and regulations, including, but not limited to, Section 409A of the Code. The Company reserves the right to amend the Plan at any time in order for the Plan to comply with any such laws and regulations.</w:t>
      </w:r>
    </w:p>
    <w:p>
      <w:pPr>
        <w:spacing w:after="0" w:line="176"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15.08. Binding Effect</w:t>
      </w:r>
      <w:r>
        <w:rPr>
          <w:rFonts w:ascii="Arial" w:cs="Arial" w:eastAsia="Arial" w:hAnsi="Arial"/>
          <w:sz w:val="18"/>
          <w:szCs w:val="18"/>
          <w:color w:val="auto"/>
        </w:rPr>
        <w:t>. The Plan shall be binding upon the heirs and personal representatives of all current and future Participants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Beneficiaries.</w:t>
      </w:r>
    </w:p>
    <w:p>
      <w:pPr>
        <w:spacing w:after="0" w:line="162"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Section 15.09. Severability</w:t>
      </w:r>
      <w:r>
        <w:rPr>
          <w:rFonts w:ascii="Arial" w:cs="Arial" w:eastAsia="Arial" w:hAnsi="Arial"/>
          <w:sz w:val="18"/>
          <w:szCs w:val="18"/>
          <w:color w:val="auto"/>
        </w:rPr>
        <w:t>. If any provision of the Plan is held invalid or unenforceable, its invalidity or unenforceability shall not affect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 and the Plan shall be construed and enforced as if such provision had not been included.</w:t>
      </w:r>
    </w:p>
    <w:p>
      <w:pPr>
        <w:spacing w:after="0" w:line="162"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Section 15.10. Captions</w:t>
      </w:r>
      <w:r>
        <w:rPr>
          <w:rFonts w:ascii="Arial" w:cs="Arial" w:eastAsia="Arial" w:hAnsi="Arial"/>
          <w:sz w:val="18"/>
          <w:szCs w:val="18"/>
          <w:color w:val="auto"/>
        </w:rPr>
        <w:t>. The captions contained in and the table of contents prefixed to the Plan are inserted only as a matter of convenience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reference and in no way define, limit, enlarge or describe the scope or intent of the Plan, nor in any way shall they affect the construction of any provision of the Plan.</w:t>
      </w:r>
    </w:p>
    <w:p>
      <w:pPr>
        <w:spacing w:after="0" w:line="176"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18"/>
          <w:szCs w:val="18"/>
          <w:b w:val="1"/>
          <w:bCs w:val="1"/>
          <w:color w:val="auto"/>
        </w:rPr>
        <w:t>Section 15.11. Receipt and Release</w:t>
      </w:r>
      <w:r>
        <w:rPr>
          <w:rFonts w:ascii="Arial" w:cs="Arial" w:eastAsia="Arial" w:hAnsi="Arial"/>
          <w:sz w:val="18"/>
          <w:szCs w:val="18"/>
          <w:color w:val="auto"/>
        </w:rPr>
        <w:t>. Any payment to any Participant or Beneficiary in accordance with the provisions of the Plan shall,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thereof, be in full satisfaction of all claims against the Employers, and the Plan Administrator may require such Participant or Beneficiary, as a condition precedent to such payment, to execute a receipt and release to such effect. If any Participant or Beneficiary is determined by the Plan Administrator to be incompetent by reason of physical or mental disability (including minority) to give a valid receipt and release, the Plan Administrator may cause the payment or payments becoming due to such person to be made to another person for his or her benefit with responsibility of the Plan Administrator to follow the application of such funds.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5" w:name="page76"/>
    <w:bookmarkEnd w:id="75"/>
    <w:p>
      <w:pPr>
        <w:ind w:firstLine="761"/>
        <w:spacing w:after="0" w:line="282" w:lineRule="auto"/>
        <w:rPr>
          <w:sz w:val="20"/>
          <w:szCs w:val="20"/>
          <w:color w:val="auto"/>
        </w:rPr>
      </w:pPr>
      <w:r>
        <w:rPr>
          <w:rFonts w:ascii="Arial" w:cs="Arial" w:eastAsia="Arial" w:hAnsi="Arial"/>
          <w:sz w:val="18"/>
          <w:szCs w:val="18"/>
          <w:b w:val="1"/>
          <w:bCs w:val="1"/>
          <w:color w:val="auto"/>
        </w:rPr>
        <w:t>Section 15.12. Offsets</w:t>
      </w:r>
      <w:r>
        <w:rPr>
          <w:rFonts w:ascii="Arial" w:cs="Arial" w:eastAsia="Arial" w:hAnsi="Arial"/>
          <w:sz w:val="18"/>
          <w:szCs w:val="18"/>
          <w:color w:val="auto"/>
        </w:rPr>
        <w:t>. When any payment becomes due and payable hereunder, the Employer, without notice, demand or any other action,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payment and use the funds to offset any amounts owed by the Participant to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EXECUTION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WITNESS WHEREOF, Communications Sales &amp; Leasing, Inc., by its duly authorized officer, has executed the Plan on the date indicated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COMMUNICATIONS SALES &amp; LEASING, INC.</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A. Gunderman</w:t>
            </w: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10,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Communications Sales &amp; Leasing,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hanging="532"/>
        <w:spacing w:after="0" w:line="26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CLEC business and Distribution Systems as of, and for, the periods presented in this report;</w:t>
      </w:r>
    </w:p>
    <w:p>
      <w:pPr>
        <w:spacing w:after="0" w:line="73" w:lineRule="exact"/>
        <w:rPr>
          <w:rFonts w:ascii="Arial" w:cs="Arial" w:eastAsia="Arial" w:hAnsi="Arial"/>
          <w:sz w:val="18"/>
          <w:szCs w:val="18"/>
          <w:color w:val="auto"/>
        </w:rPr>
      </w:pPr>
    </w:p>
    <w:p>
      <w:pPr>
        <w:ind w:left="540" w:right="420" w:hanging="532"/>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20" w:right="180" w:hanging="494"/>
        <w:spacing w:after="0" w:line="312" w:lineRule="auto"/>
        <w:tabs>
          <w:tab w:leader="none" w:pos="10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its Consumer CLEC Business and Distribution Systems,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jc w:val="both"/>
        <w:ind w:left="1020" w:right="660" w:hanging="494"/>
        <w:spacing w:after="0" w:line="342" w:lineRule="auto"/>
        <w:tabs>
          <w:tab w:leader="none" w:pos="10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80" w:hanging="494"/>
        <w:spacing w:after="0" w:line="264"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94"/>
        <w:spacing w:after="0" w:line="277"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40" w:hanging="494"/>
        <w:spacing w:after="0" w:line="277"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August 13,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117"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Communications Sales &amp; Leasing,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hanging="532"/>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CLEC business and Distribution Systems as of, and for, the periods presented in this report;</w:t>
      </w:r>
    </w:p>
    <w:p>
      <w:pPr>
        <w:spacing w:after="0" w:line="73" w:lineRule="exact"/>
        <w:rPr>
          <w:rFonts w:ascii="Arial" w:cs="Arial" w:eastAsia="Arial" w:hAnsi="Arial"/>
          <w:sz w:val="18"/>
          <w:szCs w:val="18"/>
          <w:color w:val="auto"/>
        </w:rPr>
      </w:pPr>
    </w:p>
    <w:p>
      <w:pPr>
        <w:ind w:left="540" w:right="420" w:hanging="532"/>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20" w:right="180" w:hanging="494"/>
        <w:spacing w:after="0" w:line="312"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its Consumer CLEC Business and Distribution Systems,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jc w:val="both"/>
        <w:ind w:left="1020" w:right="660" w:hanging="494"/>
        <w:spacing w:after="0" w:line="342"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80" w:hanging="494"/>
        <w:spacing w:after="0" w:line="264"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94"/>
        <w:spacing w:after="0" w:line="277"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40" w:hanging="494"/>
        <w:spacing w:after="0" w:line="277"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August 13,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Senior Vice President – Chief Financial Officer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In connection with the Quarterly Report on Form 10-Q of Communications Sales &amp; Leasing, Inc. (the “Company”) for the period ending June 30, 2015 as filed with the Securities and Exchange Commission on the date hereof (the “Report”), I certify, pursuant to 18 U.S.C. § 1350, as adopted pursuant to</w:t>
      </w:r>
    </w:p>
    <w:p>
      <w:pPr>
        <w:ind w:left="140" w:hanging="132"/>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906 of the Sarbanes-Oxley Act of 2002, to my knowledge, that:</w:t>
      </w:r>
    </w:p>
    <w:p>
      <w:pPr>
        <w:spacing w:after="0" w:line="102" w:lineRule="exact"/>
        <w:rPr>
          <w:rFonts w:ascii="Arial" w:cs="Arial" w:eastAsia="Arial" w:hAnsi="Arial"/>
          <w:sz w:val="18"/>
          <w:szCs w:val="18"/>
          <w:color w:val="auto"/>
        </w:rPr>
      </w:pPr>
    </w:p>
    <w:p>
      <w:pPr>
        <w:ind w:left="1020" w:hanging="494"/>
        <w:spacing w:after="0"/>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720" w:hanging="494"/>
        <w:spacing w:after="0" w:line="277"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August 13,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In connection with the Quarterly Report on Form 10-Q of Communications Sales &amp; Leasing, Inc. (the “Company”) for the period ending June 30, 2015 as filed with the Securities and Exchange Commission on the date hereof (the “Report”), I certify, pursuant to 18 U.S.C. § 1350, as adopted pursuant to</w:t>
      </w:r>
    </w:p>
    <w:p>
      <w:pPr>
        <w:ind w:left="140" w:hanging="132"/>
        <w:spacing w:after="0"/>
        <w:tabs>
          <w:tab w:leader="none" w:pos="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906 of the Sarbanes-Oxley Act of 2002, to my knowledge, that:</w:t>
      </w:r>
    </w:p>
    <w:p>
      <w:pPr>
        <w:spacing w:after="0" w:line="102" w:lineRule="exact"/>
        <w:rPr>
          <w:rFonts w:ascii="Arial" w:cs="Arial" w:eastAsia="Arial" w:hAnsi="Arial"/>
          <w:sz w:val="18"/>
          <w:szCs w:val="18"/>
          <w:color w:val="auto"/>
        </w:rPr>
      </w:pPr>
    </w:p>
    <w:p>
      <w:pPr>
        <w:ind w:left="1020" w:hanging="494"/>
        <w:spacing w:after="0"/>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720" w:hanging="494"/>
        <w:spacing w:after="0" w:line="277"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August 13, 2015</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shd w:val="clear" w:color="auto" w:fill="FFFFCC"/>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-127635</wp:posOffset>
            </wp:positionV>
            <wp:extent cx="39789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Senior Vice President – Chief Financial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Roman"/>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Letter"/>
      <w:start w:val="1"/>
    </w:lvl>
    <w:lvl w:ilvl="1">
      <w:lvlJc w:val="left"/>
      <w:lvlText w:val="(%2)"/>
      <w:numFmt w:val="lowerLetter"/>
      <w:start w:val="9"/>
    </w:lvl>
  </w:abstractNum>
  <w:abstractNum w:abstractNumId="11">
    <w:nsid w:val="6763845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2">
    <w:nsid w:val="75A2A8D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3">
    <w:nsid w:val="8EDBDAB"/>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14">
    <w:nsid w:val="79838CB2"/>
    <w:multiLevelType w:val="hybridMultilevel"/>
    <w:lvl w:ilvl="0">
      <w:lvlJc w:val="left"/>
      <w:lvlText w:val="(%1)"/>
      <w:numFmt w:val="lowerLetter"/>
      <w:start w:val="14"/>
    </w:lvl>
    <w:lvl w:ilvl="1">
      <w:lvlJc w:val="left"/>
      <w:lvlText w:val="(%2)"/>
      <w:numFmt w:val="lowerRoman"/>
      <w:start w:val="1"/>
    </w:lvl>
  </w:abstractNum>
  <w:abstractNum w:abstractNumId="15">
    <w:nsid w:val="4353D0CD"/>
    <w:multiLevelType w:val="hybridMultilevel"/>
    <w:lvl w:ilvl="0">
      <w:lvlJc w:val="left"/>
      <w:lvlText w:val="(%1)"/>
      <w:numFmt w:val="lowerLetter"/>
      <w:start w:val="26"/>
    </w:lvl>
    <w:lvl w:ilvl="1">
      <w:lvlJc w:val="left"/>
      <w:lvlText w:val="(%2)"/>
      <w:numFmt w:val="lowerRoman"/>
      <w:start w:val="1"/>
    </w:lvl>
  </w:abstractNum>
  <w:abstractNum w:abstractNumId="16">
    <w:nsid w:val="B03E0C6"/>
    <w:multiLevelType w:val="hybridMultilevel"/>
    <w:lvl w:ilvl="0">
      <w:lvlJc w:val="left"/>
      <w:lvlText w:val="(%1)"/>
      <w:numFmt w:val="lowerLetter"/>
      <w:start w:val="27"/>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2"/>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2"/>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2"/>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lvl w:ilvl="1">
      <w:lvlJc w:val="left"/>
      <w:lvlText w:val="(%2)"/>
      <w:numFmt w:val="lowerRoman"/>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3"/>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
      <w:numFmt w:val="bullet"/>
      <w:start w:val="1"/>
    </w:lvl>
    <w:lvl w:ilvl="1">
      <w:lvlJc w:val="left"/>
      <w:lvlText w:val="(%2)"/>
      <w:numFmt w:val="decimal"/>
      <w:start w:val="1"/>
    </w:lvl>
  </w:abstractNum>
  <w:abstractNum w:abstractNumId="34">
    <w:nsid w:val="5577F8E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2019-12-29T16:16:52Z</dcterms:created>
  <dcterms:modified xsi:type="dcterms:W3CDTF">2019-12-29T16:16:52Z</dcterms:modified>
</cp:coreProperties>
</file>