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-215265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83820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8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20" w:right="36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001-36708</w:t>
      </w:r>
    </w:p>
    <w:p>
      <w:pPr>
        <w:spacing w:after="0" w:line="9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Uniti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-294640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5" w:lineRule="exact"/>
        <w:rPr>
          <w:sz w:val="24"/>
          <w:szCs w:val="24"/>
          <w:color w:val="auto"/>
        </w:rPr>
      </w:pPr>
    </w:p>
    <w:tbl>
      <w:tblPr>
        <w:tblLayout w:type="fixed"/>
        <w:tblInd w:w="1500" w:type="dxa"/>
        <w:tblCellMar>
          <w:top w:w="0" w:type="dxa"/>
          <w:left w:w="0" w:type="dxa"/>
          <w:bottom w:w="0" w:type="dxa"/>
          <w:right w:w="0" w:type="dxa"/>
        </w:tblCellMar>
      </w:tblPr>
      <w:tr>
        <w:trPr>
          <w:trHeight w:val="207"/>
        </w:trPr>
        <w:tc>
          <w:tcPr>
            <w:tcW w:w="3080" w:type="dxa"/>
            <w:vAlign w:val="bottom"/>
          </w:tcPr>
          <w:p>
            <w:pPr>
              <w:jc w:val="center"/>
              <w:ind w:right="277"/>
              <w:spacing w:after="0"/>
              <w:rPr>
                <w:sz w:val="20"/>
                <w:szCs w:val="20"/>
                <w:color w:val="auto"/>
              </w:rPr>
            </w:pPr>
            <w:r>
              <w:rPr>
                <w:rFonts w:ascii="Arial" w:cs="Arial" w:eastAsia="Arial" w:hAnsi="Arial"/>
                <w:sz w:val="18"/>
                <w:szCs w:val="18"/>
                <w:b w:val="1"/>
                <w:bCs w:val="1"/>
                <w:color w:val="auto"/>
                <w:w w:val="96"/>
              </w:rPr>
              <w:t>Maryland</w:t>
            </w:r>
          </w:p>
        </w:tc>
        <w:tc>
          <w:tcPr>
            <w:tcW w:w="2280" w:type="dxa"/>
            <w:vAlign w:val="bottom"/>
            <w:tcBorders>
              <w:top w:val="single" w:sz="8" w:color="auto"/>
            </w:tcBorders>
          </w:tcPr>
          <w:p>
            <w:pPr>
              <w:spacing w:after="0"/>
              <w:rPr>
                <w:sz w:val="17"/>
                <w:szCs w:val="17"/>
                <w:color w:val="auto"/>
              </w:rPr>
            </w:pPr>
          </w:p>
        </w:tc>
        <w:tc>
          <w:tcPr>
            <w:tcW w:w="3980" w:type="dxa"/>
            <w:vAlign w:val="bottom"/>
          </w:tcPr>
          <w:p>
            <w:pPr>
              <w:jc w:val="right"/>
              <w:ind w:right="1758"/>
              <w:spacing w:after="0"/>
              <w:rPr>
                <w:sz w:val="20"/>
                <w:szCs w:val="20"/>
                <w:color w:val="auto"/>
              </w:rPr>
            </w:pPr>
            <w:r>
              <w:rPr>
                <w:rFonts w:ascii="Arial" w:cs="Arial" w:eastAsia="Arial" w:hAnsi="Arial"/>
                <w:sz w:val="18"/>
                <w:szCs w:val="18"/>
                <w:b w:val="1"/>
                <w:bCs w:val="1"/>
                <w:color w:val="auto"/>
              </w:rPr>
              <w:t>46-5230630</w:t>
            </w:r>
          </w:p>
        </w:tc>
      </w:tr>
      <w:tr>
        <w:trPr>
          <w:trHeight w:val="149"/>
        </w:trPr>
        <w:tc>
          <w:tcPr>
            <w:tcW w:w="308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280" w:type="dxa"/>
            <w:vAlign w:val="bottom"/>
          </w:tcPr>
          <w:p>
            <w:pPr>
              <w:spacing w:after="0"/>
              <w:rPr>
                <w:sz w:val="12"/>
                <w:szCs w:val="12"/>
                <w:color w:val="auto"/>
              </w:rPr>
            </w:pPr>
          </w:p>
        </w:tc>
        <w:tc>
          <w:tcPr>
            <w:tcW w:w="3980" w:type="dxa"/>
            <w:vAlign w:val="bottom"/>
          </w:tcPr>
          <w:p>
            <w:pPr>
              <w:jc w:val="center"/>
              <w:ind w:right="45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080" w:type="dxa"/>
            <w:vAlign w:val="bottom"/>
          </w:tcPr>
          <w:p>
            <w:pPr>
              <w:jc w:val="center"/>
              <w:ind w:right="277"/>
              <w:spacing w:after="0"/>
              <w:rPr>
                <w:sz w:val="20"/>
                <w:szCs w:val="20"/>
                <w:color w:val="auto"/>
              </w:rPr>
            </w:pPr>
            <w:r>
              <w:rPr>
                <w:rFonts w:ascii="Arial" w:cs="Arial" w:eastAsia="Arial" w:hAnsi="Arial"/>
                <w:sz w:val="14"/>
                <w:szCs w:val="14"/>
                <w:b w:val="1"/>
                <w:bCs w:val="1"/>
                <w:color w:val="auto"/>
                <w:w w:val="94"/>
              </w:rPr>
              <w:t>incorporation or organization)</w:t>
            </w:r>
          </w:p>
        </w:tc>
        <w:tc>
          <w:tcPr>
            <w:tcW w:w="2280" w:type="dxa"/>
            <w:vAlign w:val="bottom"/>
          </w:tcPr>
          <w:p>
            <w:pPr>
              <w:spacing w:after="0"/>
              <w:rPr>
                <w:sz w:val="16"/>
                <w:szCs w:val="16"/>
                <w:color w:val="auto"/>
              </w:rPr>
            </w:pPr>
          </w:p>
        </w:tc>
        <w:tc>
          <w:tcPr>
            <w:tcW w:w="3980" w:type="dxa"/>
            <w:vAlign w:val="bottom"/>
          </w:tcPr>
          <w:p>
            <w:pPr>
              <w:jc w:val="center"/>
              <w:ind w:right="478"/>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3080" w:type="dxa"/>
            <w:vAlign w:val="bottom"/>
          </w:tcPr>
          <w:p>
            <w:pPr>
              <w:jc w:val="center"/>
              <w:ind w:right="257"/>
              <w:spacing w:after="0"/>
              <w:rPr>
                <w:sz w:val="20"/>
                <w:szCs w:val="20"/>
                <w:color w:val="auto"/>
              </w:rPr>
            </w:pPr>
            <w:r>
              <w:rPr>
                <w:rFonts w:ascii="Arial" w:cs="Arial" w:eastAsia="Arial" w:hAnsi="Arial"/>
                <w:sz w:val="18"/>
                <w:szCs w:val="18"/>
                <w:b w:val="1"/>
                <w:bCs w:val="1"/>
                <w:color w:val="auto"/>
                <w:w w:val="91"/>
              </w:rPr>
              <w:t>10802 Executive Center Drive</w:t>
            </w:r>
          </w:p>
        </w:tc>
        <w:tc>
          <w:tcPr>
            <w:tcW w:w="2280" w:type="dxa"/>
            <w:vAlign w:val="bottom"/>
          </w:tcPr>
          <w:p>
            <w:pPr>
              <w:spacing w:after="0"/>
              <w:rPr>
                <w:sz w:val="22"/>
                <w:szCs w:val="22"/>
                <w:color w:val="auto"/>
              </w:rPr>
            </w:pPr>
          </w:p>
        </w:tc>
        <w:tc>
          <w:tcPr>
            <w:tcW w:w="3980" w:type="dxa"/>
            <w:vAlign w:val="bottom"/>
          </w:tcPr>
          <w:p>
            <w:pPr>
              <w:spacing w:after="0"/>
              <w:rPr>
                <w:sz w:val="22"/>
                <w:szCs w:val="22"/>
                <w:color w:val="auto"/>
              </w:rPr>
            </w:pPr>
          </w:p>
        </w:tc>
      </w:tr>
      <w:tr>
        <w:trPr>
          <w:trHeight w:val="216"/>
        </w:trPr>
        <w:tc>
          <w:tcPr>
            <w:tcW w:w="3080" w:type="dxa"/>
            <w:vAlign w:val="bottom"/>
          </w:tcPr>
          <w:p>
            <w:pPr>
              <w:jc w:val="center"/>
              <w:ind w:right="277"/>
              <w:spacing w:after="0"/>
              <w:rPr>
                <w:sz w:val="20"/>
                <w:szCs w:val="20"/>
                <w:color w:val="auto"/>
              </w:rPr>
            </w:pPr>
            <w:r>
              <w:rPr>
                <w:rFonts w:ascii="Arial" w:cs="Arial" w:eastAsia="Arial" w:hAnsi="Arial"/>
                <w:sz w:val="18"/>
                <w:szCs w:val="18"/>
                <w:b w:val="1"/>
                <w:bCs w:val="1"/>
                <w:color w:val="auto"/>
                <w:w w:val="89"/>
              </w:rPr>
              <w:t>Benton Building Suite 300</w:t>
            </w:r>
          </w:p>
        </w:tc>
        <w:tc>
          <w:tcPr>
            <w:tcW w:w="228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12"/>
        </w:trPr>
        <w:tc>
          <w:tcPr>
            <w:tcW w:w="3080" w:type="dxa"/>
            <w:vAlign w:val="bottom"/>
          </w:tcPr>
          <w:p>
            <w:pPr>
              <w:jc w:val="center"/>
              <w:ind w:right="277"/>
              <w:spacing w:after="0"/>
              <w:rPr>
                <w:sz w:val="20"/>
                <w:szCs w:val="20"/>
                <w:color w:val="auto"/>
              </w:rPr>
            </w:pPr>
            <w:r>
              <w:rPr>
                <w:rFonts w:ascii="Arial" w:cs="Arial" w:eastAsia="Arial" w:hAnsi="Arial"/>
                <w:sz w:val="18"/>
                <w:szCs w:val="18"/>
                <w:b w:val="1"/>
                <w:bCs w:val="1"/>
                <w:color w:val="auto"/>
                <w:w w:val="91"/>
              </w:rPr>
              <w:t>Little Rock, Arkansas</w:t>
            </w:r>
          </w:p>
        </w:tc>
        <w:tc>
          <w:tcPr>
            <w:tcW w:w="2280" w:type="dxa"/>
            <w:vAlign w:val="bottom"/>
          </w:tcPr>
          <w:p>
            <w:pPr>
              <w:spacing w:after="0"/>
              <w:rPr>
                <w:sz w:val="18"/>
                <w:szCs w:val="18"/>
                <w:color w:val="auto"/>
              </w:rPr>
            </w:pPr>
          </w:p>
        </w:tc>
        <w:tc>
          <w:tcPr>
            <w:tcW w:w="3980" w:type="dxa"/>
            <w:vAlign w:val="bottom"/>
          </w:tcPr>
          <w:p>
            <w:pPr>
              <w:jc w:val="right"/>
              <w:ind w:right="1958"/>
              <w:spacing w:after="0"/>
              <w:rPr>
                <w:sz w:val="20"/>
                <w:szCs w:val="20"/>
                <w:color w:val="auto"/>
              </w:rPr>
            </w:pPr>
            <w:r>
              <w:rPr>
                <w:rFonts w:ascii="Arial" w:cs="Arial" w:eastAsia="Arial" w:hAnsi="Arial"/>
                <w:sz w:val="18"/>
                <w:szCs w:val="18"/>
                <w:b w:val="1"/>
                <w:bCs w:val="1"/>
                <w:color w:val="auto"/>
              </w:rPr>
              <w:t>72211</w:t>
            </w:r>
          </w:p>
        </w:tc>
      </w:tr>
      <w:tr>
        <w:trPr>
          <w:trHeight w:val="186"/>
        </w:trPr>
        <w:tc>
          <w:tcPr>
            <w:tcW w:w="3080" w:type="dxa"/>
            <w:vAlign w:val="bottom"/>
          </w:tcPr>
          <w:p>
            <w:pPr>
              <w:jc w:val="center"/>
              <w:ind w:right="25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80" w:type="dxa"/>
            <w:vAlign w:val="bottom"/>
          </w:tcPr>
          <w:p>
            <w:pPr>
              <w:spacing w:after="0"/>
              <w:rPr>
                <w:sz w:val="16"/>
                <w:szCs w:val="16"/>
                <w:color w:val="auto"/>
              </w:rPr>
            </w:pPr>
          </w:p>
        </w:tc>
        <w:tc>
          <w:tcPr>
            <w:tcW w:w="3980" w:type="dxa"/>
            <w:vAlign w:val="bottom"/>
          </w:tcPr>
          <w:p>
            <w:pPr>
              <w:jc w:val="center"/>
              <w:ind w:right="478"/>
              <w:spacing w:after="0"/>
              <w:rPr>
                <w:sz w:val="20"/>
                <w:szCs w:val="20"/>
                <w:color w:val="auto"/>
              </w:rPr>
            </w:pPr>
            <w:r>
              <w:rPr>
                <w:rFonts w:ascii="Arial" w:cs="Arial" w:eastAsia="Arial" w:hAnsi="Arial"/>
                <w:sz w:val="14"/>
                <w:szCs w:val="14"/>
                <w:b w:val="1"/>
                <w:bCs w:val="1"/>
                <w:color w:val="auto"/>
                <w:w w:val="95"/>
              </w:rPr>
              <w:t>(Zip Code)</w:t>
            </w:r>
          </w:p>
        </w:tc>
      </w:tr>
      <w:tr>
        <w:trPr>
          <w:trHeight w:val="216"/>
        </w:trPr>
        <w:tc>
          <w:tcPr>
            <w:tcW w:w="9340" w:type="dxa"/>
            <w:vAlign w:val="bottom"/>
            <w:gridSpan w:val="3"/>
          </w:tcPr>
          <w:p>
            <w:pPr>
              <w:jc w:val="center"/>
              <w:ind w:right="838"/>
              <w:spacing w:after="0"/>
              <w:rPr>
                <w:sz w:val="20"/>
                <w:szCs w:val="20"/>
                <w:color w:val="auto"/>
              </w:rPr>
            </w:pPr>
            <w:r>
              <w:rPr>
                <w:rFonts w:ascii="Arial" w:cs="Arial" w:eastAsia="Arial" w:hAnsi="Arial"/>
                <w:sz w:val="14"/>
                <w:szCs w:val="14"/>
                <w:b w:val="1"/>
                <w:bCs w:val="1"/>
                <w:color w:val="auto"/>
                <w:w w:val="92"/>
              </w:rPr>
              <w:t>Registrant’s telephone number, including area code: (501) 850-0820</w:t>
            </w:r>
          </w:p>
        </w:tc>
      </w:tr>
      <w:tr>
        <w:trPr>
          <w:trHeight w:val="80"/>
        </w:trPr>
        <w:tc>
          <w:tcPr>
            <w:tcW w:w="3080" w:type="dxa"/>
            <w:vAlign w:val="bottom"/>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3980" w:type="dxa"/>
            <w:vAlign w:val="bottom"/>
          </w:tcPr>
          <w:p>
            <w:pPr>
              <w:spacing w:after="0"/>
              <w:rPr>
                <w:sz w:val="6"/>
                <w:szCs w:val="6"/>
                <w:color w:val="auto"/>
              </w:rPr>
            </w:pPr>
          </w:p>
        </w:tc>
      </w:tr>
      <w:tr>
        <w:trPr>
          <w:trHeight w:val="276"/>
        </w:trPr>
        <w:tc>
          <w:tcPr>
            <w:tcW w:w="9340" w:type="dxa"/>
            <w:vAlign w:val="bottom"/>
            <w:gridSpan w:val="3"/>
          </w:tcPr>
          <w:p>
            <w:pPr>
              <w:ind w:left="240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230"/>
        </w:trPr>
        <w:tc>
          <w:tcPr>
            <w:tcW w:w="3080" w:type="dxa"/>
            <w:vAlign w:val="bottom"/>
          </w:tcPr>
          <w:p>
            <w:pPr>
              <w:jc w:val="center"/>
              <w:ind w:right="1697"/>
              <w:spacing w:after="0"/>
              <w:rPr>
                <w:sz w:val="20"/>
                <w:szCs w:val="20"/>
                <w:color w:val="auto"/>
              </w:rPr>
            </w:pPr>
            <w:r>
              <w:rPr>
                <w:rFonts w:ascii="Arial" w:cs="Arial" w:eastAsia="Arial" w:hAnsi="Arial"/>
                <w:sz w:val="18"/>
                <w:szCs w:val="18"/>
                <w:color w:val="auto"/>
                <w:w w:val="90"/>
              </w:rPr>
              <w:t>Title of each class</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Trading Symbol(s)</w:t>
            </w:r>
          </w:p>
        </w:tc>
        <w:tc>
          <w:tcPr>
            <w:tcW w:w="3980" w:type="dxa"/>
            <w:vAlign w:val="bottom"/>
          </w:tcPr>
          <w:p>
            <w:pPr>
              <w:jc w:val="center"/>
              <w:ind w:left="718"/>
              <w:spacing w:after="0"/>
              <w:rPr>
                <w:sz w:val="20"/>
                <w:szCs w:val="20"/>
                <w:color w:val="auto"/>
              </w:rPr>
            </w:pPr>
            <w:r>
              <w:rPr>
                <w:rFonts w:ascii="Arial" w:cs="Arial" w:eastAsia="Arial" w:hAnsi="Arial"/>
                <w:sz w:val="18"/>
                <w:szCs w:val="18"/>
                <w:color w:val="auto"/>
                <w:w w:val="89"/>
              </w:rPr>
              <w:t>Name of each exchange on which registered</w:t>
            </w:r>
          </w:p>
        </w:tc>
      </w:tr>
      <w:tr>
        <w:trPr>
          <w:trHeight w:val="257"/>
        </w:trPr>
        <w:tc>
          <w:tcPr>
            <w:tcW w:w="3080" w:type="dxa"/>
            <w:vAlign w:val="bottom"/>
          </w:tcPr>
          <w:p>
            <w:pPr>
              <w:jc w:val="center"/>
              <w:ind w:right="1677"/>
              <w:spacing w:after="0"/>
              <w:rPr>
                <w:sz w:val="20"/>
                <w:szCs w:val="20"/>
                <w:color w:val="auto"/>
              </w:rPr>
            </w:pPr>
            <w:r>
              <w:rPr>
                <w:rFonts w:ascii="Arial" w:cs="Arial" w:eastAsia="Arial" w:hAnsi="Arial"/>
                <w:sz w:val="18"/>
                <w:szCs w:val="18"/>
                <w:color w:val="auto"/>
                <w:w w:val="90"/>
              </w:rPr>
              <w:t>Common Stock</w:t>
            </w:r>
          </w:p>
        </w:tc>
        <w:tc>
          <w:tcPr>
            <w:tcW w:w="2280" w:type="dxa"/>
            <w:vAlign w:val="bottom"/>
          </w:tcPr>
          <w:p>
            <w:pPr>
              <w:jc w:val="center"/>
              <w:spacing w:after="0"/>
              <w:rPr>
                <w:sz w:val="20"/>
                <w:szCs w:val="20"/>
                <w:color w:val="auto"/>
              </w:rPr>
            </w:pPr>
            <w:r>
              <w:rPr>
                <w:rFonts w:ascii="Arial" w:cs="Arial" w:eastAsia="Arial" w:hAnsi="Arial"/>
                <w:sz w:val="18"/>
                <w:szCs w:val="18"/>
                <w:color w:val="auto"/>
              </w:rPr>
              <w:t>UNIT</w:t>
            </w:r>
          </w:p>
        </w:tc>
        <w:tc>
          <w:tcPr>
            <w:tcW w:w="3980" w:type="dxa"/>
            <w:vAlign w:val="bottom"/>
          </w:tcPr>
          <w:p>
            <w:pPr>
              <w:jc w:val="center"/>
              <w:ind w:left="718"/>
              <w:spacing w:after="0"/>
              <w:rPr>
                <w:sz w:val="20"/>
                <w:szCs w:val="20"/>
                <w:color w:val="auto"/>
              </w:rPr>
            </w:pPr>
            <w:r>
              <w:rPr>
                <w:rFonts w:ascii="Arial" w:cs="Arial" w:eastAsia="Arial" w:hAnsi="Arial"/>
                <w:sz w:val="18"/>
                <w:szCs w:val="18"/>
                <w:color w:val="auto"/>
                <w:w w:val="93"/>
              </w:rPr>
              <w:t>The NASDAQ Global Select Market</w:t>
            </w:r>
          </w:p>
        </w:tc>
      </w:tr>
    </w:tbl>
    <w:p>
      <w:pPr>
        <w:spacing w:after="0" w:line="94" w:lineRule="exact"/>
        <w:rPr>
          <w:sz w:val="24"/>
          <w:szCs w:val="24"/>
          <w:color w:val="auto"/>
        </w:rPr>
      </w:pPr>
    </w:p>
    <w:p>
      <w:pPr>
        <w:ind w:right="2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firstLine="518"/>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180"/>
        <w:spacing w:after="0" w:line="207" w:lineRule="exact"/>
        <w:tabs>
          <w:tab w:leader="none" w:pos="9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81" w:lineRule="exact"/>
        <w:rPr>
          <w:sz w:val="24"/>
          <w:szCs w:val="24"/>
          <w:color w:val="auto"/>
        </w:rPr>
      </w:pPr>
    </w:p>
    <w:p>
      <w:pPr>
        <w:ind w:right="16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30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6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30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00" w:type="dxa"/>
            <w:vAlign w:val="bottom"/>
          </w:tcPr>
          <w:p>
            <w:pPr>
              <w:ind w:left="30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ind w:right="14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320" w:firstLine="518"/>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August 2, 2019, the registrant had 193,143,385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185420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This Quarterly Report on Form 10-Q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effect of Windstream Holdings, Inc.’s (“Windstream Holdings” and together with its subsidiaries, “Windstream”) bankruptcy and Windstream’s performance under its long-term exclusive triple-net lease with us (the “Master Lease”); our expectations with respect to the treatment of the Master Lease in Windstream’s petitions for relief under Chapter 11 of the Bankruptcy Code; our expectations regarding the effect of substantial doubt about our ability to continue as a going concern; our expectations regarding the future growth and demand of the telecommunications industry, future financing plans, business strategies, growth prospects, operating and financial performance, and our future liquidity needs and access to capital; expectations regarding the impact and integration of Information Transport Solutions, Inc. (“ITS”) and M</w:t>
      </w:r>
      <w:r>
        <w:rPr>
          <w:rFonts w:ascii="Arial" w:cs="Arial" w:eastAsia="Arial" w:hAnsi="Arial"/>
          <w:sz w:val="14"/>
          <w:szCs w:val="14"/>
          <w:color w:val="auto"/>
        </w:rPr>
        <w:t>2</w:t>
      </w:r>
      <w:r>
        <w:rPr>
          <w:rFonts w:ascii="Arial" w:cs="Arial" w:eastAsia="Arial" w:hAnsi="Arial"/>
          <w:sz w:val="17"/>
          <w:szCs w:val="17"/>
          <w:color w:val="auto"/>
        </w:rPr>
        <w:t xml:space="preserve"> Connections, including expectations regarding operational synergies with Uniti Towers and Uniti Fiber; expectations regarding the probability of our obligation to pay contingent consideration upon Tower Cloud, Inc.'s ("Tower Cloud") achievement of certain defined operational and financial milestones; expectations regarding future deployment of fiber strand miles and small cell networks and recognition of revenue related thereto; expectations regarding levels of capital expenditures; expectations regarding the deductibility of goodwill for tax purposes; expectations regarding reclassification of accumulated other comprehensive income (loss) related to derivatives to interest expense; expectations regarding the amortization of intangible assets; expectations regarding the closing of the operating company-property company partnership with Macquarie Infrastructure Partners and related acquisition of Bluebird Network, LLC (“Bluebird”); and expectations regarding the payment of dividends.</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301" w:lineRule="exact"/>
        <w:rPr>
          <w:sz w:val="20"/>
          <w:szCs w:val="20"/>
          <w:color w:val="auto"/>
        </w:rPr>
      </w:pPr>
    </w:p>
    <w:p>
      <w:pPr>
        <w:ind w:left="1040" w:right="460" w:hanging="519"/>
        <w:spacing w:after="0" w:line="342"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future prospects of our largest customer, Windstream Holdings, which, following a finding that it is in default of certain of its debt, on February 25, 2019, and along with all of its subsidiaries, filed voluntary petitions for relief under Chapter 11 of the Bankruptcy Code;</w:t>
      </w:r>
    </w:p>
    <w:p>
      <w:pPr>
        <w:spacing w:after="0" w:line="15" w:lineRule="exact"/>
        <w:rPr>
          <w:rFonts w:ascii="Arial" w:cs="Arial" w:eastAsia="Arial" w:hAnsi="Arial"/>
          <w:sz w:val="16"/>
          <w:szCs w:val="16"/>
          <w:color w:val="auto"/>
        </w:rPr>
      </w:pPr>
    </w:p>
    <w:p>
      <w:pPr>
        <w:ind w:left="1040" w:right="480" w:hanging="519"/>
        <w:spacing w:after="0" w:line="308"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continue as a going concern if Windstream Holdings were to succeed in its recharacterization and fraudulent transfer claims against us, reject the Master Lease or be unable or unwilling to perform its obligations under the Master Lease;</w:t>
      </w:r>
    </w:p>
    <w:p>
      <w:pPr>
        <w:spacing w:after="0" w:line="38" w:lineRule="exact"/>
        <w:rPr>
          <w:rFonts w:ascii="Arial" w:cs="Arial" w:eastAsia="Arial" w:hAnsi="Arial"/>
          <w:sz w:val="17"/>
          <w:szCs w:val="17"/>
          <w:color w:val="auto"/>
        </w:rPr>
      </w:pPr>
    </w:p>
    <w:p>
      <w:pPr>
        <w:ind w:left="1040" w:right="16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customers to meet and/or perform their obligations under any contractual arrangements entered into with us, including master lease arrangements;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customers to comply with laws, rules and regulations in the operation of the assets we lease to them;</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customers to renew their leases with us upon their expiration, and the ability to reposition our properties on the same or better terms in the event of nonrenewal or in the event we replace an existing tenant;</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renew, extend or retain our contracts or to obtain new contracts with significant customers (including customers of the businesses that we acquire);</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identify suitable acquisition opportunities and our ability to acquire and lease the respective properties on favorable terms or operate and integrate the acquired businesses;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sufficient cash flows to service our outstanding indebtedness;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debt and equity capital markets;</w:t>
      </w:r>
    </w:p>
    <w:p>
      <w:pPr>
        <w:spacing w:after="0" w:line="117" w:lineRule="exact"/>
        <w:rPr>
          <w:rFonts w:ascii="Arial" w:cs="Arial" w:eastAsia="Arial" w:hAnsi="Arial"/>
          <w:sz w:val="18"/>
          <w:szCs w:val="18"/>
          <w:color w:val="auto"/>
        </w:rPr>
      </w:pPr>
    </w:p>
    <w:p>
      <w:pPr>
        <w:ind w:left="1040" w:right="40" w:hanging="519"/>
        <w:spacing w:after="0" w:line="264"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impacts of changes to our business, economic trends or key assumptions regarding our estimates of fair value, including potential impacts of recent developments surrounding Windstream that could result in an impairment charge in the future, which could have a significant impact to our reported earnings;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or the business of our customers as a result of credit rating downgrades, and fluctuating interest rates;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impacts of litigation or disputes involving us or our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our key management personnel;</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status as a real estate investment trust (“REIT”), including as a result of the effects of the recent events with respect to our largest customer, Windstream Holdings;</w:t>
      </w:r>
    </w:p>
    <w:p>
      <w:pPr>
        <w:spacing w:after="0" w:line="62"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U.S. tax law and other federal, state or local laws, whether or not specific to REITs, including the impact of the 2017 U.S. tax reform legislation;</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covenants in our debt agreements that may limit our operational flexibility;</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we may experience equipment failures, natural disasters, cyber attacks or terrorist attacks for which our insurance may not provide adequate coverage;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we fail to fully realize the potential benefits of or have difficulty in integrating the companies we acquire;</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inherent in the communications industry and in the ownership of communications distribution systems, including potential liability relating to environmental matters and illiquidity of real estate investments;</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the agreements regarding the Bluebird acquisition may be modified or terminated prior to expiration or that the conditions to the Bluebird acquisition may not be satisfied; and</w:t>
      </w:r>
    </w:p>
    <w:p>
      <w:pPr>
        <w:spacing w:after="0" w:line="62" w:lineRule="exact"/>
        <w:rPr>
          <w:rFonts w:ascii="Arial" w:cs="Arial" w:eastAsia="Arial" w:hAnsi="Arial"/>
          <w:sz w:val="18"/>
          <w:szCs w:val="18"/>
          <w:color w:val="auto"/>
        </w:rPr>
      </w:pPr>
    </w:p>
    <w:p>
      <w:pPr>
        <w:ind w:left="1040" w:hanging="519"/>
        <w:spacing w:after="0" w:line="312"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additional factors discussed in Part I, Item 2 “Management’s Discussion and Analysis of Financial Condition and Results of Operations” of this Quarterly Report on Form 10-Q and in Part I, Item 1A "Risk Factors" of our Annual Report on Form 10-K for the year ended December 31, 2018, as well as those described from time to time in our future reports filed with the U.S. Securities and Exchange Commission (“SEC”).</w:t>
      </w:r>
    </w:p>
    <w:p>
      <w:pPr>
        <w:spacing w:after="0" w:line="10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Forward-looking statements speak only as of the date of this Quarterly Report.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40" w:type="dxa"/>
            <w:vAlign w:val="bottom"/>
            <w:gridSpan w:val="8"/>
          </w:tcPr>
          <w:p>
            <w:pPr>
              <w:jc w:val="center"/>
              <w:ind w:right="4340"/>
              <w:spacing w:after="0"/>
              <w:rPr>
                <w:sz w:val="20"/>
                <w:szCs w:val="20"/>
                <w:color w:val="auto"/>
              </w:rPr>
            </w:pPr>
            <w:r>
              <w:rPr>
                <w:rFonts w:ascii="Arial" w:cs="Arial" w:eastAsia="Arial" w:hAnsi="Arial"/>
                <w:sz w:val="18"/>
                <w:szCs w:val="18"/>
                <w:b w:val="1"/>
                <w:bCs w:val="1"/>
                <w:color w:val="auto"/>
                <w:w w:val="94"/>
              </w:rPr>
              <w:t>Uniti Group Inc.</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940" w:type="dxa"/>
            <w:vAlign w:val="bottom"/>
            <w:gridSpan w:val="8"/>
          </w:tcPr>
          <w:p>
            <w:pPr>
              <w:jc w:val="center"/>
              <w:ind w:right="4340"/>
              <w:spacing w:after="0"/>
              <w:rPr>
                <w:sz w:val="20"/>
                <w:szCs w:val="20"/>
                <w:color w:val="auto"/>
              </w:rPr>
            </w:pPr>
            <w:r>
              <w:rPr>
                <w:rFonts w:ascii="Arial" w:cs="Arial" w:eastAsia="Arial" w:hAnsi="Arial"/>
                <w:sz w:val="18"/>
                <w:szCs w:val="18"/>
                <w:b w:val="1"/>
                <w:bCs w:val="1"/>
                <w:color w:val="auto"/>
                <w:w w:val="89"/>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gridSpan w:val="11"/>
            <w:vMerge w:val="restart"/>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7540" w:type="dxa"/>
            <w:vAlign w:val="bottom"/>
            <w:gridSpan w:val="20"/>
            <w:vMerge w:val="restart"/>
          </w:tcPr>
          <w:p>
            <w:pPr>
              <w:spacing w:after="0"/>
              <w:rPr>
                <w:sz w:val="24"/>
                <w:szCs w:val="24"/>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920" w:type="dxa"/>
            <w:vAlign w:val="bottom"/>
            <w:gridSpan w:val="2"/>
            <w:vMerge w:val="continue"/>
          </w:tcPr>
          <w:p>
            <w:pPr>
              <w:spacing w:after="0"/>
              <w:rPr>
                <w:sz w:val="15"/>
                <w:szCs w:val="15"/>
                <w:color w:val="auto"/>
              </w:rPr>
            </w:pPr>
          </w:p>
        </w:tc>
        <w:tc>
          <w:tcPr>
            <w:tcW w:w="2400" w:type="dxa"/>
            <w:vAlign w:val="bottom"/>
            <w:tcBorders>
              <w:bottom w:val="single" w:sz="8" w:color="0000EE"/>
            </w:tcBorders>
            <w:gridSpan w:val="11"/>
            <w:vMerge w:val="continue"/>
          </w:tcPr>
          <w:p>
            <w:pPr>
              <w:spacing w:after="0"/>
              <w:rPr>
                <w:sz w:val="15"/>
                <w:szCs w:val="15"/>
                <w:color w:val="auto"/>
              </w:rPr>
            </w:pPr>
          </w:p>
        </w:tc>
        <w:tc>
          <w:tcPr>
            <w:tcW w:w="7540" w:type="dxa"/>
            <w:vAlign w:val="bottom"/>
            <w:gridSpan w:val="20"/>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40" w:type="dxa"/>
            <w:vAlign w:val="bottom"/>
            <w:gridSpan w:val="3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9"/>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20" w:type="dxa"/>
            <w:vAlign w:val="bottom"/>
            <w:tcBorders>
              <w:top w:val="single" w:sz="8" w:color="0000EE"/>
            </w:tcBorders>
            <w:gridSpan w:val="12"/>
          </w:tcPr>
          <w:p>
            <w:pPr>
              <w:spacing w:after="0"/>
              <w:rPr>
                <w:sz w:val="20"/>
                <w:szCs w:val="20"/>
                <w:color w:val="auto"/>
              </w:rPr>
            </w:pPr>
            <w:r>
              <w:rPr>
                <w:rFonts w:ascii="Arial" w:cs="Arial" w:eastAsia="Arial" w:hAnsi="Arial"/>
                <w:sz w:val="18"/>
                <w:szCs w:val="18"/>
                <w:b w:val="1"/>
                <w:bCs w:val="1"/>
                <w:color w:val="auto"/>
              </w:rPr>
              <w:t>Uniti Group Inc.</w:t>
            </w:r>
          </w:p>
        </w:tc>
        <w:tc>
          <w:tcPr>
            <w:tcW w:w="7520" w:type="dxa"/>
            <w:vAlign w:val="bottom"/>
            <w:gridSpan w:val="19"/>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940" w:type="dxa"/>
            <w:vAlign w:val="bottom"/>
            <w:gridSpan w:val="31"/>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2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Income</w:t>
              </w:r>
            </w:hyperlink>
          </w:p>
        </w:tc>
        <w:tc>
          <w:tcPr>
            <w:tcW w:w="6520" w:type="dxa"/>
            <w:vAlign w:val="bottom"/>
            <w:gridSpan w:val="13"/>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00" w:type="dxa"/>
            <w:vAlign w:val="bottom"/>
            <w:tcBorders>
              <w:bottom w:val="single" w:sz="8" w:color="0000EE"/>
            </w:tcBorders>
            <w:gridSpan w:val="28"/>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 (Loss)</w:t>
              </w:r>
            </w:hyperlink>
          </w:p>
        </w:tc>
        <w:tc>
          <w:tcPr>
            <w:tcW w:w="4840" w:type="dxa"/>
            <w:vAlign w:val="bottom"/>
            <w:gridSpan w:val="3"/>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3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Shareholders’ Deficit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40" w:type="dxa"/>
            <w:vAlign w:val="bottom"/>
            <w:tcBorders>
              <w:top w:val="single" w:sz="8" w:color="0000EE"/>
              <w:bottom w:val="single" w:sz="8" w:color="0000EE"/>
            </w:tcBorders>
            <w:gridSpan w:val="22"/>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Condensed Consolidated Statements of Cash Flows</w:t>
              </w:r>
            </w:hyperlink>
          </w:p>
        </w:tc>
        <w:tc>
          <w:tcPr>
            <w:tcW w:w="680" w:type="dxa"/>
            <w:vAlign w:val="bottom"/>
            <w:tcBorders>
              <w:top w:val="single" w:sz="8" w:color="0000EE"/>
            </w:tcBorders>
            <w:gridSpan w:val="4"/>
          </w:tcPr>
          <w:p>
            <w:pPr>
              <w:spacing w:after="0"/>
              <w:rPr>
                <w:sz w:val="18"/>
                <w:szCs w:val="18"/>
                <w:color w:val="auto"/>
              </w:rPr>
            </w:pPr>
          </w:p>
        </w:tc>
        <w:tc>
          <w:tcPr>
            <w:tcW w:w="5520" w:type="dxa"/>
            <w:vAlign w:val="bottom"/>
            <w:gridSpan w:val="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31"/>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0" w:type="dxa"/>
            <w:vAlign w:val="bottom"/>
            <w:tcBorders>
              <w:top w:val="single" w:sz="8" w:color="0000EE"/>
            </w:tcBorders>
            <w:gridSpan w:val="23"/>
          </w:tcPr>
          <w:p>
            <w:pPr>
              <w:ind w:left="140"/>
              <w:spacing w:after="0"/>
              <w:rPr>
                <w:rFonts w:ascii="Arial" w:cs="Arial" w:eastAsia="Arial" w:hAnsi="Arial"/>
                <w:sz w:val="18"/>
                <w:szCs w:val="18"/>
                <w:color w:val="auto"/>
              </w:rPr>
            </w:pPr>
            <w:r>
              <w:rPr>
                <w:rFonts w:ascii="Arial" w:cs="Arial" w:eastAsia="Arial" w:hAnsi="Arial"/>
                <w:sz w:val="18"/>
                <w:szCs w:val="18"/>
                <w:color w:val="auto"/>
              </w:rPr>
              <w:t>1.</w:t>
            </w:r>
            <w:hyperlink w:anchor="page11">
              <w:r>
                <w:rPr>
                  <w:rFonts w:ascii="Arial" w:cs="Arial" w:eastAsia="Arial" w:hAnsi="Arial"/>
                  <w:sz w:val="18"/>
                  <w:szCs w:val="18"/>
                  <w:color w:val="0000EE"/>
                </w:rPr>
                <w:t>Organization and Description of Business</w:t>
              </w:r>
            </w:hyperlink>
          </w:p>
        </w:tc>
        <w:tc>
          <w:tcPr>
            <w:tcW w:w="5940" w:type="dxa"/>
            <w:vAlign w:val="bottom"/>
            <w:gridSpan w:val="8"/>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31"/>
          </w:tcPr>
          <w:p>
            <w:pPr>
              <w:ind w:left="140"/>
              <w:spacing w:after="0"/>
              <w:rPr>
                <w:rFonts w:ascii="Arial" w:cs="Arial" w:eastAsia="Arial" w:hAnsi="Arial"/>
                <w:sz w:val="18"/>
                <w:szCs w:val="18"/>
                <w:color w:val="auto"/>
              </w:rPr>
            </w:pPr>
            <w:r>
              <w:rPr>
                <w:rFonts w:ascii="Arial" w:cs="Arial" w:eastAsia="Arial" w:hAnsi="Arial"/>
                <w:sz w:val="18"/>
                <w:szCs w:val="18"/>
                <w:color w:val="auto"/>
              </w:rPr>
              <w:t>2.</w:t>
            </w:r>
            <w:hyperlink w:anchor="page11">
              <w:r>
                <w:rPr>
                  <w:rFonts w:ascii="Arial" w:cs="Arial" w:eastAsia="Arial" w:hAnsi="Arial"/>
                  <w:sz w:val="18"/>
                  <w:szCs w:val="18"/>
                  <w:color w:val="0000EE"/>
                </w:rPr>
                <w:t>Basis of Presentation and Summary of Significant Accounting Policies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31"/>
          </w:tcPr>
          <w:p>
            <w:pPr>
              <w:ind w:left="140"/>
              <w:spacing w:after="0"/>
              <w:rPr>
                <w:rFonts w:ascii="Arial" w:cs="Arial" w:eastAsia="Arial" w:hAnsi="Arial"/>
                <w:sz w:val="18"/>
                <w:szCs w:val="18"/>
                <w:color w:val="auto"/>
              </w:rPr>
            </w:pPr>
            <w:r>
              <w:rPr>
                <w:rFonts w:ascii="Arial" w:cs="Arial" w:eastAsia="Arial" w:hAnsi="Arial"/>
                <w:sz w:val="18"/>
                <w:szCs w:val="18"/>
                <w:color w:val="auto"/>
              </w:rPr>
              <w:t>3.</w:t>
            </w:r>
            <w:hyperlink w:anchor="page16">
              <w:r>
                <w:rPr>
                  <w:rFonts w:ascii="Arial" w:cs="Arial" w:eastAsia="Arial" w:hAnsi="Arial"/>
                  <w:sz w:val="18"/>
                  <w:szCs w:val="18"/>
                  <w:color w:val="0000EE"/>
                </w:rPr>
                <w:t>Revenues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31"/>
          </w:tcPr>
          <w:p>
            <w:pPr>
              <w:ind w:left="140"/>
              <w:spacing w:after="0"/>
              <w:rPr>
                <w:rFonts w:ascii="Arial" w:cs="Arial" w:eastAsia="Arial" w:hAnsi="Arial"/>
                <w:sz w:val="18"/>
                <w:szCs w:val="18"/>
                <w:color w:val="auto"/>
              </w:rPr>
            </w:pPr>
            <w:r>
              <w:rPr>
                <w:rFonts w:ascii="Arial" w:cs="Arial" w:eastAsia="Arial" w:hAnsi="Arial"/>
                <w:sz w:val="18"/>
                <w:szCs w:val="18"/>
                <w:color w:val="auto"/>
              </w:rPr>
              <w:t>4.</w:t>
            </w:r>
            <w:hyperlink w:anchor="page18">
              <w:r>
                <w:rPr>
                  <w:rFonts w:ascii="Arial" w:cs="Arial" w:eastAsia="Arial" w:hAnsi="Arial"/>
                  <w:sz w:val="18"/>
                  <w:szCs w:val="18"/>
                  <w:color w:val="auto"/>
                </w:rPr>
                <w:t>Leases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31"/>
          </w:tcPr>
          <w:p>
            <w:pPr>
              <w:ind w:left="140"/>
              <w:spacing w:after="0"/>
              <w:rPr>
                <w:rFonts w:ascii="Arial" w:cs="Arial" w:eastAsia="Arial" w:hAnsi="Arial"/>
                <w:sz w:val="18"/>
                <w:szCs w:val="18"/>
                <w:color w:val="auto"/>
              </w:rPr>
            </w:pPr>
            <w:r>
              <w:rPr>
                <w:rFonts w:ascii="Arial" w:cs="Arial" w:eastAsia="Arial" w:hAnsi="Arial"/>
                <w:sz w:val="18"/>
                <w:szCs w:val="18"/>
                <w:color w:val="auto"/>
              </w:rPr>
              <w:t>5.</w:t>
            </w:r>
            <w:hyperlink w:anchor="page21">
              <w:r>
                <w:rPr>
                  <w:rFonts w:ascii="Arial" w:cs="Arial" w:eastAsia="Arial" w:hAnsi="Arial"/>
                  <w:sz w:val="18"/>
                  <w:szCs w:val="18"/>
                  <w:color w:val="0000EE"/>
                </w:rPr>
                <w:t>Business Combinations, Asset Acquisitions and Dispositions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31"/>
          </w:tcPr>
          <w:p>
            <w:pPr>
              <w:ind w:left="140"/>
              <w:spacing w:after="0"/>
              <w:rPr>
                <w:rFonts w:ascii="Arial" w:cs="Arial" w:eastAsia="Arial" w:hAnsi="Arial"/>
                <w:sz w:val="18"/>
                <w:szCs w:val="18"/>
                <w:color w:val="auto"/>
              </w:rPr>
            </w:pPr>
            <w:r>
              <w:rPr>
                <w:rFonts w:ascii="Arial" w:cs="Arial" w:eastAsia="Arial" w:hAnsi="Arial"/>
                <w:sz w:val="18"/>
                <w:szCs w:val="18"/>
                <w:color w:val="auto"/>
              </w:rPr>
              <w:t>6.</w:t>
            </w:r>
            <w:hyperlink w:anchor="page22">
              <w:r>
                <w:rPr>
                  <w:rFonts w:ascii="Arial" w:cs="Arial" w:eastAsia="Arial" w:hAnsi="Arial"/>
                  <w:sz w:val="18"/>
                  <w:szCs w:val="18"/>
                  <w:color w:val="0000EE"/>
                </w:rPr>
                <w:t>Assets and Liabilities Held for Sale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31"/>
          </w:tcPr>
          <w:p>
            <w:pPr>
              <w:ind w:left="140"/>
              <w:spacing w:after="0"/>
              <w:rPr>
                <w:rFonts w:ascii="Arial" w:cs="Arial" w:eastAsia="Arial" w:hAnsi="Arial"/>
                <w:sz w:val="18"/>
                <w:szCs w:val="18"/>
                <w:color w:val="auto"/>
              </w:rPr>
            </w:pPr>
            <w:r>
              <w:rPr>
                <w:rFonts w:ascii="Arial" w:cs="Arial" w:eastAsia="Arial" w:hAnsi="Arial"/>
                <w:sz w:val="18"/>
                <w:szCs w:val="18"/>
                <w:color w:val="auto"/>
              </w:rPr>
              <w:t>7.</w:t>
            </w:r>
            <w:hyperlink w:anchor="page23">
              <w:r>
                <w:rPr>
                  <w:rFonts w:ascii="Arial" w:cs="Arial" w:eastAsia="Arial" w:hAnsi="Arial"/>
                  <w:sz w:val="18"/>
                  <w:szCs w:val="18"/>
                  <w:color w:val="0000EE"/>
                </w:rPr>
                <w:t>Fair Value of Financial Instruments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31"/>
          </w:tcPr>
          <w:p>
            <w:pPr>
              <w:ind w:left="140"/>
              <w:spacing w:after="0"/>
              <w:rPr>
                <w:rFonts w:ascii="Arial" w:cs="Arial" w:eastAsia="Arial" w:hAnsi="Arial"/>
                <w:sz w:val="18"/>
                <w:szCs w:val="18"/>
                <w:color w:val="auto"/>
              </w:rPr>
            </w:pPr>
            <w:r>
              <w:rPr>
                <w:rFonts w:ascii="Arial" w:cs="Arial" w:eastAsia="Arial" w:hAnsi="Arial"/>
                <w:sz w:val="18"/>
                <w:szCs w:val="18"/>
                <w:color w:val="auto"/>
              </w:rPr>
              <w:t>8.</w:t>
            </w:r>
            <w:hyperlink w:anchor="page25">
              <w:r>
                <w:rPr>
                  <w:rFonts w:ascii="Arial" w:cs="Arial" w:eastAsia="Arial" w:hAnsi="Arial"/>
                  <w:sz w:val="18"/>
                  <w:szCs w:val="18"/>
                  <w:color w:val="0000EE"/>
                </w:rPr>
                <w:t>Property Plant and Equipment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31"/>
          </w:tcPr>
          <w:p>
            <w:pPr>
              <w:ind w:left="140"/>
              <w:spacing w:after="0"/>
              <w:rPr>
                <w:rFonts w:ascii="Arial" w:cs="Arial" w:eastAsia="Arial" w:hAnsi="Arial"/>
                <w:sz w:val="18"/>
                <w:szCs w:val="18"/>
                <w:color w:val="auto"/>
              </w:rPr>
            </w:pPr>
            <w:r>
              <w:rPr>
                <w:rFonts w:ascii="Arial" w:cs="Arial" w:eastAsia="Arial" w:hAnsi="Arial"/>
                <w:sz w:val="18"/>
                <w:szCs w:val="18"/>
                <w:color w:val="auto"/>
              </w:rPr>
              <w:t>9.</w:t>
            </w:r>
            <w:hyperlink w:anchor="page25">
              <w:r>
                <w:rPr>
                  <w:rFonts w:ascii="Arial" w:cs="Arial" w:eastAsia="Arial" w:hAnsi="Arial"/>
                  <w:sz w:val="18"/>
                  <w:szCs w:val="18"/>
                  <w:color w:val="0000EE"/>
                </w:rPr>
                <w:t>Derivative Instruments and Hedging Activities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780" w:type="dxa"/>
            <w:vAlign w:val="bottom"/>
            <w:tcBorders>
              <w:left w:val="single" w:sz="8" w:color="0000EE"/>
            </w:tcBorders>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31"/>
          </w:tcPr>
          <w:p>
            <w:pPr>
              <w:ind w:left="140"/>
              <w:spacing w:after="0"/>
              <w:rPr>
                <w:rFonts w:ascii="Arial" w:cs="Arial" w:eastAsia="Arial" w:hAnsi="Arial"/>
                <w:sz w:val="18"/>
                <w:szCs w:val="18"/>
                <w:color w:val="auto"/>
              </w:rPr>
            </w:pPr>
            <w:r>
              <w:rPr>
                <w:rFonts w:ascii="Arial" w:cs="Arial" w:eastAsia="Arial" w:hAnsi="Arial"/>
                <w:sz w:val="18"/>
                <w:szCs w:val="18"/>
                <w:color w:val="auto"/>
              </w:rPr>
              <w:t>10.</w:t>
            </w:r>
            <w:hyperlink w:anchor="page27">
              <w:r>
                <w:rPr>
                  <w:rFonts w:ascii="Arial" w:cs="Arial" w:eastAsia="Arial" w:hAnsi="Arial"/>
                  <w:sz w:val="18"/>
                  <w:szCs w:val="18"/>
                  <w:color w:val="0000EE"/>
                </w:rPr>
                <w:t>Goodwill and Intangible Assets and Liabilities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780" w:type="dxa"/>
            <w:vAlign w:val="bottom"/>
            <w:tcBorders>
              <w:left w:val="single" w:sz="8" w:color="0000EE"/>
            </w:tcBorders>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31"/>
          </w:tcPr>
          <w:p>
            <w:pPr>
              <w:ind w:left="140"/>
              <w:spacing w:after="0"/>
              <w:rPr>
                <w:rFonts w:ascii="Arial" w:cs="Arial" w:eastAsia="Arial" w:hAnsi="Arial"/>
                <w:sz w:val="18"/>
                <w:szCs w:val="18"/>
                <w:color w:val="auto"/>
              </w:rPr>
            </w:pPr>
            <w:r>
              <w:rPr>
                <w:rFonts w:ascii="Arial" w:cs="Arial" w:eastAsia="Arial" w:hAnsi="Arial"/>
                <w:sz w:val="18"/>
                <w:szCs w:val="18"/>
                <w:color w:val="auto"/>
              </w:rPr>
              <w:t>11.</w:t>
            </w:r>
            <w:hyperlink w:anchor="page28">
              <w:r>
                <w:rPr>
                  <w:rFonts w:ascii="Arial" w:cs="Arial" w:eastAsia="Arial" w:hAnsi="Arial"/>
                  <w:sz w:val="18"/>
                  <w:szCs w:val="18"/>
                  <w:color w:val="0000EE"/>
                </w:rPr>
                <w:t>Notes and Other Debt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31"/>
          </w:tcPr>
          <w:p>
            <w:pPr>
              <w:ind w:left="140"/>
              <w:spacing w:after="0"/>
              <w:rPr>
                <w:rFonts w:ascii="Arial" w:cs="Arial" w:eastAsia="Arial" w:hAnsi="Arial"/>
                <w:sz w:val="18"/>
                <w:szCs w:val="18"/>
                <w:color w:val="auto"/>
              </w:rPr>
            </w:pPr>
            <w:r>
              <w:rPr>
                <w:rFonts w:ascii="Arial" w:cs="Arial" w:eastAsia="Arial" w:hAnsi="Arial"/>
                <w:sz w:val="18"/>
                <w:szCs w:val="18"/>
                <w:color w:val="auto"/>
              </w:rPr>
              <w:t>12.</w:t>
            </w:r>
            <w:hyperlink w:anchor="page31">
              <w:r>
                <w:rPr>
                  <w:rFonts w:ascii="Arial" w:cs="Arial" w:eastAsia="Arial" w:hAnsi="Arial"/>
                  <w:sz w:val="18"/>
                  <w:szCs w:val="18"/>
                  <w:color w:val="0000EE"/>
                </w:rPr>
                <w:t>Earnings Per Share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31"/>
          </w:tcPr>
          <w:p>
            <w:pPr>
              <w:ind w:left="140"/>
              <w:spacing w:after="0"/>
              <w:rPr>
                <w:rFonts w:ascii="Arial" w:cs="Arial" w:eastAsia="Arial" w:hAnsi="Arial"/>
                <w:sz w:val="18"/>
                <w:szCs w:val="18"/>
                <w:color w:val="auto"/>
              </w:rPr>
            </w:pPr>
            <w:r>
              <w:rPr>
                <w:rFonts w:ascii="Arial" w:cs="Arial" w:eastAsia="Arial" w:hAnsi="Arial"/>
                <w:sz w:val="18"/>
                <w:szCs w:val="18"/>
                <w:color w:val="auto"/>
              </w:rPr>
              <w:t>13.</w:t>
            </w:r>
            <w:hyperlink w:anchor="page33">
              <w:r>
                <w:rPr>
                  <w:rFonts w:ascii="Arial" w:cs="Arial" w:eastAsia="Arial" w:hAnsi="Arial"/>
                  <w:sz w:val="18"/>
                  <w:szCs w:val="18"/>
                  <w:color w:val="0000EE"/>
                </w:rPr>
                <w:t>Segment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31"/>
          </w:tcPr>
          <w:p>
            <w:pPr>
              <w:ind w:left="140"/>
              <w:spacing w:after="0"/>
              <w:rPr>
                <w:rFonts w:ascii="Arial" w:cs="Arial" w:eastAsia="Arial" w:hAnsi="Arial"/>
                <w:sz w:val="18"/>
                <w:szCs w:val="18"/>
                <w:color w:val="auto"/>
              </w:rPr>
            </w:pPr>
            <w:r>
              <w:rPr>
                <w:rFonts w:ascii="Arial" w:cs="Arial" w:eastAsia="Arial" w:hAnsi="Arial"/>
                <w:sz w:val="18"/>
                <w:szCs w:val="18"/>
                <w:color w:val="auto"/>
              </w:rPr>
              <w:t>14.</w:t>
            </w:r>
            <w:hyperlink w:anchor="page35">
              <w:r>
                <w:rPr>
                  <w:rFonts w:ascii="Arial" w:cs="Arial" w:eastAsia="Arial" w:hAnsi="Arial"/>
                  <w:sz w:val="18"/>
                  <w:szCs w:val="18"/>
                  <w:color w:val="0000EE"/>
                </w:rPr>
                <w:t>Commitments and Contingencies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31"/>
          </w:tcPr>
          <w:p>
            <w:pPr>
              <w:ind w:left="140"/>
              <w:spacing w:after="0"/>
              <w:rPr>
                <w:rFonts w:ascii="Arial" w:cs="Arial" w:eastAsia="Arial" w:hAnsi="Arial"/>
                <w:sz w:val="18"/>
                <w:szCs w:val="18"/>
                <w:color w:val="auto"/>
              </w:rPr>
            </w:pPr>
            <w:r>
              <w:rPr>
                <w:rFonts w:ascii="Arial" w:cs="Arial" w:eastAsia="Arial" w:hAnsi="Arial"/>
                <w:sz w:val="18"/>
                <w:szCs w:val="18"/>
                <w:color w:val="auto"/>
              </w:rPr>
              <w:t>15.</w:t>
            </w:r>
            <w:hyperlink w:anchor="page37">
              <w:r>
                <w:rPr>
                  <w:rFonts w:ascii="Arial" w:cs="Arial" w:eastAsia="Arial" w:hAnsi="Arial"/>
                  <w:sz w:val="18"/>
                  <w:szCs w:val="18"/>
                  <w:color w:val="0000EE"/>
                </w:rPr>
                <w:t>Accumulated Other Comprehensive Income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0" w:type="dxa"/>
            <w:vAlign w:val="bottom"/>
            <w:gridSpan w:val="9"/>
            <w:shd w:val="clear" w:color="auto" w:fill="0000EE"/>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31"/>
          </w:tcPr>
          <w:p>
            <w:pPr>
              <w:ind w:left="140"/>
              <w:spacing w:after="0"/>
              <w:rPr>
                <w:rFonts w:ascii="Arial" w:cs="Arial" w:eastAsia="Arial" w:hAnsi="Arial"/>
                <w:sz w:val="18"/>
                <w:szCs w:val="18"/>
                <w:color w:val="auto"/>
              </w:rPr>
            </w:pPr>
            <w:r>
              <w:rPr>
                <w:rFonts w:ascii="Arial" w:cs="Arial" w:eastAsia="Arial" w:hAnsi="Arial"/>
                <w:sz w:val="18"/>
                <w:szCs w:val="18"/>
                <w:color w:val="auto"/>
              </w:rPr>
              <w:t>16.</w:t>
            </w:r>
            <w:hyperlink w:anchor="page37">
              <w:r>
                <w:rPr>
                  <w:rFonts w:ascii="Arial" w:cs="Arial" w:eastAsia="Arial" w:hAnsi="Arial"/>
                  <w:sz w:val="18"/>
                  <w:szCs w:val="18"/>
                  <w:color w:val="0000EE"/>
                </w:rPr>
                <w:t>Capital Stock</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31"/>
          </w:tcPr>
          <w:p>
            <w:pPr>
              <w:ind w:left="140"/>
              <w:spacing w:after="0"/>
              <w:rPr>
                <w:rFonts w:ascii="Arial" w:cs="Arial" w:eastAsia="Arial" w:hAnsi="Arial"/>
                <w:sz w:val="18"/>
                <w:szCs w:val="18"/>
                <w:color w:val="auto"/>
              </w:rPr>
            </w:pPr>
            <w:r>
              <w:rPr>
                <w:rFonts w:ascii="Arial" w:cs="Arial" w:eastAsia="Arial" w:hAnsi="Arial"/>
                <w:sz w:val="18"/>
                <w:szCs w:val="18"/>
                <w:color w:val="auto"/>
              </w:rPr>
              <w:t>17.</w:t>
            </w:r>
            <w:hyperlink w:anchor="page37">
              <w:r>
                <w:rPr>
                  <w:rFonts w:ascii="Arial" w:cs="Arial" w:eastAsia="Arial" w:hAnsi="Arial"/>
                  <w:sz w:val="18"/>
                  <w:szCs w:val="18"/>
                  <w:color w:val="0000EE"/>
                </w:rPr>
                <w:t>Subsequent Events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40" w:type="dxa"/>
            <w:vAlign w:val="bottom"/>
            <w:gridSpan w:val="3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25"/>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5"/>
          </w:tcPr>
          <w:p>
            <w:pPr>
              <w:spacing w:after="0"/>
              <w:rPr>
                <w:sz w:val="18"/>
                <w:szCs w:val="18"/>
                <w:color w:val="auto"/>
              </w:rPr>
            </w:pPr>
          </w:p>
        </w:tc>
        <w:tc>
          <w:tcPr>
            <w:tcW w:w="3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59">
              <w:r>
                <w:rPr>
                  <w:rFonts w:ascii="Arial" w:cs="Arial" w:eastAsia="Arial" w:hAnsi="Arial"/>
                  <w:sz w:val="18"/>
                  <w:szCs w:val="18"/>
                  <w:color w:val="0000EE"/>
                  <w:w w:val="88"/>
                </w:rPr>
                <w:t>Controls and Procedures</w:t>
              </w:r>
            </w:hyperlink>
          </w:p>
        </w:tc>
        <w:tc>
          <w:tcPr>
            <w:tcW w:w="8160" w:type="dxa"/>
            <w:vAlign w:val="bottom"/>
            <w:gridSpan w:val="2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940" w:type="dxa"/>
            <w:vAlign w:val="bottom"/>
            <w:gridSpan w:val="31"/>
          </w:tcPr>
          <w:p>
            <w:pPr>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OTHER INFORMATION</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020" w:type="dxa"/>
            <w:vAlign w:val="bottom"/>
            <w:tcBorders>
              <w:top w:val="single" w:sz="8" w:color="0000EE"/>
            </w:tcBorders>
            <w:gridSpan w:val="9"/>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Legal Proceedings</w:t>
              </w:r>
            </w:hyperlink>
          </w:p>
        </w:tc>
        <w:tc>
          <w:tcPr>
            <w:tcW w:w="7920" w:type="dxa"/>
            <w:vAlign w:val="bottom"/>
            <w:gridSpan w:val="2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3"/>
              </w:rPr>
            </w:pPr>
            <w:hyperlink w:anchor="page61">
              <w:r>
                <w:rPr>
                  <w:rFonts w:ascii="Arial" w:cs="Arial" w:eastAsia="Arial" w:hAnsi="Arial"/>
                  <w:sz w:val="18"/>
                  <w:szCs w:val="18"/>
                  <w:color w:val="0000EE"/>
                  <w:w w:val="93"/>
                </w:rPr>
                <w:t>Risk Factors</w:t>
              </w:r>
            </w:hyperlink>
          </w:p>
        </w:tc>
        <w:tc>
          <w:tcPr>
            <w:tcW w:w="360" w:type="dxa"/>
            <w:vAlign w:val="bottom"/>
            <w:tcBorders>
              <w:top w:val="single" w:sz="8" w:color="0000EE"/>
            </w:tcBorders>
          </w:tcPr>
          <w:p>
            <w:pPr>
              <w:spacing w:after="0"/>
              <w:rPr>
                <w:sz w:val="18"/>
                <w:szCs w:val="18"/>
                <w:color w:val="auto"/>
              </w:rPr>
            </w:pPr>
          </w:p>
        </w:tc>
        <w:tc>
          <w:tcPr>
            <w:tcW w:w="8600" w:type="dxa"/>
            <w:vAlign w:val="bottom"/>
            <w:gridSpan w:val="26"/>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24"/>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Unregistered Sales of Equity Securities and Use of Proceeds</w:t>
              </w:r>
            </w:hyperlink>
          </w:p>
        </w:tc>
        <w:tc>
          <w:tcPr>
            <w:tcW w:w="5580" w:type="dxa"/>
            <w:vAlign w:val="bottom"/>
            <w:gridSpan w:val="7"/>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Defaults Upon Senior Securities</w:t>
              </w:r>
            </w:hyperlink>
          </w:p>
        </w:tc>
        <w:tc>
          <w:tcPr>
            <w:tcW w:w="7600" w:type="dxa"/>
            <w:vAlign w:val="bottom"/>
            <w:gridSpan w:val="21"/>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Mine Safety Disclosures</w:t>
              </w:r>
            </w:hyperlink>
          </w:p>
        </w:tc>
        <w:tc>
          <w:tcPr>
            <w:tcW w:w="8160" w:type="dxa"/>
            <w:vAlign w:val="bottom"/>
            <w:gridSpan w:val="2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940" w:type="dxa"/>
            <w:vAlign w:val="bottom"/>
            <w:gridSpan w:val="31"/>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Other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40" w:type="dxa"/>
            <w:vAlign w:val="bottom"/>
            <w:tcBorders>
              <w:top w:val="single" w:sz="8" w:color="0000EE"/>
            </w:tcBorders>
            <w:gridSpan w:val="5"/>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Exhibits</w:t>
              </w:r>
            </w:hyperlink>
          </w:p>
        </w:tc>
        <w:tc>
          <w:tcPr>
            <w:tcW w:w="8600" w:type="dxa"/>
            <w:vAlign w:val="bottom"/>
            <w:gridSpan w:val="26"/>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Signatures</w:t>
              </w:r>
            </w:hyperlink>
          </w:p>
        </w:tc>
        <w:tc>
          <w:tcPr>
            <w:tcW w:w="3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86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060" w:type="dxa"/>
            <w:vAlign w:val="bottom"/>
            <w:gridSpan w:val="3"/>
          </w:tcPr>
          <w:p>
            <w:pPr>
              <w:jc w:val="center"/>
              <w:ind w:left="2730"/>
              <w:spacing w:after="0"/>
              <w:rPr>
                <w:sz w:val="20"/>
                <w:szCs w:val="20"/>
                <w:color w:val="auto"/>
              </w:rPr>
            </w:pPr>
            <w:r>
              <w:rPr>
                <w:rFonts w:ascii="Arial" w:cs="Arial" w:eastAsia="Arial" w:hAnsi="Arial"/>
                <w:sz w:val="18"/>
                <w:szCs w:val="18"/>
                <w:b w:val="1"/>
                <w:bCs w:val="1"/>
                <w:color w:val="auto"/>
              </w:rPr>
              <w:t>PART I—FINANCIAL INFORMATION</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60" w:type="dxa"/>
            <w:vAlign w:val="bottom"/>
            <w:gridSpan w:val="4"/>
          </w:tcPr>
          <w:p>
            <w:pPr>
              <w:spacing w:after="0"/>
              <w:rPr>
                <w:sz w:val="20"/>
                <w:szCs w:val="20"/>
                <w:color w:val="auto"/>
              </w:rPr>
            </w:pPr>
            <w:r>
              <w:rPr>
                <w:rFonts w:ascii="Arial" w:cs="Arial" w:eastAsia="Arial" w:hAnsi="Arial"/>
                <w:sz w:val="18"/>
                <w:szCs w:val="18"/>
                <w:b w:val="1"/>
                <w:bCs w:val="1"/>
                <w:color w:val="auto"/>
              </w:rPr>
              <w:t>Item 1. Financial Statements.</w:t>
            </w: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580" w:type="dxa"/>
            <w:vAlign w:val="bottom"/>
            <w:gridSpan w:val="2"/>
          </w:tcPr>
          <w:p>
            <w:pPr>
              <w:jc w:val="center"/>
              <w:ind w:left="3210"/>
              <w:spacing w:after="0"/>
              <w:rPr>
                <w:sz w:val="20"/>
                <w:szCs w:val="20"/>
                <w:color w:val="auto"/>
              </w:rPr>
            </w:pPr>
            <w:r>
              <w:rPr>
                <w:rFonts w:ascii="Arial" w:cs="Arial" w:eastAsia="Arial" w:hAnsi="Arial"/>
                <w:sz w:val="18"/>
                <w:szCs w:val="18"/>
                <w:b w:val="1"/>
                <w:bCs w:val="1"/>
                <w:color w:val="auto"/>
                <w:w w:val="94"/>
              </w:rPr>
              <w:t>Uniti Group Inc.</w:t>
            </w: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60" w:type="dxa"/>
            <w:vAlign w:val="bottom"/>
            <w:gridSpan w:val="3"/>
          </w:tcPr>
          <w:p>
            <w:pPr>
              <w:jc w:val="center"/>
              <w:ind w:left="27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6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w w:val="99"/>
              </w:rPr>
              <w:t>(Unaudited)</w:t>
            </w: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60" w:type="dxa"/>
            <w:vAlign w:val="bottom"/>
            <w:gridSpan w:val="4"/>
          </w:tcPr>
          <w:p>
            <w:pPr>
              <w:spacing w:after="0"/>
              <w:rPr>
                <w:sz w:val="20"/>
                <w:szCs w:val="20"/>
                <w:color w:val="auto"/>
              </w:rPr>
            </w:pPr>
            <w:r>
              <w:rPr>
                <w:rFonts w:ascii="Arial" w:cs="Arial" w:eastAsia="Arial" w:hAnsi="Arial"/>
                <w:sz w:val="18"/>
                <w:szCs w:val="18"/>
                <w:color w:val="auto"/>
              </w:rPr>
              <w:t>(Thousands, except par value)</w:t>
            </w:r>
          </w:p>
        </w:tc>
        <w:tc>
          <w:tcPr>
            <w:tcW w:w="480" w:type="dxa"/>
            <w:vAlign w:val="bottom"/>
          </w:tcPr>
          <w:p>
            <w:pPr>
              <w:spacing w:after="0"/>
              <w:rPr>
                <w:sz w:val="20"/>
                <w:szCs w:val="20"/>
                <w:color w:val="auto"/>
              </w:rPr>
            </w:pPr>
          </w:p>
        </w:tc>
        <w:tc>
          <w:tcPr>
            <w:tcW w:w="18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w w:val="90"/>
              </w:rPr>
              <w:t>June 30, 2019</w:t>
            </w:r>
          </w:p>
        </w:tc>
        <w:tc>
          <w:tcPr>
            <w:tcW w:w="200" w:type="dxa"/>
            <w:vAlign w:val="bottom"/>
          </w:tcPr>
          <w:p>
            <w:pPr>
              <w:spacing w:after="0"/>
              <w:rPr>
                <w:sz w:val="20"/>
                <w:szCs w:val="20"/>
                <w:color w:val="auto"/>
              </w:rPr>
            </w:pPr>
          </w:p>
        </w:tc>
        <w:tc>
          <w:tcPr>
            <w:tcW w:w="2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December 31,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tcPr>
          <w:p>
            <w:pPr>
              <w:ind w:left="240"/>
              <w:spacing w:after="0"/>
              <w:rPr>
                <w:sz w:val="20"/>
                <w:szCs w:val="20"/>
                <w:color w:val="auto"/>
              </w:rPr>
            </w:pPr>
            <w:r>
              <w:rPr>
                <w:rFonts w:ascii="Arial" w:cs="Arial" w:eastAsia="Arial" w:hAnsi="Arial"/>
                <w:sz w:val="18"/>
                <w:szCs w:val="18"/>
                <w:color w:val="auto"/>
              </w:rPr>
              <w:t>Property, plant and equipment, net</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3,201,436</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3,209,006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4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299,394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tcPr>
          <w:p>
            <w:pPr>
              <w:ind w:left="240"/>
              <w:spacing w:after="0"/>
              <w:rPr>
                <w:sz w:val="20"/>
                <w:szCs w:val="20"/>
                <w:color w:val="auto"/>
              </w:rPr>
            </w:pPr>
            <w:r>
              <w:rPr>
                <w:rFonts w:ascii="Arial" w:cs="Arial" w:eastAsia="Arial" w:hAnsi="Arial"/>
                <w:sz w:val="18"/>
                <w:szCs w:val="18"/>
                <w:color w:val="auto"/>
              </w:rPr>
              <w:t>Accounts receivable, net</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77,303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104,063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Goodwill</w:t>
            </w:r>
          </w:p>
        </w:tc>
        <w:tc>
          <w:tcPr>
            <w:tcW w:w="4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692,833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692,385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tcPr>
          <w:p>
            <w:pPr>
              <w:ind w:left="240"/>
              <w:spacing w:after="0"/>
              <w:rPr>
                <w:sz w:val="20"/>
                <w:szCs w:val="20"/>
                <w:color w:val="auto"/>
              </w:rPr>
            </w:pPr>
            <w:r>
              <w:rPr>
                <w:rFonts w:ascii="Arial" w:cs="Arial" w:eastAsia="Arial" w:hAnsi="Arial"/>
                <w:sz w:val="18"/>
                <w:szCs w:val="18"/>
                <w:color w:val="auto"/>
              </w:rPr>
              <w:t>Intangible assets, net</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371,407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432,821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Straight-line revenue receivable</w:t>
            </w:r>
          </w:p>
        </w:tc>
        <w:tc>
          <w:tcPr>
            <w:tcW w:w="4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tcPr>
          <w:p>
            <w:pPr>
              <w:ind w:left="240"/>
              <w:spacing w:after="0"/>
              <w:rPr>
                <w:sz w:val="20"/>
                <w:szCs w:val="20"/>
                <w:color w:val="auto"/>
              </w:rPr>
            </w:pPr>
            <w:r>
              <w:rPr>
                <w:rFonts w:ascii="Arial" w:cs="Arial" w:eastAsia="Arial" w:hAnsi="Arial"/>
                <w:sz w:val="18"/>
                <w:szCs w:val="18"/>
                <w:color w:val="auto"/>
              </w:rPr>
              <w:t>Derivative asset</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31,043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Other assets, net</w:t>
            </w:r>
          </w:p>
        </w:tc>
        <w:tc>
          <w:tcPr>
            <w:tcW w:w="4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130,901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Assets held for sale, net</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16,692</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480" w:type="dxa"/>
            <w:vAlign w:val="bottom"/>
            <w:tcBorders>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4,790,357</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4,592,937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Shareholders' Deficit:</w:t>
            </w: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60" w:type="dxa"/>
            <w:vAlign w:val="bottom"/>
            <w:gridSpan w:val="4"/>
            <w:vMerge w:val="continue"/>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4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tcPr>
          <w:p>
            <w:pPr>
              <w:ind w:left="240"/>
              <w:spacing w:after="0"/>
              <w:rPr>
                <w:sz w:val="20"/>
                <w:szCs w:val="20"/>
                <w:color w:val="auto"/>
              </w:rPr>
            </w:pPr>
            <w:r>
              <w:rPr>
                <w:rFonts w:ascii="Arial" w:cs="Arial" w:eastAsia="Arial" w:hAnsi="Arial"/>
                <w:sz w:val="18"/>
                <w:szCs w:val="18"/>
                <w:color w:val="auto"/>
              </w:rPr>
              <w:t>Accounts payable, accrued expenses and other liabilities, net</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206,350</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94,179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Accrued interest payable</w:t>
            </w:r>
          </w:p>
        </w:tc>
        <w:tc>
          <w:tcPr>
            <w:tcW w:w="4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29,441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tcPr>
          <w:p>
            <w:pPr>
              <w:ind w:left="240"/>
              <w:spacing w:after="0"/>
              <w:rPr>
                <w:sz w:val="20"/>
                <w:szCs w:val="20"/>
                <w:color w:val="auto"/>
              </w:rPr>
            </w:pPr>
            <w:r>
              <w:rPr>
                <w:rFonts w:ascii="Arial" w:cs="Arial" w:eastAsia="Arial" w:hAnsi="Arial"/>
                <w:sz w:val="18"/>
                <w:szCs w:val="18"/>
                <w:color w:val="auto"/>
              </w:rPr>
              <w:t>Deferred revenue</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811,782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726,262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Derivative liability</w:t>
            </w:r>
          </w:p>
        </w:tc>
        <w:tc>
          <w:tcPr>
            <w:tcW w:w="4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19,117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tcPr>
          <w:p>
            <w:pPr>
              <w:ind w:left="240"/>
              <w:spacing w:after="0"/>
              <w:rPr>
                <w:sz w:val="20"/>
                <w:szCs w:val="20"/>
                <w:color w:val="auto"/>
              </w:rPr>
            </w:pPr>
            <w:r>
              <w:rPr>
                <w:rFonts w:ascii="Arial" w:cs="Arial" w:eastAsia="Arial" w:hAnsi="Arial"/>
                <w:sz w:val="18"/>
                <w:szCs w:val="18"/>
                <w:color w:val="auto"/>
              </w:rPr>
              <w:t>Dividends payable</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9,394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113,744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Deferred income taxes</w:t>
            </w:r>
          </w:p>
        </w:tc>
        <w:tc>
          <w:tcPr>
            <w:tcW w:w="4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tcPr>
          <w:p>
            <w:pPr>
              <w:ind w:left="240"/>
              <w:spacing w:after="0"/>
              <w:rPr>
                <w:sz w:val="20"/>
                <w:szCs w:val="20"/>
                <w:color w:val="auto"/>
              </w:rPr>
            </w:pPr>
            <w:r>
              <w:rPr>
                <w:rFonts w:ascii="Arial" w:cs="Arial" w:eastAsia="Arial" w:hAnsi="Arial"/>
                <w:sz w:val="18"/>
                <w:szCs w:val="18"/>
                <w:color w:val="auto"/>
              </w:rPr>
              <w:t>Finance lease obligations</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55,444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55,282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Contingent consideration</w:t>
            </w:r>
          </w:p>
        </w:tc>
        <w:tc>
          <w:tcPr>
            <w:tcW w:w="4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18,522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tcPr>
          <w:p>
            <w:pPr>
              <w:ind w:left="240"/>
              <w:spacing w:after="0"/>
              <w:rPr>
                <w:sz w:val="20"/>
                <w:szCs w:val="20"/>
                <w:color w:val="auto"/>
              </w:rPr>
            </w:pPr>
            <w:r>
              <w:rPr>
                <w:rFonts w:ascii="Arial" w:cs="Arial" w:eastAsia="Arial" w:hAnsi="Arial"/>
                <w:sz w:val="18"/>
                <w:szCs w:val="18"/>
                <w:color w:val="auto"/>
              </w:rPr>
              <w:t>Notes and other debt, net</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5,003,092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4,846,233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Liabilities held for sale</w:t>
            </w:r>
          </w:p>
        </w:tc>
        <w:tc>
          <w:tcPr>
            <w:tcW w:w="4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4,332</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CFF0FC"/>
            </w:tcBorders>
            <w:gridSpan w:val="3"/>
          </w:tcPr>
          <w:p>
            <w:pPr>
              <w:ind w:left="500"/>
              <w:spacing w:after="0"/>
              <w:rPr>
                <w:sz w:val="20"/>
                <w:szCs w:val="20"/>
                <w:color w:val="auto"/>
              </w:rPr>
            </w:pPr>
            <w:r>
              <w:rPr>
                <w:rFonts w:ascii="Arial" w:cs="Arial" w:eastAsia="Arial" w:hAnsi="Arial"/>
                <w:sz w:val="18"/>
                <w:szCs w:val="18"/>
                <w:color w:val="auto"/>
              </w:rPr>
              <w:t>Total liabilities</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6,192,146</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5,999,632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Commitments and contingencies (Note 14)</w:t>
            </w: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b w:val="1"/>
                <w:bCs w:val="1"/>
                <w:color w:val="auto"/>
                <w:w w:val="91"/>
              </w:rPr>
              <w:t>Convertible preferred stock</w:t>
            </w:r>
            <w:r>
              <w:rPr>
                <w:rFonts w:ascii="Arial" w:cs="Arial" w:eastAsia="Arial" w:hAnsi="Arial"/>
                <w:sz w:val="18"/>
                <w:szCs w:val="18"/>
                <w:color w:val="auto"/>
                <w:w w:val="91"/>
              </w:rPr>
              <w:t>, Series A, $0.0001 par value, 88 shares authorized, issued and</w:t>
            </w: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gridSpan w:val="4"/>
          </w:tcPr>
          <w:p>
            <w:pPr>
              <w:spacing w:after="0"/>
              <w:rPr>
                <w:sz w:val="20"/>
                <w:szCs w:val="20"/>
                <w:color w:val="auto"/>
              </w:rPr>
            </w:pPr>
            <w:r>
              <w:rPr>
                <w:rFonts w:ascii="Arial" w:cs="Arial" w:eastAsia="Arial" w:hAnsi="Arial"/>
                <w:sz w:val="18"/>
                <w:szCs w:val="18"/>
                <w:color w:val="auto"/>
              </w:rPr>
              <w:t>outstanding, $87,500 liquidation value</w:t>
            </w:r>
          </w:p>
        </w:tc>
        <w:tc>
          <w:tcPr>
            <w:tcW w:w="4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87,500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86,508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40" w:type="dxa"/>
            <w:vAlign w:val="bottom"/>
            <w:gridSpan w:val="3"/>
          </w:tcPr>
          <w:p>
            <w:pPr>
              <w:spacing w:after="0"/>
              <w:rPr>
                <w:sz w:val="20"/>
                <w:szCs w:val="20"/>
                <w:color w:val="auto"/>
              </w:rPr>
            </w:pPr>
            <w:r>
              <w:rPr>
                <w:rFonts w:ascii="Arial" w:cs="Arial" w:eastAsia="Arial" w:hAnsi="Arial"/>
                <w:sz w:val="18"/>
                <w:szCs w:val="18"/>
                <w:b w:val="1"/>
                <w:bCs w:val="1"/>
                <w:color w:val="auto"/>
              </w:rPr>
              <w:t>Shareholders' Deficit:</w:t>
            </w: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w w:val="98"/>
              </w:rPr>
              <w:t>Preferred stock, $0.0001 par value, 50,000 shares authorized, no shares issued and</w:t>
            </w:r>
          </w:p>
        </w:tc>
        <w:tc>
          <w:tcPr>
            <w:tcW w:w="4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outstanding</w:t>
            </w:r>
          </w:p>
        </w:tc>
        <w:tc>
          <w:tcPr>
            <w:tcW w:w="48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gridSpan w:val="3"/>
          </w:tcPr>
          <w:p>
            <w:pPr>
              <w:ind w:left="240"/>
              <w:spacing w:after="0"/>
              <w:rPr>
                <w:sz w:val="20"/>
                <w:szCs w:val="20"/>
                <w:color w:val="auto"/>
              </w:rPr>
            </w:pPr>
            <w:r>
              <w:rPr>
                <w:rFonts w:ascii="Arial" w:cs="Arial" w:eastAsia="Arial" w:hAnsi="Arial"/>
                <w:sz w:val="18"/>
                <w:szCs w:val="18"/>
                <w:color w:val="auto"/>
                <w:w w:val="94"/>
              </w:rPr>
              <w:t>Common stock, $0.0001 par value, 500,000 shares authorized, issued and outstanding:</w:t>
            </w: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gridSpan w:val="3"/>
          </w:tcPr>
          <w:p>
            <w:pPr>
              <w:ind w:left="240"/>
              <w:spacing w:after="0"/>
              <w:rPr>
                <w:sz w:val="20"/>
                <w:szCs w:val="20"/>
                <w:color w:val="auto"/>
              </w:rPr>
            </w:pPr>
            <w:r>
              <w:rPr>
                <w:rFonts w:ascii="Arial" w:cs="Arial" w:eastAsia="Arial" w:hAnsi="Arial"/>
                <w:sz w:val="18"/>
                <w:szCs w:val="18"/>
                <w:color w:val="auto"/>
              </w:rPr>
              <w:t>183,123 shares at June 30, 2019 and 180,536 at December 31, 2018</w:t>
            </w:r>
          </w:p>
        </w:tc>
        <w:tc>
          <w:tcPr>
            <w:tcW w:w="4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Additional paid-in capital</w:t>
            </w:r>
          </w:p>
        </w:tc>
        <w:tc>
          <w:tcPr>
            <w:tcW w:w="4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855,425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757,517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tcPr>
          <w:p>
            <w:pPr>
              <w:ind w:left="240"/>
              <w:spacing w:after="0"/>
              <w:rPr>
                <w:sz w:val="20"/>
                <w:szCs w:val="20"/>
                <w:color w:val="auto"/>
              </w:rPr>
            </w:pPr>
            <w:r>
              <w:rPr>
                <w:rFonts w:ascii="Arial" w:cs="Arial" w:eastAsia="Arial" w:hAnsi="Arial"/>
                <w:sz w:val="18"/>
                <w:szCs w:val="18"/>
                <w:color w:val="auto"/>
              </w:rPr>
              <w:t>Accumulated other comprehensive (loss) income</w:t>
            </w:r>
          </w:p>
        </w:tc>
        <w:tc>
          <w:tcPr>
            <w:tcW w:w="480" w:type="dxa"/>
            <w:vAlign w:val="bottom"/>
          </w:tcPr>
          <w:p>
            <w:pPr>
              <w:spacing w:after="0"/>
              <w:rPr>
                <w:sz w:val="19"/>
                <w:szCs w:val="19"/>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(18,960)</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30,105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Distributions in excess of accumulated earnings</w:t>
            </w:r>
          </w:p>
        </w:tc>
        <w:tc>
          <w:tcPr>
            <w:tcW w:w="4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(2,413,326)</w:t>
            </w:r>
          </w:p>
        </w:tc>
        <w:tc>
          <w:tcPr>
            <w:tcW w:w="20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(2,373,218)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gridSpan w:val="3"/>
          </w:tcPr>
          <w:p>
            <w:pPr>
              <w:ind w:left="240"/>
              <w:spacing w:after="0"/>
              <w:rPr>
                <w:sz w:val="20"/>
                <w:szCs w:val="20"/>
                <w:color w:val="auto"/>
              </w:rPr>
            </w:pPr>
            <w:r>
              <w:rPr>
                <w:rFonts w:ascii="Arial" w:cs="Arial" w:eastAsia="Arial" w:hAnsi="Arial"/>
                <w:sz w:val="18"/>
                <w:szCs w:val="18"/>
                <w:color w:val="auto"/>
              </w:rPr>
              <w:t>Total Uniti shareholders' deficit</w:t>
            </w:r>
          </w:p>
        </w:tc>
        <w:tc>
          <w:tcPr>
            <w:tcW w:w="48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(1,576,843)</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(1,585,578)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Noncontrolling interests - operating partnership units</w:t>
            </w:r>
          </w:p>
        </w:tc>
        <w:tc>
          <w:tcPr>
            <w:tcW w:w="4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87,554</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CFF0FC"/>
            </w:tcBorders>
            <w:gridSpan w:val="3"/>
          </w:tcPr>
          <w:p>
            <w:pPr>
              <w:ind w:left="500"/>
              <w:spacing w:after="0"/>
              <w:rPr>
                <w:sz w:val="20"/>
                <w:szCs w:val="20"/>
                <w:color w:val="auto"/>
              </w:rPr>
            </w:pPr>
            <w:r>
              <w:rPr>
                <w:rFonts w:ascii="Arial" w:cs="Arial" w:eastAsia="Arial" w:hAnsi="Arial"/>
                <w:sz w:val="18"/>
                <w:szCs w:val="18"/>
                <w:color w:val="auto"/>
              </w:rPr>
              <w:t>Total shareholders' deficit</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(1,489,289)</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(1,493,203)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 Convertible Preferred Stock, and Shareholders' Deficit</w:t>
            </w:r>
          </w:p>
        </w:tc>
        <w:tc>
          <w:tcPr>
            <w:tcW w:w="480" w:type="dxa"/>
            <w:vAlign w:val="bottom"/>
            <w:tcBorders>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4,790,357</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4,592,937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37"/>
        </w:trPr>
        <w:tc>
          <w:tcPr>
            <w:tcW w:w="5000" w:type="dxa"/>
            <w:vAlign w:val="bottom"/>
            <w:gridSpan w:val="3"/>
          </w:tcPr>
          <w:p>
            <w:pPr>
              <w:spacing w:after="0"/>
              <w:rPr>
                <w:sz w:val="20"/>
                <w:szCs w:val="20"/>
                <w:color w:val="auto"/>
              </w:rPr>
            </w:pPr>
            <w:r>
              <w:rPr>
                <w:rFonts w:ascii="Arial" w:cs="Arial" w:eastAsia="Arial" w:hAnsi="Arial"/>
                <w:sz w:val="14"/>
                <w:szCs w:val="14"/>
                <w:color w:val="auto"/>
              </w:rPr>
              <w:t>(Thousands, except per share data)</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Leasing</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177,042</w:t>
            </w:r>
          </w:p>
        </w:tc>
        <w:tc>
          <w:tcPr>
            <w:tcW w:w="24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173,885</w:t>
            </w:r>
          </w:p>
        </w:tc>
        <w:tc>
          <w:tcPr>
            <w:tcW w:w="140" w:type="dxa"/>
            <w:vAlign w:val="bottom"/>
          </w:tcPr>
          <w:p>
            <w:pPr>
              <w:spacing w:after="0"/>
              <w:rPr>
                <w:sz w:val="19"/>
                <w:szCs w:val="19"/>
                <w:color w:val="auto"/>
              </w:rPr>
            </w:pP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353,125</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346,659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Fiber Infrastructure</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81,327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67,389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158,160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Tower</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3,146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8,226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 CLEC</w:t>
            </w: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2,899</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5,934</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2"/>
          </w:tcPr>
          <w:p>
            <w:pPr>
              <w:ind w:left="480"/>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264,414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247,329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525,445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494,244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97,729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79,385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182,187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102,578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114,842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206,405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26,428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20,681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50,654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93"/>
              </w:rPr>
              <w:t>Operating expense (exclusive of depreciation and amortization)</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40,163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31,522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78,581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Transaction related costs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7,035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13,704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Gain on sale of real estate (Note 5)</w:t>
            </w: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(28,790)</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(28,790)</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(28,119)</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3,349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(31,232)</w:t>
            </w:r>
          </w:p>
        </w:tc>
        <w:tc>
          <w:tcPr>
            <w:tcW w:w="3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top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217,024</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253,568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471,509</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500,348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47,390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(6,239)</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53,936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Income tax expense (benefit)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7,843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(2,646)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11,897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(3,742)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39,547</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42,039</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Net income (loss) attributable to shareholders</w:t>
            </w: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38,717</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41,159</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Participating securities' share in earnings</w:t>
            </w: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(223)</w:t>
            </w:r>
          </w:p>
        </w:tc>
        <w:tc>
          <w:tcPr>
            <w:tcW w:w="32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(251)</w:t>
            </w:r>
          </w:p>
        </w:tc>
        <w:tc>
          <w:tcPr>
            <w:tcW w:w="3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Dividends declared on convertible preferred stock</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(656)</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Amortization of discount on convertible preferred stock</w:t>
            </w: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(248)</w:t>
            </w:r>
          </w:p>
        </w:tc>
        <w:tc>
          <w:tcPr>
            <w:tcW w:w="32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(993)</w:t>
            </w:r>
          </w:p>
        </w:tc>
        <w:tc>
          <w:tcPr>
            <w:tcW w:w="3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38,246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39,259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Earnings (loss) per common share:</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0.21</w:t>
            </w:r>
          </w:p>
        </w:tc>
        <w:tc>
          <w:tcPr>
            <w:tcW w:w="240" w:type="dxa"/>
            <w:vAlign w:val="bottom"/>
          </w:tcPr>
          <w:p>
            <w:pPr>
              <w:spacing w:after="0"/>
              <w:rPr>
                <w:sz w:val="23"/>
                <w:szCs w:val="23"/>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0.22</w:t>
            </w:r>
          </w:p>
        </w:tc>
        <w:tc>
          <w:tcPr>
            <w:tcW w:w="24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w w:val="98"/>
              </w:rPr>
              <w:t>Weighted-average number of common shares outstanding:</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8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182,971</w:t>
            </w:r>
          </w:p>
        </w:tc>
        <w:tc>
          <w:tcPr>
            <w:tcW w:w="24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175,011</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182,597</w:t>
            </w:r>
          </w:p>
        </w:tc>
        <w:tc>
          <w:tcPr>
            <w:tcW w:w="24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174,951</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193,105</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175,011</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192,276</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174,951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49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r>
      <w:tr>
        <w:trPr>
          <w:trHeight w:val="223"/>
        </w:trPr>
        <w:tc>
          <w:tcPr>
            <w:tcW w:w="4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39,547</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42,039</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Other comprehensive (loss) income: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9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Unrealized (loss) gain on derivative contracts</w:t>
            </w: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(28,363)</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(50,049)</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49,873</w:t>
            </w:r>
          </w:p>
        </w:tc>
        <w:tc>
          <w:tcPr>
            <w:tcW w:w="120" w:type="dxa"/>
            <w:vAlign w:val="bottom"/>
            <w:shd w:val="clear" w:color="auto" w:fill="CFF0FC"/>
          </w:tcPr>
          <w:p>
            <w:pPr>
              <w:spacing w:after="0"/>
              <w:rPr>
                <w:sz w:val="19"/>
                <w:szCs w:val="19"/>
                <w:color w:val="auto"/>
              </w:rPr>
            </w:pPr>
          </w:p>
        </w:tc>
      </w:tr>
      <w:tr>
        <w:trPr>
          <w:trHeight w:val="230"/>
        </w:trPr>
        <w:tc>
          <w:tcPr>
            <w:tcW w:w="4920" w:type="dxa"/>
            <w:vAlign w:val="bottom"/>
            <w:gridSpan w:val="2"/>
          </w:tcPr>
          <w:p>
            <w:pPr>
              <w:ind w:left="260"/>
              <w:spacing w:after="0"/>
              <w:rPr>
                <w:sz w:val="20"/>
                <w:szCs w:val="20"/>
                <w:color w:val="auto"/>
              </w:rPr>
            </w:pPr>
            <w:r>
              <w:rPr>
                <w:rFonts w:ascii="Arial" w:cs="Arial" w:eastAsia="Arial" w:hAnsi="Arial"/>
                <w:sz w:val="18"/>
                <w:szCs w:val="18"/>
                <w:color w:val="auto"/>
              </w:rPr>
              <w:t>Changes in foreign currency translation</w:t>
            </w:r>
          </w:p>
        </w:tc>
        <w:tc>
          <w:tcPr>
            <w:tcW w:w="3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(843)</w:t>
            </w:r>
          </w:p>
        </w:tc>
        <w:tc>
          <w:tcPr>
            <w:tcW w:w="32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(4,879)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(314)</w:t>
            </w:r>
          </w:p>
        </w:tc>
      </w:tr>
      <w:tr>
        <w:trPr>
          <w:trHeight w:val="223"/>
        </w:trPr>
        <w:tc>
          <w:tcPr>
            <w:tcW w:w="49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Other comprehensive (loss) income:</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(29,206)</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(50,112)</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49,559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10,341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6,133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(8,073)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47,197</w:t>
            </w:r>
          </w:p>
        </w:tc>
        <w:tc>
          <w:tcPr>
            <w:tcW w:w="120" w:type="dxa"/>
            <w:vAlign w:val="bottom"/>
          </w:tcPr>
          <w:p>
            <w:pPr>
              <w:spacing w:after="0"/>
              <w:rPr>
                <w:sz w:val="19"/>
                <w:szCs w:val="19"/>
                <w:color w:val="auto"/>
              </w:rPr>
            </w:pPr>
          </w:p>
        </w:tc>
      </w:tr>
      <w:tr>
        <w:trPr>
          <w:trHeight w:val="215"/>
        </w:trPr>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Comprehensive income (loss) attributable to noncontrolling</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w:t>
            </w: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(167)</w:t>
            </w: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w:t>
            </w:r>
          </w:p>
        </w:tc>
        <w:tc>
          <w:tcPr>
            <w:tcW w:w="120" w:type="dxa"/>
            <w:vAlign w:val="bottom"/>
            <w:shd w:val="clear" w:color="auto" w:fill="CFF0FC"/>
          </w:tcPr>
          <w:p>
            <w:pPr>
              <w:spacing w:after="0"/>
              <w:rPr>
                <w:sz w:val="20"/>
                <w:szCs w:val="20"/>
                <w:color w:val="auto"/>
              </w:rPr>
            </w:pPr>
          </w:p>
        </w:tc>
      </w:tr>
      <w:tr>
        <w:trPr>
          <w:trHeight w:val="205"/>
        </w:trPr>
        <w:tc>
          <w:tcPr>
            <w:tcW w:w="492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Comprehensive income (loss) attributable to common</w:t>
            </w: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shareholders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10,096</w:t>
            </w:r>
          </w:p>
        </w:tc>
        <w:tc>
          <w:tcPr>
            <w:tcW w:w="260" w:type="dxa"/>
            <w:vAlign w:val="bottom"/>
          </w:tcPr>
          <w:p>
            <w:pPr>
              <w:spacing w:after="0"/>
              <w:rPr>
                <w:sz w:val="20"/>
                <w:szCs w:val="20"/>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5,999</w:t>
            </w:r>
          </w:p>
        </w:tc>
        <w:tc>
          <w:tcPr>
            <w:tcW w:w="140" w:type="dxa"/>
            <w:vAlign w:val="bottom"/>
          </w:tcPr>
          <w:p>
            <w:pPr>
              <w:spacing w:after="0"/>
              <w:rPr>
                <w:sz w:val="20"/>
                <w:szCs w:val="20"/>
                <w:color w:val="auto"/>
              </w:rPr>
            </w:pP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(7,906)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46,123</w:t>
            </w:r>
          </w:p>
        </w:tc>
        <w:tc>
          <w:tcPr>
            <w:tcW w:w="120" w:type="dxa"/>
            <w:vAlign w:val="bottom"/>
          </w:tcPr>
          <w:p>
            <w:pPr>
              <w:spacing w:after="0"/>
              <w:rPr>
                <w:sz w:val="20"/>
                <w:szCs w:val="20"/>
                <w:color w:val="auto"/>
              </w:rPr>
            </w:pPr>
          </w:p>
        </w:tc>
      </w:tr>
      <w:tr>
        <w:trPr>
          <w:trHeight w:val="20"/>
        </w:trPr>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11"/>
          </w:tcPr>
          <w:p>
            <w:pPr>
              <w:jc w:val="right"/>
              <w:ind w:right="980"/>
              <w:spacing w:after="0"/>
              <w:rPr>
                <w:sz w:val="20"/>
                <w:szCs w:val="20"/>
                <w:color w:val="auto"/>
              </w:rPr>
            </w:pPr>
            <w:r>
              <w:rPr>
                <w:rFonts w:ascii="Arial" w:cs="Arial" w:eastAsia="Arial" w:hAnsi="Arial"/>
                <w:sz w:val="16"/>
                <w:szCs w:val="16"/>
                <w:b w:val="1"/>
                <w:bCs w:val="1"/>
                <w:color w:val="auto"/>
                <w:w w:val="94"/>
              </w:rPr>
              <w:t>For the three months ended June 30,</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6"/>
                <w:szCs w:val="16"/>
                <w:color w:val="auto"/>
                <w:w w:val="92"/>
              </w:rPr>
              <w:t>Accumulated</w:t>
            </w: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color w:val="auto"/>
                <w:w w:val="97"/>
              </w:rPr>
              <w:t>Distributions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Arial" w:cs="Arial" w:eastAsia="Arial" w:hAnsi="Arial"/>
                <w:sz w:val="16"/>
                <w:szCs w:val="16"/>
                <w:color w:val="auto"/>
              </w:rPr>
              <w:t>Additional</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color w:val="auto"/>
                <w:w w:val="89"/>
              </w:rPr>
              <w:t>Other</w:t>
            </w: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in Excess of</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6"/>
                <w:szCs w:val="16"/>
                <w:color w:val="auto"/>
              </w:rPr>
              <w:t>Total</w:t>
            </w:r>
          </w:p>
        </w:tc>
      </w:tr>
      <w:tr>
        <w:trPr>
          <w:trHeight w:val="203"/>
        </w:trPr>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w w:val="96"/>
              </w:rPr>
              <w:t>Paid-in</w:t>
            </w:r>
          </w:p>
        </w:tc>
        <w:tc>
          <w:tcPr>
            <w:tcW w:w="1300" w:type="dxa"/>
            <w:vAlign w:val="bottom"/>
            <w:gridSpan w:val="4"/>
          </w:tcPr>
          <w:p>
            <w:pPr>
              <w:ind w:left="80"/>
              <w:spacing w:after="0"/>
              <w:rPr>
                <w:sz w:val="20"/>
                <w:szCs w:val="20"/>
                <w:color w:val="auto"/>
              </w:rPr>
            </w:pPr>
            <w:r>
              <w:rPr>
                <w:rFonts w:ascii="Arial" w:cs="Arial" w:eastAsia="Arial" w:hAnsi="Arial"/>
                <w:sz w:val="16"/>
                <w:szCs w:val="16"/>
                <w:color w:val="auto"/>
              </w:rPr>
              <w:t>Comprehensive</w:t>
            </w: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Accumulated</w:t>
            </w:r>
          </w:p>
        </w:tc>
        <w:tc>
          <w:tcPr>
            <w:tcW w:w="1200" w:type="dxa"/>
            <w:vAlign w:val="bottom"/>
            <w:gridSpan w:val="3"/>
          </w:tcPr>
          <w:p>
            <w:pPr>
              <w:spacing w:after="0"/>
              <w:rPr>
                <w:sz w:val="20"/>
                <w:szCs w:val="20"/>
                <w:color w:val="auto"/>
              </w:rPr>
            </w:pPr>
            <w:r>
              <w:rPr>
                <w:rFonts w:ascii="Arial" w:cs="Arial" w:eastAsia="Arial" w:hAnsi="Arial"/>
                <w:sz w:val="16"/>
                <w:szCs w:val="16"/>
                <w:color w:val="auto"/>
              </w:rPr>
              <w:t>Noncontrolling</w:t>
            </w:r>
          </w:p>
        </w:tc>
        <w:tc>
          <w:tcPr>
            <w:tcW w:w="980" w:type="dxa"/>
            <w:vAlign w:val="bottom"/>
            <w:gridSpan w:val="3"/>
          </w:tcPr>
          <w:p>
            <w:pPr>
              <w:spacing w:after="0"/>
              <w:rPr>
                <w:sz w:val="20"/>
                <w:szCs w:val="20"/>
                <w:color w:val="auto"/>
              </w:rPr>
            </w:pPr>
            <w:r>
              <w:rPr>
                <w:rFonts w:ascii="Arial" w:cs="Arial" w:eastAsia="Arial" w:hAnsi="Arial"/>
                <w:sz w:val="16"/>
                <w:szCs w:val="16"/>
                <w:color w:val="auto"/>
                <w:w w:val="97"/>
              </w:rPr>
              <w:t>Shareholders'</w:t>
            </w:r>
          </w:p>
        </w:tc>
      </w:tr>
      <w:tr>
        <w:trPr>
          <w:trHeight w:val="212"/>
        </w:trPr>
        <w:tc>
          <w:tcPr>
            <w:tcW w:w="2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 except share data)</w:t>
            </w:r>
          </w:p>
        </w:tc>
        <w:tc>
          <w:tcPr>
            <w:tcW w:w="140" w:type="dxa"/>
            <w:vAlign w:val="bottom"/>
          </w:tcPr>
          <w:p>
            <w:pPr>
              <w:spacing w:after="0"/>
              <w:rPr>
                <w:sz w:val="18"/>
                <w:szCs w:val="18"/>
                <w:color w:val="auto"/>
              </w:rPr>
            </w:pPr>
          </w:p>
        </w:tc>
        <w:tc>
          <w:tcPr>
            <w:tcW w:w="116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color w:val="auto"/>
                <w:w w:val="93"/>
              </w:rPr>
              <w:t>Preferred Stock</w:t>
            </w:r>
          </w:p>
        </w:tc>
        <w:tc>
          <w:tcPr>
            <w:tcW w:w="1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color w:val="auto"/>
                <w:w w:val="96"/>
              </w:rPr>
              <w:t>Common Stock</w:t>
            </w:r>
          </w:p>
        </w:tc>
        <w:tc>
          <w:tcPr>
            <w:tcW w:w="2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6"/>
              </w:rPr>
              <w:t>Capital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1"/>
              </w:rPr>
              <w:t>Income</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Earnings</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Interest</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Deficit</w:t>
            </w:r>
          </w:p>
        </w:tc>
        <w:tc>
          <w:tcPr>
            <w:tcW w:w="100" w:type="dxa"/>
            <w:vAlign w:val="bottom"/>
          </w:tcPr>
          <w:p>
            <w:pPr>
              <w:spacing w:after="0"/>
              <w:rPr>
                <w:sz w:val="18"/>
                <w:szCs w:val="18"/>
                <w:color w:val="auto"/>
              </w:rPr>
            </w:pPr>
          </w:p>
        </w:tc>
      </w:tr>
      <w:tr>
        <w:trPr>
          <w:trHeight w:val="183"/>
        </w:trPr>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spacing w:after="0" w:line="183" w:lineRule="exact"/>
              <w:rPr>
                <w:sz w:val="20"/>
                <w:szCs w:val="20"/>
                <w:color w:val="auto"/>
              </w:rPr>
            </w:pPr>
            <w:r>
              <w:rPr>
                <w:rFonts w:ascii="Arial" w:cs="Arial" w:eastAsia="Arial" w:hAnsi="Arial"/>
                <w:sz w:val="16"/>
                <w:szCs w:val="16"/>
                <w:color w:val="auto"/>
              </w:rPr>
              <w:t>Shares</w:t>
            </w:r>
          </w:p>
        </w:tc>
        <w:tc>
          <w:tcPr>
            <w:tcW w:w="740" w:type="dxa"/>
            <w:vAlign w:val="bottom"/>
            <w:gridSpan w:val="3"/>
          </w:tcPr>
          <w:p>
            <w:pPr>
              <w:spacing w:after="0" w:line="183" w:lineRule="exact"/>
              <w:rPr>
                <w:sz w:val="20"/>
                <w:szCs w:val="20"/>
                <w:color w:val="auto"/>
              </w:rPr>
            </w:pPr>
            <w:r>
              <w:rPr>
                <w:rFonts w:ascii="Arial" w:cs="Arial" w:eastAsia="Arial" w:hAnsi="Arial"/>
                <w:sz w:val="16"/>
                <w:szCs w:val="16"/>
                <w:color w:val="auto"/>
              </w:rPr>
              <w:t>Amount</w:t>
            </w:r>
          </w:p>
        </w:tc>
        <w:tc>
          <w:tcPr>
            <w:tcW w:w="240" w:type="dxa"/>
            <w:vAlign w:val="bottom"/>
          </w:tcPr>
          <w:p>
            <w:pPr>
              <w:spacing w:after="0"/>
              <w:rPr>
                <w:sz w:val="15"/>
                <w:szCs w:val="15"/>
                <w:color w:val="auto"/>
              </w:rPr>
            </w:pPr>
          </w:p>
        </w:tc>
        <w:tc>
          <w:tcPr>
            <w:tcW w:w="68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w w:val="82"/>
              </w:rPr>
              <w:t>Shares</w:t>
            </w:r>
          </w:p>
        </w:tc>
        <w:tc>
          <w:tcPr>
            <w:tcW w:w="200" w:type="dxa"/>
            <w:vAlign w:val="bottom"/>
          </w:tcPr>
          <w:p>
            <w:pPr>
              <w:spacing w:after="0"/>
              <w:rPr>
                <w:sz w:val="15"/>
                <w:szCs w:val="15"/>
                <w:color w:val="auto"/>
              </w:rPr>
            </w:pPr>
          </w:p>
        </w:tc>
        <w:tc>
          <w:tcPr>
            <w:tcW w:w="760" w:type="dxa"/>
            <w:vAlign w:val="bottom"/>
            <w:gridSpan w:val="3"/>
          </w:tcPr>
          <w:p>
            <w:pPr>
              <w:spacing w:after="0" w:line="183" w:lineRule="exact"/>
              <w:rPr>
                <w:sz w:val="20"/>
                <w:szCs w:val="20"/>
                <w:color w:val="auto"/>
              </w:rPr>
            </w:pPr>
            <w:r>
              <w:rPr>
                <w:rFonts w:ascii="Arial" w:cs="Arial" w:eastAsia="Arial" w:hAnsi="Arial"/>
                <w:sz w:val="16"/>
                <w:szCs w:val="16"/>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Balance at March 31, 2018</w:t>
            </w:r>
          </w:p>
        </w:tc>
        <w:tc>
          <w:tcPr>
            <w:tcW w:w="6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174,969,646</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645,403</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46,735</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w w:val="94"/>
              </w:rPr>
              <w:t>$ (2,063,640)</w:t>
            </w: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99,868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5"/>
              </w:rPr>
              <w:t>(1,271,617)</w:t>
            </w:r>
          </w:p>
        </w:tc>
      </w:tr>
      <w:tr>
        <w:trPr>
          <w:trHeight w:val="227"/>
        </w:trPr>
        <w:tc>
          <w:tcPr>
            <w:tcW w:w="2580" w:type="dxa"/>
            <w:vAlign w:val="bottom"/>
          </w:tcPr>
          <w:p>
            <w:pPr>
              <w:spacing w:after="0"/>
              <w:rPr>
                <w:sz w:val="20"/>
                <w:szCs w:val="20"/>
                <w:color w:val="auto"/>
              </w:rPr>
            </w:pPr>
            <w:r>
              <w:rPr>
                <w:rFonts w:ascii="Arial" w:cs="Arial" w:eastAsia="Arial" w:hAnsi="Arial"/>
                <w:sz w:val="16"/>
                <w:szCs w:val="16"/>
                <w:color w:val="auto"/>
              </w:rPr>
              <w:t>Net loss</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(3,503)</w:t>
            </w: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(3,593)</w:t>
            </w:r>
          </w:p>
        </w:tc>
      </w:tr>
      <w:tr>
        <w:trPr>
          <w:trHeight w:val="209"/>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 discount of</w:t>
            </w:r>
          </w:p>
        </w:tc>
        <w:tc>
          <w:tcPr>
            <w:tcW w:w="140" w:type="dxa"/>
            <w:vAlign w:val="bottom"/>
            <w:tcBorders>
              <w:right w:val="single" w:sz="8" w:color="CFF0FC"/>
            </w:tcBorders>
            <w:shd w:val="clear" w:color="auto" w:fill="CFF0FC"/>
          </w:tcPr>
          <w:p>
            <w:pPr>
              <w:spacing w:after="0"/>
              <w:rPr>
                <w:sz w:val="18"/>
                <w:szCs w:val="18"/>
                <w:color w:val="auto"/>
              </w:rPr>
            </w:pPr>
          </w:p>
        </w:tc>
        <w:tc>
          <w:tcPr>
            <w:tcW w:w="5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convertible preferred stock</w:t>
            </w:r>
          </w:p>
        </w:tc>
        <w:tc>
          <w:tcPr>
            <w:tcW w:w="6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(745)</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(745)</w:t>
            </w:r>
          </w:p>
        </w:tc>
      </w:tr>
      <w:tr>
        <w:trPr>
          <w:trHeight w:val="227"/>
        </w:trPr>
        <w:tc>
          <w:tcPr>
            <w:tcW w:w="258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9,502</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9,726</w:t>
            </w:r>
          </w:p>
        </w:tc>
        <w:tc>
          <w:tcPr>
            <w:tcW w:w="100" w:type="dxa"/>
            <w:vAlign w:val="bottom"/>
          </w:tcPr>
          <w:p>
            <w:pPr>
              <w:spacing w:after="0"/>
              <w:rPr>
                <w:sz w:val="19"/>
                <w:szCs w:val="19"/>
                <w:color w:val="auto"/>
              </w:rPr>
            </w:pPr>
          </w:p>
        </w:tc>
      </w:tr>
      <w:tr>
        <w:trPr>
          <w:trHeight w:val="233"/>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Common stock dividends declared</w:t>
            </w:r>
          </w:p>
        </w:tc>
        <w:tc>
          <w:tcPr>
            <w:tcW w:w="6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(106,417)</w:t>
            </w: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(106,417)</w:t>
            </w:r>
          </w:p>
        </w:tc>
      </w:tr>
      <w:tr>
        <w:trPr>
          <w:trHeight w:val="227"/>
        </w:trPr>
        <w:tc>
          <w:tcPr>
            <w:tcW w:w="2580" w:type="dxa"/>
            <w:vAlign w:val="bottom"/>
          </w:tcPr>
          <w:p>
            <w:pPr>
              <w:spacing w:after="0"/>
              <w:rPr>
                <w:sz w:val="20"/>
                <w:szCs w:val="20"/>
                <w:color w:val="auto"/>
              </w:rPr>
            </w:pPr>
            <w:r>
              <w:rPr>
                <w:rFonts w:ascii="Arial" w:cs="Arial" w:eastAsia="Arial" w:hAnsi="Arial"/>
                <w:sz w:val="16"/>
                <w:szCs w:val="16"/>
                <w:color w:val="auto"/>
                <w:w w:val="96"/>
              </w:rPr>
              <w:t>Convertible preferred stock dividends</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(656)</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(656)</w:t>
            </w:r>
          </w:p>
        </w:tc>
      </w:tr>
      <w:tr>
        <w:trPr>
          <w:trHeight w:val="233"/>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w w:val="95"/>
              </w:rPr>
              <w:t>Distributions to noncontrolling interest</w:t>
            </w:r>
          </w:p>
        </w:tc>
        <w:tc>
          <w:tcPr>
            <w:tcW w:w="6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(2,479)</w:t>
            </w: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(2,479)</w:t>
            </w:r>
          </w:p>
        </w:tc>
      </w:tr>
      <w:tr>
        <w:trPr>
          <w:trHeight w:val="227"/>
        </w:trPr>
        <w:tc>
          <w:tcPr>
            <w:tcW w:w="2580" w:type="dxa"/>
            <w:vAlign w:val="bottom"/>
          </w:tcPr>
          <w:p>
            <w:pPr>
              <w:spacing w:after="0"/>
              <w:rPr>
                <w:sz w:val="20"/>
                <w:szCs w:val="20"/>
                <w:color w:val="auto"/>
              </w:rPr>
            </w:pPr>
            <w:r>
              <w:rPr>
                <w:rFonts w:ascii="Arial" w:cs="Arial" w:eastAsia="Arial" w:hAnsi="Arial"/>
                <w:sz w:val="16"/>
                <w:szCs w:val="16"/>
                <w:color w:val="auto"/>
              </w:rPr>
              <w:t>Net share settlement</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(916)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(916)</w:t>
            </w:r>
          </w:p>
        </w:tc>
      </w:tr>
      <w:tr>
        <w:trPr>
          <w:trHeight w:val="227"/>
        </w:trPr>
        <w:tc>
          <w:tcPr>
            <w:tcW w:w="2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40" w:type="dxa"/>
            <w:vAlign w:val="bottom"/>
            <w:tcBorders>
              <w:bottom w:val="single" w:sz="8" w:color="CFF0FC"/>
              <w:right w:val="single" w:sz="8" w:color="CFF0FC"/>
            </w:tcBorders>
            <w:shd w:val="clear" w:color="auto" w:fill="CFF0FC"/>
          </w:tcPr>
          <w:p>
            <w:pPr>
              <w:spacing w:after="0"/>
              <w:rPr>
                <w:sz w:val="19"/>
                <w:szCs w:val="19"/>
                <w:color w:val="auto"/>
              </w:rPr>
            </w:pPr>
          </w:p>
        </w:tc>
        <w:tc>
          <w:tcPr>
            <w:tcW w:w="5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59,189</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1,885</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1,885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3"/>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Balance at June 30, 2018</w:t>
            </w:r>
          </w:p>
        </w:tc>
        <w:tc>
          <w:tcPr>
            <w:tcW w:w="6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175,028,835</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645,627</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56,237</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w w:val="94"/>
              </w:rPr>
              <w:t>$ (2,174,216)</w:t>
            </w: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97,523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5"/>
              </w:rPr>
              <w:t>(1,374,812)</w:t>
            </w:r>
          </w:p>
        </w:tc>
      </w:tr>
      <w:tr>
        <w:trPr>
          <w:trHeight w:val="20"/>
        </w:trPr>
        <w:tc>
          <w:tcPr>
            <w:tcW w:w="25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00"/>
        </w:trPr>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Balance at March 31, 2019</w:t>
            </w:r>
          </w:p>
        </w:tc>
        <w:tc>
          <w:tcPr>
            <w:tcW w:w="6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182,670,494</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790,347</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9,661</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w w:val="94"/>
              </w:rPr>
              <w:t>$ (2,442,564)</w:t>
            </w: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91,756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5"/>
              </w:rPr>
              <w:t>(1,550,782)</w:t>
            </w:r>
          </w:p>
        </w:tc>
      </w:tr>
      <w:tr>
        <w:trPr>
          <w:trHeight w:val="206"/>
        </w:trPr>
        <w:tc>
          <w:tcPr>
            <w:tcW w:w="2580" w:type="dxa"/>
            <w:vAlign w:val="bottom"/>
          </w:tcPr>
          <w:p>
            <w:pPr>
              <w:spacing w:after="0"/>
              <w:rPr>
                <w:sz w:val="20"/>
                <w:szCs w:val="20"/>
                <w:color w:val="auto"/>
              </w:rPr>
            </w:pPr>
            <w:r>
              <w:rPr>
                <w:rFonts w:ascii="Arial" w:cs="Arial" w:eastAsia="Arial" w:hAnsi="Arial"/>
                <w:sz w:val="16"/>
                <w:szCs w:val="16"/>
                <w:color w:val="auto"/>
              </w:rPr>
              <w:t>Impact of change in accounting</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580" w:type="dxa"/>
            <w:vAlign w:val="bottom"/>
          </w:tcPr>
          <w:p>
            <w:pPr>
              <w:spacing w:after="0"/>
              <w:rPr>
                <w:sz w:val="20"/>
                <w:szCs w:val="20"/>
                <w:color w:val="auto"/>
              </w:rPr>
            </w:pPr>
            <w:r>
              <w:rPr>
                <w:rFonts w:ascii="Arial" w:cs="Arial" w:eastAsia="Arial" w:hAnsi="Arial"/>
                <w:sz w:val="16"/>
                <w:szCs w:val="16"/>
                <w:color w:val="auto"/>
              </w:rPr>
              <w:t>standard, net of tax</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(112)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(112)</w:t>
            </w:r>
          </w:p>
        </w:tc>
      </w:tr>
      <w:tr>
        <w:trPr>
          <w:trHeight w:val="233"/>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6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38,717</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830</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39,547</w:t>
            </w:r>
          </w:p>
        </w:tc>
        <w:tc>
          <w:tcPr>
            <w:tcW w:w="100" w:type="dxa"/>
            <w:vAlign w:val="bottom"/>
            <w:shd w:val="clear" w:color="auto" w:fill="CFF0FC"/>
          </w:tcPr>
          <w:p>
            <w:pPr>
              <w:spacing w:after="0"/>
              <w:rPr>
                <w:sz w:val="20"/>
                <w:szCs w:val="20"/>
                <w:color w:val="auto"/>
              </w:rPr>
            </w:pPr>
          </w:p>
        </w:tc>
      </w:tr>
      <w:tr>
        <w:trPr>
          <w:trHeight w:val="206"/>
        </w:trPr>
        <w:tc>
          <w:tcPr>
            <w:tcW w:w="2580" w:type="dxa"/>
            <w:vAlign w:val="bottom"/>
          </w:tcPr>
          <w:p>
            <w:pPr>
              <w:spacing w:after="0"/>
              <w:rPr>
                <w:sz w:val="20"/>
                <w:szCs w:val="20"/>
                <w:color w:val="auto"/>
              </w:rPr>
            </w:pPr>
            <w:r>
              <w:rPr>
                <w:rFonts w:ascii="Arial" w:cs="Arial" w:eastAsia="Arial" w:hAnsi="Arial"/>
                <w:sz w:val="16"/>
                <w:szCs w:val="16"/>
                <w:color w:val="auto"/>
              </w:rPr>
              <w:t>Amortization of discount on</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580" w:type="dxa"/>
            <w:vAlign w:val="bottom"/>
          </w:tcPr>
          <w:p>
            <w:pPr>
              <w:spacing w:after="0"/>
              <w:rPr>
                <w:sz w:val="20"/>
                <w:szCs w:val="20"/>
                <w:color w:val="auto"/>
              </w:rPr>
            </w:pPr>
            <w:r>
              <w:rPr>
                <w:rFonts w:ascii="Arial" w:cs="Arial" w:eastAsia="Arial" w:hAnsi="Arial"/>
                <w:sz w:val="16"/>
                <w:szCs w:val="16"/>
                <w:color w:val="auto"/>
              </w:rPr>
              <w:t>convertible preferred stock</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(248)</w:t>
            </w:r>
          </w:p>
        </w:tc>
      </w:tr>
      <w:tr>
        <w:trPr>
          <w:trHeight w:val="233"/>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loss</w:t>
            </w:r>
          </w:p>
        </w:tc>
        <w:tc>
          <w:tcPr>
            <w:tcW w:w="6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(28,621)</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(585)</w:t>
            </w: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(29,206)</w:t>
            </w:r>
          </w:p>
        </w:tc>
      </w:tr>
      <w:tr>
        <w:trPr>
          <w:trHeight w:val="206"/>
        </w:trPr>
        <w:tc>
          <w:tcPr>
            <w:tcW w:w="2580" w:type="dxa"/>
            <w:vAlign w:val="bottom"/>
          </w:tcPr>
          <w:p>
            <w:pPr>
              <w:spacing w:after="0"/>
              <w:rPr>
                <w:sz w:val="20"/>
                <w:szCs w:val="20"/>
                <w:color w:val="auto"/>
              </w:rPr>
            </w:pPr>
            <w:r>
              <w:rPr>
                <w:rFonts w:ascii="Arial" w:cs="Arial" w:eastAsia="Arial" w:hAnsi="Arial"/>
                <w:sz w:val="16"/>
                <w:szCs w:val="16"/>
                <w:color w:val="auto"/>
              </w:rPr>
              <w:t>Common stock dividends declared</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580" w:type="dxa"/>
            <w:vAlign w:val="bottom"/>
          </w:tcPr>
          <w:p>
            <w:pPr>
              <w:spacing w:after="0"/>
              <w:rPr>
                <w:sz w:val="20"/>
                <w:szCs w:val="20"/>
                <w:color w:val="auto"/>
              </w:rPr>
            </w:pPr>
            <w:r>
              <w:rPr>
                <w:rFonts w:ascii="Arial" w:cs="Arial" w:eastAsia="Arial" w:hAnsi="Arial"/>
                <w:sz w:val="16"/>
                <w:szCs w:val="16"/>
                <w:color w:val="auto"/>
              </w:rPr>
              <w:t>($0.05 per share)</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(9,148)</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(9,148)</w:t>
            </w:r>
          </w:p>
        </w:tc>
      </w:tr>
      <w:tr>
        <w:trPr>
          <w:trHeight w:val="233"/>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w w:val="95"/>
              </w:rPr>
              <w:t>Distributions to noncontrolling interest</w:t>
            </w:r>
          </w:p>
        </w:tc>
        <w:tc>
          <w:tcPr>
            <w:tcW w:w="6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(187)</w:t>
            </w: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(187)</w:t>
            </w:r>
          </w:p>
        </w:tc>
      </w:tr>
      <w:tr>
        <w:trPr>
          <w:trHeight w:val="227"/>
        </w:trPr>
        <w:tc>
          <w:tcPr>
            <w:tcW w:w="2580" w:type="dxa"/>
            <w:vAlign w:val="bottom"/>
          </w:tcPr>
          <w:p>
            <w:pPr>
              <w:spacing w:after="0"/>
              <w:rPr>
                <w:sz w:val="20"/>
                <w:szCs w:val="20"/>
                <w:color w:val="auto"/>
              </w:rPr>
            </w:pPr>
            <w:r>
              <w:rPr>
                <w:rFonts w:ascii="Arial" w:cs="Arial" w:eastAsia="Arial" w:hAnsi="Arial"/>
                <w:sz w:val="16"/>
                <w:szCs w:val="16"/>
                <w:color w:val="auto"/>
              </w:rPr>
              <w:t>Exchange of noncontrolling interest</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390,788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4,260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(4,260)</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33"/>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w w:val="96"/>
              </w:rPr>
              <w:t>Convertible preferred stock dividends</w:t>
            </w:r>
          </w:p>
        </w:tc>
        <w:tc>
          <w:tcPr>
            <w:tcW w:w="6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(219)</w:t>
            </w: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(219)</w:t>
            </w:r>
          </w:p>
        </w:tc>
      </w:tr>
      <w:tr>
        <w:trPr>
          <w:trHeight w:val="227"/>
        </w:trPr>
        <w:tc>
          <w:tcPr>
            <w:tcW w:w="2580" w:type="dxa"/>
            <w:vAlign w:val="bottom"/>
          </w:tcPr>
          <w:p>
            <w:pPr>
              <w:spacing w:after="0"/>
              <w:rPr>
                <w:sz w:val="20"/>
                <w:szCs w:val="20"/>
                <w:color w:val="auto"/>
              </w:rPr>
            </w:pPr>
            <w:r>
              <w:rPr>
                <w:rFonts w:ascii="Arial" w:cs="Arial" w:eastAsia="Arial" w:hAnsi="Arial"/>
                <w:sz w:val="16"/>
                <w:szCs w:val="16"/>
                <w:color w:val="auto"/>
              </w:rPr>
              <w:t>Net share settlement</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(186)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(186)</w:t>
            </w:r>
          </w:p>
        </w:tc>
      </w:tr>
      <w:tr>
        <w:trPr>
          <w:trHeight w:val="233"/>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6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61,475</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3,197</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3,197</w:t>
            </w:r>
          </w:p>
        </w:tc>
        <w:tc>
          <w:tcPr>
            <w:tcW w:w="100" w:type="dxa"/>
            <w:vAlign w:val="bottom"/>
            <w:shd w:val="clear" w:color="auto" w:fill="CFF0FC"/>
          </w:tcPr>
          <w:p>
            <w:pPr>
              <w:spacing w:after="0"/>
              <w:rPr>
                <w:sz w:val="20"/>
                <w:szCs w:val="20"/>
                <w:color w:val="auto"/>
              </w:rPr>
            </w:pPr>
          </w:p>
        </w:tc>
      </w:tr>
      <w:tr>
        <w:trPr>
          <w:trHeight w:val="206"/>
        </w:trPr>
        <w:tc>
          <w:tcPr>
            <w:tcW w:w="2580" w:type="dxa"/>
            <w:vAlign w:val="bottom"/>
          </w:tcPr>
          <w:p>
            <w:pPr>
              <w:spacing w:after="0"/>
              <w:rPr>
                <w:sz w:val="20"/>
                <w:szCs w:val="20"/>
                <w:color w:val="auto"/>
              </w:rPr>
            </w:pPr>
            <w:r>
              <w:rPr>
                <w:rFonts w:ascii="Arial" w:cs="Arial" w:eastAsia="Arial" w:hAnsi="Arial"/>
                <w:sz w:val="16"/>
                <w:szCs w:val="16"/>
                <w:color w:val="auto"/>
              </w:rPr>
              <w:t>Equity component value of</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580" w:type="dxa"/>
            <w:vAlign w:val="bottom"/>
          </w:tcPr>
          <w:p>
            <w:pPr>
              <w:spacing w:after="0"/>
              <w:rPr>
                <w:sz w:val="20"/>
                <w:szCs w:val="20"/>
                <w:color w:val="auto"/>
              </w:rPr>
            </w:pPr>
            <w:r>
              <w:rPr>
                <w:rFonts w:ascii="Arial" w:cs="Arial" w:eastAsia="Arial" w:hAnsi="Arial"/>
                <w:sz w:val="16"/>
                <w:szCs w:val="16"/>
                <w:color w:val="auto"/>
              </w:rPr>
              <w:t>exchangeable note issuance, net</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80,770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80,770</w:t>
            </w:r>
          </w:p>
        </w:tc>
        <w:tc>
          <w:tcPr>
            <w:tcW w:w="100" w:type="dxa"/>
            <w:vAlign w:val="bottom"/>
          </w:tcPr>
          <w:p>
            <w:pPr>
              <w:spacing w:after="0"/>
              <w:rPr>
                <w:sz w:val="18"/>
                <w:szCs w:val="18"/>
                <w:color w:val="auto"/>
              </w:rPr>
            </w:pPr>
          </w:p>
        </w:tc>
      </w:tr>
      <w:tr>
        <w:trPr>
          <w:trHeight w:val="209"/>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Deferred tax liability related to</w:t>
            </w:r>
          </w:p>
        </w:tc>
        <w:tc>
          <w:tcPr>
            <w:tcW w:w="140" w:type="dxa"/>
            <w:vAlign w:val="bottom"/>
            <w:tcBorders>
              <w:right w:val="single" w:sz="8" w:color="CFF0FC"/>
            </w:tcBorders>
            <w:shd w:val="clear" w:color="auto" w:fill="CFF0FC"/>
          </w:tcPr>
          <w:p>
            <w:pPr>
              <w:spacing w:after="0"/>
              <w:rPr>
                <w:sz w:val="18"/>
                <w:szCs w:val="18"/>
                <w:color w:val="auto"/>
              </w:rPr>
            </w:pPr>
          </w:p>
        </w:tc>
        <w:tc>
          <w:tcPr>
            <w:tcW w:w="5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exchangeable note issuance</w:t>
            </w:r>
          </w:p>
        </w:tc>
        <w:tc>
          <w:tcPr>
            <w:tcW w:w="6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(3,499)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(3,499)</w:t>
            </w:r>
          </w:p>
        </w:tc>
      </w:tr>
      <w:tr>
        <w:trPr>
          <w:trHeight w:val="227"/>
        </w:trPr>
        <w:tc>
          <w:tcPr>
            <w:tcW w:w="2580" w:type="dxa"/>
            <w:vAlign w:val="bottom"/>
          </w:tcPr>
          <w:p>
            <w:pPr>
              <w:spacing w:after="0"/>
              <w:rPr>
                <w:sz w:val="20"/>
                <w:szCs w:val="20"/>
                <w:color w:val="auto"/>
              </w:rPr>
            </w:pPr>
            <w:r>
              <w:rPr>
                <w:rFonts w:ascii="Arial" w:cs="Arial" w:eastAsia="Arial" w:hAnsi="Arial"/>
                <w:sz w:val="16"/>
                <w:szCs w:val="16"/>
                <w:color w:val="auto"/>
              </w:rPr>
              <w:t>Sale of common stock warrant</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50,819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50,819</w:t>
            </w:r>
          </w:p>
        </w:tc>
        <w:tc>
          <w:tcPr>
            <w:tcW w:w="100" w:type="dxa"/>
            <w:vAlign w:val="bottom"/>
          </w:tcPr>
          <w:p>
            <w:pPr>
              <w:spacing w:after="0"/>
              <w:rPr>
                <w:sz w:val="19"/>
                <w:szCs w:val="19"/>
                <w:color w:val="auto"/>
              </w:rPr>
            </w:pPr>
          </w:p>
        </w:tc>
      </w:tr>
      <w:tr>
        <w:trPr>
          <w:trHeight w:val="230"/>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Payment for bond hedge option</w:t>
            </w:r>
          </w:p>
        </w:tc>
        <w:tc>
          <w:tcPr>
            <w:tcW w:w="140" w:type="dxa"/>
            <w:vAlign w:val="bottom"/>
            <w:tcBorders>
              <w:right w:val="single" w:sz="8" w:color="CFF0FC"/>
            </w:tcBorders>
            <w:shd w:val="clear" w:color="auto" w:fill="CFF0FC"/>
          </w:tcPr>
          <w:p>
            <w:pPr>
              <w:spacing w:after="0"/>
              <w:rPr>
                <w:sz w:val="19"/>
                <w:szCs w:val="19"/>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(70,035)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(70,035)</w:t>
            </w:r>
          </w:p>
        </w:tc>
      </w:tr>
      <w:tr>
        <w:trPr>
          <w:trHeight w:val="20"/>
        </w:trPr>
        <w:tc>
          <w:tcPr>
            <w:tcW w:w="25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580" w:type="dxa"/>
            <w:vAlign w:val="bottom"/>
          </w:tcPr>
          <w:p>
            <w:pPr>
              <w:spacing w:after="0"/>
              <w:rPr>
                <w:sz w:val="20"/>
                <w:szCs w:val="20"/>
                <w:color w:val="auto"/>
              </w:rPr>
            </w:pPr>
            <w:r>
              <w:rPr>
                <w:rFonts w:ascii="Arial" w:cs="Arial" w:eastAsia="Arial" w:hAnsi="Arial"/>
                <w:sz w:val="16"/>
                <w:szCs w:val="16"/>
                <w:color w:val="auto"/>
              </w:rPr>
              <w:t>Balance at June 30, 2019</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183,122,757</w:t>
            </w:r>
          </w:p>
        </w:tc>
        <w:tc>
          <w:tcPr>
            <w:tcW w:w="50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18</w:t>
            </w:r>
          </w:p>
        </w:tc>
        <w:tc>
          <w:tcPr>
            <w:tcW w:w="2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855,425</w:t>
            </w:r>
          </w:p>
        </w:tc>
        <w:tc>
          <w:tcPr>
            <w:tcW w:w="120" w:type="dxa"/>
            <w:vAlign w:val="bottom"/>
          </w:tcPr>
          <w:p>
            <w:pPr>
              <w:spacing w:after="0"/>
              <w:rPr>
                <w:sz w:val="19"/>
                <w:szCs w:val="19"/>
                <w:color w:val="auto"/>
              </w:rPr>
            </w:pP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(18,960)</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w w:val="94"/>
              </w:rPr>
              <w:t>$ (2,413,326)</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87,554</w:t>
            </w:r>
          </w:p>
        </w:tc>
        <w:tc>
          <w:tcPr>
            <w:tcW w:w="2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w w:val="95"/>
              </w:rPr>
              <w:t>(1,489,289)</w:t>
            </w:r>
          </w:p>
        </w:tc>
      </w:tr>
      <w:tr>
        <w:trPr>
          <w:trHeight w:val="20"/>
        </w:trPr>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10"/>
          </w:tcPr>
          <w:p>
            <w:pPr>
              <w:jc w:val="right"/>
              <w:ind w:right="960"/>
              <w:spacing w:after="0"/>
              <w:rPr>
                <w:sz w:val="20"/>
                <w:szCs w:val="20"/>
                <w:color w:val="auto"/>
              </w:rPr>
            </w:pPr>
            <w:r>
              <w:rPr>
                <w:rFonts w:ascii="Arial" w:cs="Arial" w:eastAsia="Arial" w:hAnsi="Arial"/>
                <w:sz w:val="16"/>
                <w:szCs w:val="16"/>
                <w:b w:val="1"/>
                <w:bCs w:val="1"/>
                <w:color w:val="auto"/>
                <w:w w:val="98"/>
              </w:rPr>
              <w:t>For the six months ended June 30,</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6"/>
                <w:szCs w:val="16"/>
                <w:color w:val="auto"/>
                <w:w w:val="92"/>
              </w:rPr>
              <w:t>Accumulated</w:t>
            </w: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color w:val="auto"/>
                <w:w w:val="95"/>
              </w:rPr>
              <w:t>Distributions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3"/>
          </w:tcPr>
          <w:p>
            <w:pPr>
              <w:spacing w:after="0"/>
              <w:rPr>
                <w:sz w:val="20"/>
                <w:szCs w:val="20"/>
                <w:color w:val="auto"/>
              </w:rPr>
            </w:pPr>
            <w:r>
              <w:rPr>
                <w:rFonts w:ascii="Arial" w:cs="Arial" w:eastAsia="Arial" w:hAnsi="Arial"/>
                <w:sz w:val="16"/>
                <w:szCs w:val="16"/>
                <w:color w:val="auto"/>
              </w:rPr>
              <w:t>Additional</w:t>
            </w:r>
          </w:p>
        </w:tc>
        <w:tc>
          <w:tcPr>
            <w:tcW w:w="18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color w:val="auto"/>
                <w:w w:val="94"/>
              </w:rPr>
              <w:t>Other</w:t>
            </w: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color w:val="auto"/>
                <w:w w:val="92"/>
              </w:rPr>
              <w:t>in Excess of</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6"/>
                <w:szCs w:val="16"/>
                <w:color w:val="auto"/>
              </w:rPr>
              <w:t>Total</w:t>
            </w:r>
          </w:p>
        </w:tc>
      </w:tr>
      <w:tr>
        <w:trPr>
          <w:trHeight w:val="203"/>
        </w:trPr>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w w:val="96"/>
              </w:rPr>
              <w:t>Paid-in</w:t>
            </w:r>
          </w:p>
        </w:tc>
        <w:tc>
          <w:tcPr>
            <w:tcW w:w="1220" w:type="dxa"/>
            <w:vAlign w:val="bottom"/>
            <w:gridSpan w:val="3"/>
          </w:tcPr>
          <w:p>
            <w:pPr>
              <w:spacing w:after="0"/>
              <w:rPr>
                <w:sz w:val="20"/>
                <w:szCs w:val="20"/>
                <w:color w:val="auto"/>
              </w:rPr>
            </w:pPr>
            <w:r>
              <w:rPr>
                <w:rFonts w:ascii="Arial" w:cs="Arial" w:eastAsia="Arial" w:hAnsi="Arial"/>
                <w:sz w:val="16"/>
                <w:szCs w:val="16"/>
                <w:color w:val="auto"/>
              </w:rPr>
              <w:t>Comprehensive</w:t>
            </w: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Accumulated</w:t>
            </w:r>
          </w:p>
        </w:tc>
        <w:tc>
          <w:tcPr>
            <w:tcW w:w="1220" w:type="dxa"/>
            <w:vAlign w:val="bottom"/>
            <w:gridSpan w:val="4"/>
          </w:tcPr>
          <w:p>
            <w:pPr>
              <w:ind w:left="80"/>
              <w:spacing w:after="0"/>
              <w:rPr>
                <w:sz w:val="20"/>
                <w:szCs w:val="20"/>
                <w:color w:val="auto"/>
              </w:rPr>
            </w:pPr>
            <w:r>
              <w:rPr>
                <w:rFonts w:ascii="Arial" w:cs="Arial" w:eastAsia="Arial" w:hAnsi="Arial"/>
                <w:sz w:val="16"/>
                <w:szCs w:val="16"/>
                <w:color w:val="auto"/>
              </w:rPr>
              <w:t>Noncontrolling</w:t>
            </w:r>
          </w:p>
        </w:tc>
        <w:tc>
          <w:tcPr>
            <w:tcW w:w="1060" w:type="dxa"/>
            <w:vAlign w:val="bottom"/>
            <w:gridSpan w:val="4"/>
          </w:tcPr>
          <w:p>
            <w:pPr>
              <w:ind w:left="80"/>
              <w:spacing w:after="0"/>
              <w:rPr>
                <w:sz w:val="20"/>
                <w:szCs w:val="20"/>
                <w:color w:val="auto"/>
              </w:rPr>
            </w:pPr>
            <w:r>
              <w:rPr>
                <w:rFonts w:ascii="Arial" w:cs="Arial" w:eastAsia="Arial" w:hAnsi="Arial"/>
                <w:sz w:val="16"/>
                <w:szCs w:val="16"/>
                <w:color w:val="auto"/>
                <w:w w:val="97"/>
              </w:rPr>
              <w:t>Shareholders'</w:t>
            </w:r>
          </w:p>
        </w:tc>
      </w:tr>
      <w:tr>
        <w:trPr>
          <w:trHeight w:val="212"/>
        </w:trPr>
        <w:tc>
          <w:tcPr>
            <w:tcW w:w="2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 except share data)</w:t>
            </w:r>
          </w:p>
        </w:tc>
        <w:tc>
          <w:tcPr>
            <w:tcW w:w="140" w:type="dxa"/>
            <w:vAlign w:val="bottom"/>
          </w:tcPr>
          <w:p>
            <w:pPr>
              <w:spacing w:after="0"/>
              <w:rPr>
                <w:sz w:val="18"/>
                <w:szCs w:val="18"/>
                <w:color w:val="auto"/>
              </w:rPr>
            </w:pPr>
          </w:p>
        </w:tc>
        <w:tc>
          <w:tcPr>
            <w:tcW w:w="116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color w:val="auto"/>
                <w:w w:val="93"/>
              </w:rPr>
              <w:t>Preferred Stock</w:t>
            </w:r>
          </w:p>
        </w:tc>
        <w:tc>
          <w:tcPr>
            <w:tcW w:w="1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color w:val="auto"/>
                <w:w w:val="96"/>
              </w:rPr>
              <w:t>Common Stock</w:t>
            </w:r>
          </w:p>
        </w:tc>
        <w:tc>
          <w:tcPr>
            <w:tcW w:w="2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6"/>
              </w:rPr>
              <w:t>Capital</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5"/>
              </w:rPr>
              <w:t>Income</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Earnings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Interest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Deficit</w:t>
            </w:r>
          </w:p>
        </w:tc>
        <w:tc>
          <w:tcPr>
            <w:tcW w:w="100" w:type="dxa"/>
            <w:vAlign w:val="bottom"/>
          </w:tcPr>
          <w:p>
            <w:pPr>
              <w:spacing w:after="0"/>
              <w:rPr>
                <w:sz w:val="18"/>
                <w:szCs w:val="18"/>
                <w:color w:val="auto"/>
              </w:rPr>
            </w:pPr>
          </w:p>
        </w:tc>
      </w:tr>
      <w:tr>
        <w:trPr>
          <w:trHeight w:val="183"/>
        </w:trPr>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spacing w:after="0" w:line="183" w:lineRule="exact"/>
              <w:rPr>
                <w:sz w:val="20"/>
                <w:szCs w:val="20"/>
                <w:color w:val="auto"/>
              </w:rPr>
            </w:pPr>
            <w:r>
              <w:rPr>
                <w:rFonts w:ascii="Arial" w:cs="Arial" w:eastAsia="Arial" w:hAnsi="Arial"/>
                <w:sz w:val="16"/>
                <w:szCs w:val="16"/>
                <w:color w:val="auto"/>
              </w:rPr>
              <w:t>Shares</w:t>
            </w:r>
          </w:p>
        </w:tc>
        <w:tc>
          <w:tcPr>
            <w:tcW w:w="740" w:type="dxa"/>
            <w:vAlign w:val="bottom"/>
            <w:gridSpan w:val="3"/>
          </w:tcPr>
          <w:p>
            <w:pPr>
              <w:spacing w:after="0" w:line="183" w:lineRule="exact"/>
              <w:rPr>
                <w:sz w:val="20"/>
                <w:szCs w:val="20"/>
                <w:color w:val="auto"/>
              </w:rPr>
            </w:pPr>
            <w:r>
              <w:rPr>
                <w:rFonts w:ascii="Arial" w:cs="Arial" w:eastAsia="Arial" w:hAnsi="Arial"/>
                <w:sz w:val="16"/>
                <w:szCs w:val="16"/>
                <w:color w:val="auto"/>
              </w:rPr>
              <w:t>Amount</w:t>
            </w:r>
          </w:p>
        </w:tc>
        <w:tc>
          <w:tcPr>
            <w:tcW w:w="240" w:type="dxa"/>
            <w:vAlign w:val="bottom"/>
          </w:tcPr>
          <w:p>
            <w:pPr>
              <w:spacing w:after="0"/>
              <w:rPr>
                <w:sz w:val="15"/>
                <w:szCs w:val="15"/>
                <w:color w:val="auto"/>
              </w:rPr>
            </w:pPr>
          </w:p>
        </w:tc>
        <w:tc>
          <w:tcPr>
            <w:tcW w:w="68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w w:val="82"/>
              </w:rPr>
              <w:t>Shares</w:t>
            </w:r>
          </w:p>
        </w:tc>
        <w:tc>
          <w:tcPr>
            <w:tcW w:w="200" w:type="dxa"/>
            <w:vAlign w:val="bottom"/>
          </w:tcPr>
          <w:p>
            <w:pPr>
              <w:spacing w:after="0"/>
              <w:rPr>
                <w:sz w:val="15"/>
                <w:szCs w:val="15"/>
                <w:color w:val="auto"/>
              </w:rPr>
            </w:pPr>
          </w:p>
        </w:tc>
        <w:tc>
          <w:tcPr>
            <w:tcW w:w="760" w:type="dxa"/>
            <w:vAlign w:val="bottom"/>
            <w:gridSpan w:val="3"/>
          </w:tcPr>
          <w:p>
            <w:pPr>
              <w:spacing w:after="0" w:line="183" w:lineRule="exact"/>
              <w:rPr>
                <w:sz w:val="20"/>
                <w:szCs w:val="20"/>
                <w:color w:val="auto"/>
              </w:rPr>
            </w:pPr>
            <w:r>
              <w:rPr>
                <w:rFonts w:ascii="Arial" w:cs="Arial" w:eastAsia="Arial" w:hAnsi="Arial"/>
                <w:sz w:val="16"/>
                <w:szCs w:val="16"/>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72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Balance at December 31, 2017</w:t>
            </w: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174,851,514</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644,328</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7,821</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w w:val="94"/>
              </w:rPr>
              <w:t>$ (1,960,715)</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101,407</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5"/>
              </w:rPr>
              <w:t>(1,207,142)</w:t>
            </w:r>
          </w:p>
        </w:tc>
      </w:tr>
      <w:tr>
        <w:trPr>
          <w:trHeight w:val="227"/>
        </w:trPr>
        <w:tc>
          <w:tcPr>
            <w:tcW w:w="272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(2,293)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(2,362)</w:t>
            </w:r>
          </w:p>
        </w:tc>
      </w:tr>
      <w:tr>
        <w:trPr>
          <w:trHeight w:val="209"/>
        </w:trPr>
        <w:tc>
          <w:tcPr>
            <w:tcW w:w="272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Amortization of discount of</w:t>
            </w:r>
          </w:p>
        </w:tc>
        <w:tc>
          <w:tcPr>
            <w:tcW w:w="5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272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convertible preferred stock</w:t>
            </w: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(1,490)</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(1,490)</w:t>
            </w:r>
          </w:p>
        </w:tc>
      </w:tr>
      <w:tr>
        <w:trPr>
          <w:trHeight w:val="227"/>
        </w:trPr>
        <w:tc>
          <w:tcPr>
            <w:tcW w:w="2720" w:type="dxa"/>
            <w:vAlign w:val="bottom"/>
            <w:gridSpan w:val="2"/>
          </w:tcPr>
          <w:p>
            <w:pPr>
              <w:spacing w:after="0"/>
              <w:rPr>
                <w:sz w:val="20"/>
                <w:szCs w:val="20"/>
                <w:color w:val="auto"/>
              </w:rPr>
            </w:pPr>
            <w:r>
              <w:rPr>
                <w:rFonts w:ascii="Arial" w:cs="Arial" w:eastAsia="Arial" w:hAnsi="Arial"/>
                <w:sz w:val="16"/>
                <w:szCs w:val="16"/>
                <w:color w:val="auto"/>
              </w:rPr>
              <w:t>Other comprehensive income</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48,416</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49,559</w:t>
            </w:r>
          </w:p>
        </w:tc>
        <w:tc>
          <w:tcPr>
            <w:tcW w:w="100" w:type="dxa"/>
            <w:vAlign w:val="bottom"/>
          </w:tcPr>
          <w:p>
            <w:pPr>
              <w:spacing w:after="0"/>
              <w:rPr>
                <w:sz w:val="19"/>
                <w:szCs w:val="19"/>
                <w:color w:val="auto"/>
              </w:rPr>
            </w:pPr>
          </w:p>
        </w:tc>
      </w:tr>
      <w:tr>
        <w:trPr>
          <w:trHeight w:val="233"/>
        </w:trPr>
        <w:tc>
          <w:tcPr>
            <w:tcW w:w="272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Common stock dividends declared</w:t>
            </w: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(211,486)</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(211,486)</w:t>
            </w:r>
          </w:p>
        </w:tc>
      </w:tr>
      <w:tr>
        <w:trPr>
          <w:trHeight w:val="227"/>
        </w:trPr>
        <w:tc>
          <w:tcPr>
            <w:tcW w:w="2720" w:type="dxa"/>
            <w:vAlign w:val="bottom"/>
            <w:gridSpan w:val="2"/>
          </w:tcPr>
          <w:p>
            <w:pPr>
              <w:spacing w:after="0"/>
              <w:rPr>
                <w:sz w:val="20"/>
                <w:szCs w:val="20"/>
                <w:color w:val="auto"/>
              </w:rPr>
            </w:pPr>
            <w:r>
              <w:rPr>
                <w:rFonts w:ascii="Arial" w:cs="Arial" w:eastAsia="Arial" w:hAnsi="Arial"/>
                <w:sz w:val="16"/>
                <w:szCs w:val="16"/>
                <w:color w:val="auto"/>
              </w:rPr>
              <w:t>Convertible preferred stock dividends</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(1,312)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(1,312)</w:t>
            </w:r>
          </w:p>
        </w:tc>
      </w:tr>
      <w:tr>
        <w:trPr>
          <w:trHeight w:val="233"/>
        </w:trPr>
        <w:tc>
          <w:tcPr>
            <w:tcW w:w="272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Distributions to noncontrolling interest</w:t>
            </w: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(4,958)</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(4,958)</w:t>
            </w:r>
          </w:p>
        </w:tc>
      </w:tr>
      <w:tr>
        <w:trPr>
          <w:trHeight w:val="227"/>
        </w:trPr>
        <w:tc>
          <w:tcPr>
            <w:tcW w:w="2720" w:type="dxa"/>
            <w:vAlign w:val="bottom"/>
            <w:gridSpan w:val="2"/>
          </w:tcPr>
          <w:p>
            <w:pPr>
              <w:spacing w:after="0"/>
              <w:rPr>
                <w:sz w:val="20"/>
                <w:szCs w:val="20"/>
                <w:color w:val="auto"/>
              </w:rPr>
            </w:pPr>
            <w:r>
              <w:rPr>
                <w:rFonts w:ascii="Arial" w:cs="Arial" w:eastAsia="Arial" w:hAnsi="Arial"/>
                <w:sz w:val="16"/>
                <w:szCs w:val="16"/>
                <w:color w:val="auto"/>
              </w:rPr>
              <w:t>Net share settlement</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(1,306)</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(269)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(1,575)</w:t>
            </w:r>
          </w:p>
        </w:tc>
      </w:tr>
      <w:tr>
        <w:trPr>
          <w:trHeight w:val="233"/>
        </w:trPr>
        <w:tc>
          <w:tcPr>
            <w:tcW w:w="272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177,321</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4,095</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4,095</w:t>
            </w:r>
          </w:p>
        </w:tc>
        <w:tc>
          <w:tcPr>
            <w:tcW w:w="100" w:type="dxa"/>
            <w:vAlign w:val="bottom"/>
            <w:shd w:val="clear" w:color="auto" w:fill="CFF0FC"/>
          </w:tcPr>
          <w:p>
            <w:pPr>
              <w:spacing w:after="0"/>
              <w:rPr>
                <w:sz w:val="20"/>
                <w:szCs w:val="20"/>
                <w:color w:val="auto"/>
              </w:rPr>
            </w:pPr>
          </w:p>
        </w:tc>
      </w:tr>
      <w:tr>
        <w:trPr>
          <w:trHeight w:val="206"/>
        </w:trPr>
        <w:tc>
          <w:tcPr>
            <w:tcW w:w="2720" w:type="dxa"/>
            <w:vAlign w:val="bottom"/>
            <w:gridSpan w:val="2"/>
          </w:tcPr>
          <w:p>
            <w:pPr>
              <w:spacing w:after="0"/>
              <w:rPr>
                <w:sz w:val="20"/>
                <w:szCs w:val="20"/>
                <w:color w:val="auto"/>
              </w:rPr>
            </w:pPr>
            <w:r>
              <w:rPr>
                <w:rFonts w:ascii="Arial" w:cs="Arial" w:eastAsia="Arial" w:hAnsi="Arial"/>
                <w:sz w:val="16"/>
                <w:szCs w:val="16"/>
                <w:color w:val="auto"/>
              </w:rPr>
              <w:t>Impact of change in accounting</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72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standard</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1,859</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1,859</w:t>
            </w:r>
          </w:p>
        </w:tc>
        <w:tc>
          <w:tcPr>
            <w:tcW w:w="100" w:type="dxa"/>
            <w:vAlign w:val="bottom"/>
            <w:tcBorders>
              <w:bottom w:val="single" w:sz="8" w:color="CFF0FC"/>
            </w:tcBorders>
          </w:tcPr>
          <w:p>
            <w:pPr>
              <w:spacing w:after="0"/>
              <w:rPr>
                <w:sz w:val="18"/>
                <w:szCs w:val="18"/>
                <w:color w:val="auto"/>
              </w:rPr>
            </w:pPr>
          </w:p>
        </w:tc>
      </w:tr>
      <w:tr>
        <w:trPr>
          <w:trHeight w:val="223"/>
        </w:trPr>
        <w:tc>
          <w:tcPr>
            <w:tcW w:w="272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Balance at June 30, 2018</w:t>
            </w: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175,028,835</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645,627</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56,237</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w w:val="94"/>
              </w:rPr>
              <w:t>$ (2,174,216)</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97,523</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5"/>
              </w:rPr>
              <w:t>(1,374,812)</w:t>
            </w:r>
          </w:p>
        </w:tc>
      </w:tr>
      <w:tr>
        <w:trPr>
          <w:trHeight w:val="20"/>
        </w:trPr>
        <w:tc>
          <w:tcPr>
            <w:tcW w:w="25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00"/>
        </w:trPr>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72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Balance at December 31, 2018</w:t>
            </w: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180,535,971</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757,517</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30,105</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w w:val="94"/>
              </w:rPr>
              <w:t>$ (2,373,218)</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92,375</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5"/>
              </w:rPr>
              <w:t>(1,493,203)</w:t>
            </w:r>
          </w:p>
        </w:tc>
      </w:tr>
      <w:tr>
        <w:trPr>
          <w:trHeight w:val="206"/>
        </w:trPr>
        <w:tc>
          <w:tcPr>
            <w:tcW w:w="2720" w:type="dxa"/>
            <w:vAlign w:val="bottom"/>
            <w:gridSpan w:val="2"/>
          </w:tcPr>
          <w:p>
            <w:pPr>
              <w:spacing w:after="0"/>
              <w:rPr>
                <w:sz w:val="20"/>
                <w:szCs w:val="20"/>
                <w:color w:val="auto"/>
              </w:rPr>
            </w:pPr>
            <w:r>
              <w:rPr>
                <w:rFonts w:ascii="Arial" w:cs="Arial" w:eastAsia="Arial" w:hAnsi="Arial"/>
                <w:sz w:val="16"/>
                <w:szCs w:val="16"/>
                <w:color w:val="auto"/>
              </w:rPr>
              <w:t>Impact of change in accounting</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720" w:type="dxa"/>
            <w:vAlign w:val="bottom"/>
            <w:gridSpan w:val="2"/>
          </w:tcPr>
          <w:p>
            <w:pPr>
              <w:spacing w:after="0"/>
              <w:rPr>
                <w:sz w:val="20"/>
                <w:szCs w:val="20"/>
                <w:color w:val="auto"/>
              </w:rPr>
            </w:pPr>
            <w:r>
              <w:rPr>
                <w:rFonts w:ascii="Arial" w:cs="Arial" w:eastAsia="Arial" w:hAnsi="Arial"/>
                <w:sz w:val="16"/>
                <w:szCs w:val="16"/>
                <w:color w:val="auto"/>
              </w:rPr>
              <w:t>standard, net of tax</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(63,222)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(63,222)</w:t>
            </w:r>
          </w:p>
        </w:tc>
      </w:tr>
      <w:tr>
        <w:trPr>
          <w:trHeight w:val="233"/>
        </w:trPr>
        <w:tc>
          <w:tcPr>
            <w:tcW w:w="272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Net income</w:t>
            </w: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41,159</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42,039</w:t>
            </w:r>
          </w:p>
        </w:tc>
        <w:tc>
          <w:tcPr>
            <w:tcW w:w="100" w:type="dxa"/>
            <w:vAlign w:val="bottom"/>
            <w:shd w:val="clear" w:color="auto" w:fill="CFF0FC"/>
          </w:tcPr>
          <w:p>
            <w:pPr>
              <w:spacing w:after="0"/>
              <w:rPr>
                <w:sz w:val="20"/>
                <w:szCs w:val="20"/>
                <w:color w:val="auto"/>
              </w:rPr>
            </w:pPr>
          </w:p>
        </w:tc>
      </w:tr>
      <w:tr>
        <w:trPr>
          <w:trHeight w:val="206"/>
        </w:trPr>
        <w:tc>
          <w:tcPr>
            <w:tcW w:w="2720" w:type="dxa"/>
            <w:vAlign w:val="bottom"/>
            <w:gridSpan w:val="2"/>
          </w:tcPr>
          <w:p>
            <w:pPr>
              <w:spacing w:after="0"/>
              <w:rPr>
                <w:sz w:val="20"/>
                <w:szCs w:val="20"/>
                <w:color w:val="auto"/>
              </w:rPr>
            </w:pPr>
            <w:r>
              <w:rPr>
                <w:rFonts w:ascii="Arial" w:cs="Arial" w:eastAsia="Arial" w:hAnsi="Arial"/>
                <w:sz w:val="16"/>
                <w:szCs w:val="16"/>
                <w:color w:val="auto"/>
              </w:rPr>
              <w:t>At-the-market issuance of common</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720" w:type="dxa"/>
            <w:vAlign w:val="bottom"/>
            <w:gridSpan w:val="2"/>
          </w:tcPr>
          <w:p>
            <w:pPr>
              <w:spacing w:after="0"/>
              <w:rPr>
                <w:sz w:val="20"/>
                <w:szCs w:val="20"/>
                <w:color w:val="auto"/>
              </w:rPr>
            </w:pPr>
            <w:r>
              <w:rPr>
                <w:rFonts w:ascii="Arial" w:cs="Arial" w:eastAsia="Arial" w:hAnsi="Arial"/>
                <w:sz w:val="16"/>
                <w:szCs w:val="16"/>
                <w:color w:val="auto"/>
              </w:rPr>
              <w:t>stock, net of offering costs</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1,176,186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21,641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21,641</w:t>
            </w:r>
          </w:p>
        </w:tc>
        <w:tc>
          <w:tcPr>
            <w:tcW w:w="100" w:type="dxa"/>
            <w:vAlign w:val="bottom"/>
          </w:tcPr>
          <w:p>
            <w:pPr>
              <w:spacing w:after="0"/>
              <w:rPr>
                <w:sz w:val="18"/>
                <w:szCs w:val="18"/>
                <w:color w:val="auto"/>
              </w:rPr>
            </w:pPr>
          </w:p>
        </w:tc>
      </w:tr>
      <w:tr>
        <w:trPr>
          <w:trHeight w:val="209"/>
        </w:trPr>
        <w:tc>
          <w:tcPr>
            <w:tcW w:w="272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Amortization of discount on</w:t>
            </w:r>
          </w:p>
        </w:tc>
        <w:tc>
          <w:tcPr>
            <w:tcW w:w="5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272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convertible preferred stock</w:t>
            </w: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(993)</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(993)</w:t>
            </w:r>
          </w:p>
        </w:tc>
      </w:tr>
      <w:tr>
        <w:trPr>
          <w:trHeight w:val="227"/>
        </w:trPr>
        <w:tc>
          <w:tcPr>
            <w:tcW w:w="2720" w:type="dxa"/>
            <w:vAlign w:val="bottom"/>
            <w:gridSpan w:val="2"/>
          </w:tcPr>
          <w:p>
            <w:pPr>
              <w:spacing w:after="0"/>
              <w:rPr>
                <w:sz w:val="20"/>
                <w:szCs w:val="20"/>
                <w:color w:val="auto"/>
              </w:rPr>
            </w:pPr>
            <w:r>
              <w:rPr>
                <w:rFonts w:ascii="Arial" w:cs="Arial" w:eastAsia="Arial" w:hAnsi="Arial"/>
                <w:sz w:val="16"/>
                <w:szCs w:val="16"/>
                <w:color w:val="auto"/>
              </w:rPr>
              <w:t>Other comprehensive loss</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(49,065)</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(1,047)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(50,112)</w:t>
            </w:r>
          </w:p>
        </w:tc>
      </w:tr>
      <w:tr>
        <w:trPr>
          <w:trHeight w:val="209"/>
        </w:trPr>
        <w:tc>
          <w:tcPr>
            <w:tcW w:w="272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Common stock dividends declared</w:t>
            </w:r>
          </w:p>
        </w:tc>
        <w:tc>
          <w:tcPr>
            <w:tcW w:w="5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272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($0.05 per share)</w:t>
            </w: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(17,170)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(17,170)</w:t>
            </w:r>
          </w:p>
        </w:tc>
      </w:tr>
      <w:tr>
        <w:trPr>
          <w:trHeight w:val="227"/>
        </w:trPr>
        <w:tc>
          <w:tcPr>
            <w:tcW w:w="2720" w:type="dxa"/>
            <w:vAlign w:val="bottom"/>
            <w:gridSpan w:val="2"/>
          </w:tcPr>
          <w:p>
            <w:pPr>
              <w:spacing w:after="0"/>
              <w:rPr>
                <w:sz w:val="20"/>
                <w:szCs w:val="20"/>
                <w:color w:val="auto"/>
              </w:rPr>
            </w:pPr>
            <w:r>
              <w:rPr>
                <w:rFonts w:ascii="Arial" w:cs="Arial" w:eastAsia="Arial" w:hAnsi="Arial"/>
                <w:sz w:val="16"/>
                <w:szCs w:val="16"/>
                <w:color w:val="auto"/>
              </w:rPr>
              <w:t>Distributions to noncontrolling interest</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(394)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(394)</w:t>
            </w:r>
          </w:p>
        </w:tc>
      </w:tr>
      <w:tr>
        <w:trPr>
          <w:trHeight w:val="233"/>
        </w:trPr>
        <w:tc>
          <w:tcPr>
            <w:tcW w:w="272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Exchange of noncontrolling interest</w:t>
            </w: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390,788</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4,260</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(4,260)</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7"/>
        </w:trPr>
        <w:tc>
          <w:tcPr>
            <w:tcW w:w="2720" w:type="dxa"/>
            <w:vAlign w:val="bottom"/>
            <w:gridSpan w:val="2"/>
          </w:tcPr>
          <w:p>
            <w:pPr>
              <w:spacing w:after="0"/>
              <w:rPr>
                <w:sz w:val="20"/>
                <w:szCs w:val="20"/>
                <w:color w:val="auto"/>
              </w:rPr>
            </w:pPr>
            <w:r>
              <w:rPr>
                <w:rFonts w:ascii="Arial" w:cs="Arial" w:eastAsia="Arial" w:hAnsi="Arial"/>
                <w:sz w:val="16"/>
                <w:szCs w:val="16"/>
                <w:color w:val="auto"/>
              </w:rPr>
              <w:t>Convertible preferred stock dividends</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(875)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(875)</w:t>
            </w:r>
          </w:p>
        </w:tc>
      </w:tr>
      <w:tr>
        <w:trPr>
          <w:trHeight w:val="233"/>
        </w:trPr>
        <w:tc>
          <w:tcPr>
            <w:tcW w:w="272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Net share settlement</w:t>
            </w: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(1,765)</w:t>
            </w: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(1,765)</w:t>
            </w:r>
          </w:p>
        </w:tc>
      </w:tr>
      <w:tr>
        <w:trPr>
          <w:trHeight w:val="227"/>
        </w:trPr>
        <w:tc>
          <w:tcPr>
            <w:tcW w:w="272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340,627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5,085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5,085</w:t>
            </w:r>
          </w:p>
        </w:tc>
        <w:tc>
          <w:tcPr>
            <w:tcW w:w="100" w:type="dxa"/>
            <w:vAlign w:val="bottom"/>
          </w:tcPr>
          <w:p>
            <w:pPr>
              <w:spacing w:after="0"/>
              <w:rPr>
                <w:sz w:val="19"/>
                <w:szCs w:val="19"/>
                <w:color w:val="auto"/>
              </w:rPr>
            </w:pPr>
          </w:p>
        </w:tc>
      </w:tr>
      <w:tr>
        <w:trPr>
          <w:trHeight w:val="233"/>
        </w:trPr>
        <w:tc>
          <w:tcPr>
            <w:tcW w:w="272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w w:val="97"/>
              </w:rPr>
              <w:t>Equity settled contingent consideration</w:t>
            </w: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645,385</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11,178</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11,178</w:t>
            </w:r>
          </w:p>
        </w:tc>
        <w:tc>
          <w:tcPr>
            <w:tcW w:w="100" w:type="dxa"/>
            <w:vAlign w:val="bottom"/>
            <w:shd w:val="clear" w:color="auto" w:fill="CFF0FC"/>
          </w:tcPr>
          <w:p>
            <w:pPr>
              <w:spacing w:after="0"/>
              <w:rPr>
                <w:sz w:val="20"/>
                <w:szCs w:val="20"/>
                <w:color w:val="auto"/>
              </w:rPr>
            </w:pPr>
          </w:p>
        </w:tc>
      </w:tr>
      <w:tr>
        <w:trPr>
          <w:trHeight w:val="206"/>
        </w:trPr>
        <w:tc>
          <w:tcPr>
            <w:tcW w:w="2720" w:type="dxa"/>
            <w:vAlign w:val="bottom"/>
            <w:gridSpan w:val="2"/>
          </w:tcPr>
          <w:p>
            <w:pPr>
              <w:spacing w:after="0"/>
              <w:rPr>
                <w:sz w:val="20"/>
                <w:szCs w:val="20"/>
                <w:color w:val="auto"/>
              </w:rPr>
            </w:pPr>
            <w:r>
              <w:rPr>
                <w:rFonts w:ascii="Arial" w:cs="Arial" w:eastAsia="Arial" w:hAnsi="Arial"/>
                <w:sz w:val="16"/>
                <w:szCs w:val="16"/>
                <w:color w:val="auto"/>
                <w:w w:val="98"/>
              </w:rPr>
              <w:t>Issuance of common stock - employee</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720" w:type="dxa"/>
            <w:vAlign w:val="bottom"/>
            <w:gridSpan w:val="2"/>
          </w:tcPr>
          <w:p>
            <w:pPr>
              <w:spacing w:after="0"/>
              <w:rPr>
                <w:sz w:val="20"/>
                <w:szCs w:val="20"/>
                <w:color w:val="auto"/>
              </w:rPr>
            </w:pPr>
            <w:r>
              <w:rPr>
                <w:rFonts w:ascii="Arial" w:cs="Arial" w:eastAsia="Arial" w:hAnsi="Arial"/>
                <w:sz w:val="16"/>
                <w:szCs w:val="16"/>
                <w:color w:val="auto"/>
              </w:rPr>
              <w:t>stock purchase plan</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33,800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447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18"/>
                <w:szCs w:val="18"/>
                <w:color w:val="auto"/>
              </w:rPr>
            </w:pPr>
          </w:p>
        </w:tc>
      </w:tr>
      <w:tr>
        <w:trPr>
          <w:trHeight w:val="209"/>
        </w:trPr>
        <w:tc>
          <w:tcPr>
            <w:tcW w:w="272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Equity component value of</w:t>
            </w:r>
          </w:p>
        </w:tc>
        <w:tc>
          <w:tcPr>
            <w:tcW w:w="5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272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exchangeable note issuance, net</w:t>
            </w: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80,770</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80,770</w:t>
            </w:r>
          </w:p>
        </w:tc>
        <w:tc>
          <w:tcPr>
            <w:tcW w:w="100" w:type="dxa"/>
            <w:vAlign w:val="bottom"/>
            <w:shd w:val="clear" w:color="auto" w:fill="CFF0FC"/>
          </w:tcPr>
          <w:p>
            <w:pPr>
              <w:spacing w:after="0"/>
              <w:rPr>
                <w:sz w:val="18"/>
                <w:szCs w:val="18"/>
                <w:color w:val="auto"/>
              </w:rPr>
            </w:pPr>
          </w:p>
        </w:tc>
      </w:tr>
      <w:tr>
        <w:trPr>
          <w:trHeight w:val="206"/>
        </w:trPr>
        <w:tc>
          <w:tcPr>
            <w:tcW w:w="2720" w:type="dxa"/>
            <w:vAlign w:val="bottom"/>
            <w:gridSpan w:val="2"/>
          </w:tcPr>
          <w:p>
            <w:pPr>
              <w:spacing w:after="0"/>
              <w:rPr>
                <w:sz w:val="20"/>
                <w:szCs w:val="20"/>
                <w:color w:val="auto"/>
              </w:rPr>
            </w:pPr>
            <w:r>
              <w:rPr>
                <w:rFonts w:ascii="Arial" w:cs="Arial" w:eastAsia="Arial" w:hAnsi="Arial"/>
                <w:sz w:val="16"/>
                <w:szCs w:val="16"/>
                <w:color w:val="auto"/>
              </w:rPr>
              <w:t>Deferred tax liability related to</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720" w:type="dxa"/>
            <w:vAlign w:val="bottom"/>
            <w:gridSpan w:val="2"/>
          </w:tcPr>
          <w:p>
            <w:pPr>
              <w:spacing w:after="0"/>
              <w:rPr>
                <w:sz w:val="20"/>
                <w:szCs w:val="20"/>
                <w:color w:val="auto"/>
              </w:rPr>
            </w:pPr>
            <w:r>
              <w:rPr>
                <w:rFonts w:ascii="Arial" w:cs="Arial" w:eastAsia="Arial" w:hAnsi="Arial"/>
                <w:sz w:val="16"/>
                <w:szCs w:val="16"/>
                <w:color w:val="auto"/>
              </w:rPr>
              <w:t>exchangeable note issuance</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(3,499)</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(3,499)</w:t>
            </w:r>
          </w:p>
        </w:tc>
      </w:tr>
      <w:tr>
        <w:trPr>
          <w:trHeight w:val="233"/>
        </w:trPr>
        <w:tc>
          <w:tcPr>
            <w:tcW w:w="272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Sale of common stock warrant</w:t>
            </w: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50,819</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50,819</w:t>
            </w:r>
          </w:p>
        </w:tc>
        <w:tc>
          <w:tcPr>
            <w:tcW w:w="100" w:type="dxa"/>
            <w:vAlign w:val="bottom"/>
            <w:shd w:val="clear" w:color="auto" w:fill="CFF0FC"/>
          </w:tcPr>
          <w:p>
            <w:pPr>
              <w:spacing w:after="0"/>
              <w:rPr>
                <w:sz w:val="20"/>
                <w:szCs w:val="20"/>
                <w:color w:val="auto"/>
              </w:rPr>
            </w:pPr>
          </w:p>
        </w:tc>
      </w:tr>
      <w:tr>
        <w:trPr>
          <w:trHeight w:val="227"/>
        </w:trPr>
        <w:tc>
          <w:tcPr>
            <w:tcW w:w="2720" w:type="dxa"/>
            <w:vAlign w:val="bottom"/>
            <w:gridSpan w:val="2"/>
          </w:tcPr>
          <w:p>
            <w:pPr>
              <w:spacing w:after="0"/>
              <w:rPr>
                <w:sz w:val="20"/>
                <w:szCs w:val="20"/>
                <w:color w:val="auto"/>
              </w:rPr>
            </w:pPr>
            <w:r>
              <w:rPr>
                <w:rFonts w:ascii="Arial" w:cs="Arial" w:eastAsia="Arial" w:hAnsi="Arial"/>
                <w:sz w:val="16"/>
                <w:szCs w:val="16"/>
                <w:color w:val="auto"/>
              </w:rPr>
              <w:t>Payment for bond hedge option</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(70,035)</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(70,035)</w:t>
            </w:r>
          </w:p>
        </w:tc>
      </w:tr>
      <w:tr>
        <w:trPr>
          <w:trHeight w:val="20"/>
        </w:trPr>
        <w:tc>
          <w:tcPr>
            <w:tcW w:w="258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272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Balance at June 30, 2019</w:t>
            </w: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183,122,757</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855,425</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(18,960)</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w w:val="94"/>
              </w:rPr>
              <w:t>$ (2,413,326)</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87,554</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5"/>
              </w:rPr>
              <w:t>(1,489,289)</w:t>
            </w:r>
          </w:p>
        </w:tc>
      </w:tr>
      <w:tr>
        <w:trPr>
          <w:trHeight w:val="20"/>
        </w:trPr>
        <w:tc>
          <w:tcPr>
            <w:tcW w:w="25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30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90"/>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FF0FC"/>
            </w:tcBorders>
          </w:tcPr>
          <w:p>
            <w:pPr>
              <w:spacing w:after="0"/>
              <w:rPr>
                <w:sz w:val="20"/>
                <w:szCs w:val="20"/>
                <w:color w:val="auto"/>
              </w:rPr>
            </w:pPr>
          </w:p>
        </w:tc>
      </w:tr>
      <w:tr>
        <w:trPr>
          <w:trHeight w:val="223"/>
        </w:trPr>
        <w:tc>
          <w:tcPr>
            <w:tcW w:w="7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Net income (loss)</w:t>
            </w:r>
          </w:p>
        </w:tc>
        <w:tc>
          <w:tcPr>
            <w:tcW w:w="7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42,039</w:t>
            </w:r>
          </w:p>
        </w:tc>
        <w:tc>
          <w:tcPr>
            <w:tcW w:w="24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(2,362)</w:t>
            </w: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206,405</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229,563</w:t>
            </w: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deferred financing costs and debt discount</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17,659</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12,147</w:t>
            </w:r>
          </w:p>
        </w:tc>
        <w:tc>
          <w:tcPr>
            <w:tcW w:w="100" w:type="dxa"/>
            <w:vAlign w:val="bottom"/>
            <w:shd w:val="clear" w:color="auto" w:fill="CFF0FC"/>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(2,712)</w:t>
            </w:r>
          </w:p>
        </w:tc>
        <w:tc>
          <w:tcPr>
            <w:tcW w:w="7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(4,257)</w:t>
            </w: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Straight-line revenues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(1,416)</w:t>
            </w:r>
          </w:p>
        </w:tc>
        <w:tc>
          <w:tcPr>
            <w:tcW w:w="7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(7,400)</w:t>
            </w: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5,085</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4,095</w:t>
            </w: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(25,531)</w:t>
            </w:r>
          </w:p>
        </w:tc>
        <w:tc>
          <w:tcPr>
            <w:tcW w:w="7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(488)</w:t>
            </w: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Gain on sale of real estate</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(28,790)</w:t>
            </w: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2,252</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w:t>
            </w:r>
          </w:p>
        </w:tc>
        <w:tc>
          <w:tcPr>
            <w:tcW w:w="100" w:type="dxa"/>
            <w:vAlign w:val="bottom"/>
            <w:shd w:val="clear" w:color="auto" w:fill="CFF0FC"/>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Changes in assets and liabilities, net of acquisitions:</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25,169</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(22,971)</w:t>
            </w:r>
          </w:p>
        </w:tc>
      </w:tr>
      <w:tr>
        <w:trPr>
          <w:trHeight w:val="230"/>
        </w:trPr>
        <w:tc>
          <w:tcPr>
            <w:tcW w:w="712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(12,849)</w:t>
            </w:r>
          </w:p>
        </w:tc>
        <w:tc>
          <w:tcPr>
            <w:tcW w:w="7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(5,510)</w:t>
            </w:r>
          </w:p>
        </w:tc>
      </w:tr>
      <w:tr>
        <w:trPr>
          <w:trHeight w:val="230"/>
        </w:trPr>
        <w:tc>
          <w:tcPr>
            <w:tcW w:w="7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 accrued expenses and other liabilities</w:t>
            </w:r>
          </w:p>
        </w:tc>
        <w:tc>
          <w:tcPr>
            <w:tcW w:w="3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23,053</w:t>
            </w:r>
          </w:p>
        </w:tc>
        <w:tc>
          <w:tcPr>
            <w:tcW w:w="2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26,559</w:t>
            </w:r>
          </w:p>
        </w:tc>
        <w:tc>
          <w:tcPr>
            <w:tcW w:w="100" w:type="dxa"/>
            <w:vAlign w:val="bottom"/>
            <w:shd w:val="clear" w:color="auto" w:fill="CFF0FC"/>
          </w:tcPr>
          <w:p>
            <w:pPr>
              <w:spacing w:after="0"/>
              <w:rPr>
                <w:sz w:val="19"/>
                <w:szCs w:val="19"/>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250,364</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230,973</w:t>
            </w: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Acquisition of businesses, net of cash acquired</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(4,210)</w:t>
            </w: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NMS asset acquisitions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(1,154)</w:t>
            </w: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Other capital expenditures</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(180,478)</w:t>
            </w:r>
          </w:p>
        </w:tc>
        <w:tc>
          <w:tcPr>
            <w:tcW w:w="7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(163,467)</w:t>
            </w: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real estate, net of cash</w:t>
            </w:r>
          </w:p>
        </w:tc>
        <w:tc>
          <w:tcPr>
            <w:tcW w:w="3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127,524</w:t>
            </w:r>
          </w:p>
        </w:tc>
        <w:tc>
          <w:tcPr>
            <w:tcW w:w="2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(57,164)</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(164,621)</w:t>
            </w: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Principal payments on debt</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(10,540)</w:t>
            </w:r>
          </w:p>
        </w:tc>
        <w:tc>
          <w:tcPr>
            <w:tcW w:w="7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(10,540)</w:t>
            </w: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paid</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(120,161)</w:t>
            </w:r>
          </w:p>
        </w:tc>
        <w:tc>
          <w:tcPr>
            <w:tcW w:w="7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(212,043)</w:t>
            </w: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Payments of contingent consideration</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(28,170)</w:t>
            </w:r>
          </w:p>
        </w:tc>
        <w:tc>
          <w:tcPr>
            <w:tcW w:w="7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(12,662)</w:t>
            </w: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Distributions paid to noncontrolling interest</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(2,686)</w:t>
            </w:r>
          </w:p>
        </w:tc>
        <w:tc>
          <w:tcPr>
            <w:tcW w:w="7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(4,958)</w:t>
            </w: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Borrowings under revolving credit facility</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139,000</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245,000</w:t>
            </w: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under revolving credit facility</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(203,981)</w:t>
            </w:r>
          </w:p>
        </w:tc>
        <w:tc>
          <w:tcPr>
            <w:tcW w:w="7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(50,000)</w:t>
            </w: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Capital lease payments</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(1,896)</w:t>
            </w:r>
          </w:p>
        </w:tc>
        <w:tc>
          <w:tcPr>
            <w:tcW w:w="7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(2,738)</w:t>
            </w: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for financing costs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(49,462)</w:t>
            </w:r>
          </w:p>
        </w:tc>
        <w:tc>
          <w:tcPr>
            <w:tcW w:w="7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Common stock issuance, net of costs</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21,641</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notes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345,000</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Proceeds from sale of warrants</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50,819</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for bond hedge option</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(70,035)</w:t>
            </w:r>
          </w:p>
        </w:tc>
        <w:tc>
          <w:tcPr>
            <w:tcW w:w="7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Employee stock purchase program</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447</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share settlement</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(1,765)</w:t>
            </w:r>
          </w:p>
        </w:tc>
        <w:tc>
          <w:tcPr>
            <w:tcW w:w="7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(1,575)</w:t>
            </w: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68,211</w:t>
            </w:r>
          </w:p>
        </w:tc>
        <w:tc>
          <w:tcPr>
            <w:tcW w:w="2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(49,516)</w:t>
            </w: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Effect of exchange rates on cash and cash equivalents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w:t>
            </w:r>
          </w:p>
        </w:tc>
        <w:tc>
          <w:tcPr>
            <w:tcW w:w="7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w:t>
            </w:r>
          </w:p>
        </w:tc>
      </w:tr>
      <w:tr>
        <w:trPr>
          <w:trHeight w:val="223"/>
        </w:trPr>
        <w:tc>
          <w:tcPr>
            <w:tcW w:w="7120" w:type="dxa"/>
            <w:vAlign w:val="bottom"/>
          </w:tcPr>
          <w:p>
            <w:pPr>
              <w:ind w:left="260"/>
              <w:spacing w:after="0"/>
              <w:rPr>
                <w:sz w:val="20"/>
                <w:szCs w:val="20"/>
                <w:color w:val="auto"/>
              </w:rPr>
            </w:pPr>
            <w:r>
              <w:rPr>
                <w:rFonts w:ascii="Arial" w:cs="Arial" w:eastAsia="Arial" w:hAnsi="Arial"/>
                <w:sz w:val="18"/>
                <w:szCs w:val="18"/>
                <w:color w:val="auto"/>
              </w:rPr>
              <w:t>Net increase in cash and cash equivalents</w:t>
            </w:r>
          </w:p>
        </w:tc>
        <w:tc>
          <w:tcPr>
            <w:tcW w:w="3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261,368</w:t>
            </w:r>
          </w:p>
        </w:tc>
        <w:tc>
          <w:tcPr>
            <w:tcW w:w="2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16,735</w:t>
            </w: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38,026</w:t>
            </w:r>
          </w:p>
        </w:tc>
        <w:tc>
          <w:tcPr>
            <w:tcW w:w="2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59,765</w:t>
            </w:r>
          </w:p>
        </w:tc>
        <w:tc>
          <w:tcPr>
            <w:tcW w:w="100" w:type="dxa"/>
            <w:vAlign w:val="bottom"/>
            <w:shd w:val="clear" w:color="auto" w:fill="CFF0FC"/>
          </w:tcPr>
          <w:p>
            <w:pPr>
              <w:spacing w:after="0"/>
              <w:rPr>
                <w:sz w:val="19"/>
                <w:szCs w:val="19"/>
                <w:color w:val="auto"/>
              </w:rPr>
            </w:pPr>
          </w:p>
        </w:tc>
      </w:tr>
      <w:tr>
        <w:trPr>
          <w:trHeight w:val="263"/>
        </w:trPr>
        <w:tc>
          <w:tcPr>
            <w:tcW w:w="7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299,394</w:t>
            </w:r>
          </w:p>
        </w:tc>
        <w:tc>
          <w:tcPr>
            <w:tcW w:w="240" w:type="dxa"/>
            <w:vAlign w:val="bottom"/>
            <w:tcBorders>
              <w:bottom w:val="single" w:sz="8" w:color="CFF0FC"/>
            </w:tcBorders>
          </w:tcPr>
          <w:p>
            <w:pPr>
              <w:spacing w:after="0"/>
              <w:rPr>
                <w:sz w:val="22"/>
                <w:szCs w:val="22"/>
                <w:color w:val="auto"/>
              </w:rPr>
            </w:pP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76,500</w:t>
            </w:r>
          </w:p>
        </w:tc>
        <w:tc>
          <w:tcPr>
            <w:tcW w:w="100" w:type="dxa"/>
            <w:vAlign w:val="bottom"/>
            <w:tcBorders>
              <w:bottom w:val="single" w:sz="8" w:color="CFF0FC"/>
            </w:tcBorders>
          </w:tcPr>
          <w:p>
            <w:pPr>
              <w:spacing w:after="0"/>
              <w:rPr>
                <w:sz w:val="22"/>
                <w:szCs w:val="22"/>
                <w:color w:val="auto"/>
              </w:rPr>
            </w:pPr>
          </w:p>
        </w:tc>
      </w:tr>
      <w:tr>
        <w:trPr>
          <w:trHeight w:val="21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Non-cash investing and financing activities:</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3"/>
        </w:trPr>
        <w:tc>
          <w:tcPr>
            <w:tcW w:w="7120" w:type="dxa"/>
            <w:vAlign w:val="bottom"/>
          </w:tcPr>
          <w:p>
            <w:pPr>
              <w:ind w:left="260"/>
              <w:spacing w:after="0"/>
              <w:rPr>
                <w:sz w:val="20"/>
                <w:szCs w:val="20"/>
                <w:color w:val="auto"/>
              </w:rPr>
            </w:pPr>
            <w:r>
              <w:rPr>
                <w:rFonts w:ascii="Arial" w:cs="Arial" w:eastAsia="Arial" w:hAnsi="Arial"/>
                <w:sz w:val="18"/>
                <w:szCs w:val="18"/>
                <w:color w:val="auto"/>
              </w:rPr>
              <w:t>Property and equipment acquired but not yet paid</w:t>
            </w:r>
          </w:p>
        </w:tc>
        <w:tc>
          <w:tcPr>
            <w:tcW w:w="7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19,817</w:t>
            </w:r>
          </w:p>
        </w:tc>
        <w:tc>
          <w:tcPr>
            <w:tcW w:w="240" w:type="dxa"/>
            <w:vAlign w:val="bottom"/>
          </w:tcPr>
          <w:p>
            <w:pPr>
              <w:spacing w:after="0"/>
              <w:rPr>
                <w:sz w:val="21"/>
                <w:szCs w:val="21"/>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15,191</w:t>
            </w:r>
          </w:p>
        </w:tc>
        <w:tc>
          <w:tcPr>
            <w:tcW w:w="100" w:type="dxa"/>
            <w:vAlign w:val="bottom"/>
          </w:tcPr>
          <w:p>
            <w:pPr>
              <w:spacing w:after="0"/>
              <w:rPr>
                <w:sz w:val="21"/>
                <w:szCs w:val="21"/>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Tenant capital improvements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81,137</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92,190</w:t>
            </w:r>
          </w:p>
        </w:tc>
        <w:tc>
          <w:tcPr>
            <w:tcW w:w="100" w:type="dxa"/>
            <w:vAlign w:val="bottom"/>
            <w:shd w:val="clear" w:color="auto" w:fill="CFF0FC"/>
          </w:tcPr>
          <w:p>
            <w:pPr>
              <w:spacing w:after="0"/>
              <w:rPr>
                <w:sz w:val="19"/>
                <w:szCs w:val="19"/>
                <w:color w:val="auto"/>
              </w:rPr>
            </w:pPr>
          </w:p>
        </w:tc>
      </w:tr>
      <w:tr>
        <w:trPr>
          <w:trHeight w:val="243"/>
        </w:trPr>
        <w:tc>
          <w:tcPr>
            <w:tcW w:w="7120" w:type="dxa"/>
            <w:vAlign w:val="bottom"/>
          </w:tcPr>
          <w:p>
            <w:pPr>
              <w:ind w:left="260"/>
              <w:spacing w:after="0"/>
              <w:rPr>
                <w:sz w:val="20"/>
                <w:szCs w:val="20"/>
                <w:color w:val="auto"/>
              </w:rPr>
            </w:pPr>
            <w:r>
              <w:rPr>
                <w:rFonts w:ascii="Arial" w:cs="Arial" w:eastAsia="Arial" w:hAnsi="Arial"/>
                <w:sz w:val="18"/>
                <w:szCs w:val="18"/>
                <w:color w:val="auto"/>
              </w:rPr>
              <w:t>Settlement of contingent consideration through non-cash consideration</w:t>
            </w: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11,178</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43"/>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Exchange of noncontrolling interest through non-cash consideration</w:t>
            </w: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4,260</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0"/>
        </w:trPr>
        <w:tc>
          <w:tcPr>
            <w:tcW w:w="9480" w:type="dxa"/>
            <w:vAlign w:val="bottom"/>
            <w:gridSpan w:val="5"/>
          </w:tcPr>
          <w:p>
            <w:pPr>
              <w:ind w:left="2160"/>
              <w:spacing w:after="0"/>
              <w:rPr>
                <w:sz w:val="20"/>
                <w:szCs w:val="20"/>
                <w:color w:val="auto"/>
              </w:rPr>
            </w:pPr>
            <w:r>
              <w:rPr>
                <w:rFonts w:ascii="Arial" w:cs="Arial" w:eastAsia="Arial" w:hAnsi="Arial"/>
                <w:sz w:val="18"/>
                <w:szCs w:val="18"/>
                <w:color w:val="auto"/>
                <w:w w:val="91"/>
              </w:rPr>
              <w:t>The accompanying notes are an integral part of these condensed consolidated financial statements.</w:t>
            </w:r>
          </w:p>
        </w:tc>
        <w:tc>
          <w:tcPr>
            <w:tcW w:w="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Uniti Group Inc. (the “Company,” “Uniti,” “we,” “us,” or “our”) was incorporated in the state of Maryland on September 4, 2014. We are an internally managed real estate investment trust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 We manage our operations in four separate lines of business: Uniti Fiber, Uniti Towers, Uniti Leasing, and the Consumer CLEC Business.</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operates through a customary “up-REIT” structure, pursuant to which we hold substantially all of our assets through a partnership, Uniti Group LP, a Delaware limited partnership (the “Operating Partnership”), that we control as general partner, with the only significant difference between the financial position and results of operations of the Operating Partnership and its subsidiaries compared to the consolidated financial position and consolidated results of operations of Uniti is that the results for the Operating Partnership and its subsidiaries do not include Uniti’s Consumer CLEC segment, which consists of Talk America Services. The up-REIT structure is intended to facilitate future acquisition opportunities by providing the Company with the ability to use common units of the Operating Partnership as a tax-efficient acquisition currency. As of June 30, 2019, we are the sole general partner of the Operating Partnership and own approximately 98.0% of the partnership interests in the Operating Partnership.</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The accompanying Condensed Consolidated Financial Statements include all accounts of the Company and its wholly owned and/or controlled subsidiaries, which consist of the Operating Partnership. Under the Accounting Standards Codification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(“ASC 810”), the Operating Partnership is considered a variable interest entity and is consolidated in the Condensed Consolidated Financial Statements of Uniti Group Inc. because the Company is the primary beneficiary. All material intercompany balances and transactions have been eliminated.</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ASC 810 provides guidance on the identification of entities for which control is achieved through means other than voting rights (“variable interest entities” or “VIEs”) and the determination of which business enterprise, if any, should consolidate the VIEs. Generally, the consideration of whether an entity is a VIE applies when either: (1) the equity investors (if any) lack (i) the ability to make decisions about the entity’s activities through voting or similar rights, (ii) the obligation to absorb the expected losses of the entity, or (iii) the right to receive the expected residual returns of the entity; (2) the equity investment at risk is insufficient to finance that entity’s activities without additional subordinated financial support; or (3) the equity investors have voting rights that are not proportionate to their economic interests and substantially all of the activities of the entity involve or are conducted on behalf of an investor with a disproportionately small voting interest. The Company consolidates VIEs in which it is considered to be the primary beneficiary. The primary beneficiary is defined as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Accordingly, they do not include all of the information and footnotes required by GAAP for complete financial statements. In the opinion of management, all adjustments (consisting of normal recurring accruals) considered necessary for a fair statement of results for the interim period have been included. Operating results from any interim period are not necessarily indicative of the results that may be expected for the full fiscal year. The accompanying Condensed Consolidated Financial Statements and related notes should be read in conjunction with the audited consolidated financial statements and notes thereto included in our Annual Report on Form 10-K for the year ended December 31, 2018 (“Annual Report”), filed with the SEC on March 18, 2019. Accordingly, significant accounting policies and other disclosures normally provided have been omitted from the accompanying Condensed Consolidated Financial Statements and related notes since such items are disclosed in our Annual Report.</w:t>
      </w:r>
    </w:p>
    <w:p>
      <w:pPr>
        <w:spacing w:after="0" w:line="17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u w:val="single" w:color="auto"/>
          <w:color w:val="auto"/>
        </w:rPr>
        <w:t>Going Concern</w:t>
      </w:r>
      <w:r>
        <w:rPr>
          <w:rFonts w:ascii="Arial" w:cs="Arial" w:eastAsia="Arial" w:hAnsi="Arial"/>
          <w:sz w:val="21"/>
          <w:szCs w:val="21"/>
          <w:color w:val="auto"/>
        </w:rPr>
        <w:t>—</w:t>
      </w:r>
      <w:r>
        <w:rPr>
          <w:rFonts w:ascii="Arial" w:cs="Arial" w:eastAsia="Arial" w:hAnsi="Arial"/>
          <w:sz w:val="18"/>
          <w:szCs w:val="18"/>
          <w:color w:val="auto"/>
        </w:rPr>
        <w:t xml:space="preserve">In accordance with Accounting Standards Update ("ASU") 2014-15, </w:t>
      </w:r>
      <w:r>
        <w:rPr>
          <w:rFonts w:ascii="Arial" w:cs="Arial" w:eastAsia="Arial" w:hAnsi="Arial"/>
          <w:sz w:val="18"/>
          <w:szCs w:val="18"/>
          <w:i w:val="1"/>
          <w:iCs w:val="1"/>
          <w:color w:val="auto"/>
        </w:rPr>
        <w:t>Disclosure of Uncertainties about an Entity's Ability to Continue as a</w:t>
      </w:r>
      <w:r>
        <w:rPr>
          <w:rFonts w:ascii="Arial" w:cs="Arial" w:eastAsia="Arial" w:hAnsi="Arial"/>
          <w:sz w:val="18"/>
          <w:szCs w:val="18"/>
          <w:color w:val="auto"/>
        </w:rPr>
        <w:t xml:space="preserve"> </w:t>
      </w:r>
      <w:r>
        <w:rPr>
          <w:rFonts w:ascii="Arial" w:cs="Arial" w:eastAsia="Arial" w:hAnsi="Arial"/>
          <w:sz w:val="18"/>
          <w:szCs w:val="18"/>
          <w:i w:val="1"/>
          <w:iCs w:val="1"/>
          <w:color w:val="auto"/>
        </w:rPr>
        <w:t>Going Concern (Subtopic 205-40)</w:t>
      </w:r>
      <w:r>
        <w:rPr>
          <w:rFonts w:ascii="Arial" w:cs="Arial" w:eastAsia="Arial" w:hAnsi="Arial"/>
          <w:sz w:val="18"/>
          <w:szCs w:val="18"/>
          <w:color w:val="auto"/>
        </w:rPr>
        <w:t>, the Company’s management has evaluated whether there are conditions and events, considered in the aggregate, that raise</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doubt about the Company’s ability to continue as a going concern within one year after the date the accompanying Condensed Consolidated Financial Statements are issued.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are party to a master lease agreement (the “Master Lease”) with Windstream Holdings, Inc. (“Windstream Holdings” and together with its consolidated subsidiaries “Windstream”), from which 68.2% of our revenue for the year ended December 31, 2018 was derived. Windstream was involved in litigation with an entity who acquired certain Windstream debt securities and thereafter issued a notice of default as to such securities related to our spin-off from Windstream (the “Spin-Off”). Windstream challenged the matter in federal court and a trial was held in July 2018. On February 15, 2019, the federal court judge issued a ruling against Windstream, finding that Windstream’s attempts to waive such default were not valid, that an “event of default” occurred with respect to such debt securities, and that the holder’s acceleration of such debt in December 2017 was effective. In response to the adverse outcome, on February 25, 2019, Windstream filed voluntary petitions for relief under Chapter 11 of the Bankruptcy Code in the U.S. Bankruptcy Court for the Southern District of New York.</w:t>
      </w:r>
    </w:p>
    <w:p>
      <w:pPr>
        <w:spacing w:after="0" w:line="192"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In bankruptcy, Windstream has the option to assume or reject the Master Lease. Because the Master Lease is a single indivisible Master Lease with a single rent payment, it must be assumed or rejected in whole and cannot be sub-divided by facility or market. A significant amount of Windstream’s revenue is generated from the use of our network included in the Master Lease, and we believe that the Master Lease is essential to Windstream’s</w:t>
      </w:r>
    </w:p>
    <w:p>
      <w:pPr>
        <w:ind w:right="20"/>
        <w:spacing w:after="0" w:line="266" w:lineRule="auto"/>
        <w:rPr>
          <w:sz w:val="20"/>
          <w:szCs w:val="20"/>
          <w:color w:val="auto"/>
        </w:rPr>
      </w:pPr>
      <w:r>
        <w:rPr>
          <w:rFonts w:ascii="Arial" w:cs="Arial" w:eastAsia="Arial" w:hAnsi="Arial"/>
          <w:sz w:val="17"/>
          <w:szCs w:val="17"/>
          <w:color w:val="auto"/>
        </w:rPr>
        <w:t>operations. Furthermore, Windstream is designated as a “carrier of last resort” in certain markets where it utilizes the Master Lease to provide service to its customers, and Windstream would require approval from the Public Utility Commissions and the Federal Communications Commission to cease providing service in those markets. As a result, we believe the probability of Windstream rejecting the Master Lease in bankruptcy to be remote. Windstream has filed claims that allege, among other things, that the Master Lease should be recharacterized as a financing transaction, which would impact its treatment in Windstream’s bankruptcy (including potentially through changing our status to that of a creditor that would share in creditor recoveries from the estate rather than receive rent payments) and could affect our status as a REIT, that the Master Lease is a lease of personal property, and that rent payments and tenant capital improvements made by Windstream under the Master Lease since at least the third quarter of 2017 constitute constructive fraudulent transfers. A mediation of these claims is ongoing in Windstream’s bankruptcy. In connection with the mediation, Uniti has agreed to an extension of the assumption deadline for the Master Lease to December 7, 2019. In exchange, Windstream has provided certain assurances regarding the continued payment of rent pursuant to the Master Lease during the extension period and following the expiration of the extension period, Windstream will continue to make payments under the Master Lease as they come due, unless and until Windstream obtains an order from the bankruptcy court permitting cessation of such payments. A rejection of the Master Lease, an adverse determination by a judge on Windstream’s claims, or even a temporary disruption in payments to us, may require us to fund certain expenses and obligations (e.g., real estate taxes, insurance and maintenance expenses) to preserve the value of our properties, and could materially adversely affect our consolidated results of operations, liquidity and financial condition, including our ability to service debt, comply with debt covenants and maintain our status as a REIT. As a result, conditions or events have been identified that raise substantial doubt about the Company’s ability to continue as a going concern.</w:t>
      </w:r>
    </w:p>
    <w:p>
      <w:pPr>
        <w:spacing w:after="0" w:line="19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has considered the mitigating effects of management’s plans to alleviate the substantial doubt about the ability to continue as going concern in the event there is a disruption in the payments due to us under the Master Lease prior to Windstream’s assumption or rejection of the lease or any adverse determinations in respect of Windstream’s claims. Those plans include deferring, reducing or delaying cash dividends and capital expenditures, if necessary, paying one or more dividends that are required to maintain our REIT status in shares to the extent allowed under the IRS REIT rules, curtailing acquisition activities, accessing the capital markets and identifying alternative sources of liquidity. Based on our analysis, including consideration of the timing of petitioners’ requirements to make post-petition lease payments under U.S. bankruptcy law, we believe that we have adequate liquidity to continue to fund our operations for twelve months after the issuance of the accompanying Condensed Consolidated Financial Statements absent any adverse determination in respect to Windstream’s claims or disruptions in rent payments under the Master Lease.</w:t>
      </w:r>
    </w:p>
    <w:p>
      <w:pPr>
        <w:spacing w:after="0" w:line="1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Although management has concluded the probability of a rejection of the Master Lease to be remote, and has noted the absence of any provision in the Master Lease that contemplates renegotiation of the lease and the lack of any ability of the bankruptcy court to unilaterally reset the rent or terms of the lease, it is difficult to predict what could occur in Windstream’s bankruptcy restructuring, including any judicial decisions in respect of claims against us by Windstream or its creditors. The Company has evaluated its ability to continue as a going concern in light of the possibility of a consensual renegotiation of the Master Lease, and the impact of any renegotiated lease on our compliance with our debt covenants. We note that our Credit Agreement prohibits the Company from amending the Master Lease that, among other provisions, pro forma for any such amendment, would result in a consolidated secured leverage ratio that exceeds 5.0 to 1.0. Furthermore, management has no intention to enter into a lease amendment that would violate our debt covenants.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However, there can be no certainty as to the outcome of judicial decisions or Windstream’s decision to assume or reject the Master Lease, and uncertainties exist as to the outcome or impacts of any potential consensual renegotiation of the Master Lease. Therefore, substantial doubt exists about our ability to continue as a going concern within one year after the issuance of the financial statements.</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accompanying Condensed Consolidated Financial Statements have been prepared on a going concern basis, which contemplates the realization of assets and satisfaction of liabilities in the ordinary course of business. The accompanying Condensed Consolidated Financial Statements do not include any adjustments that might be necessary if the Company is unable to continue as a going concern.</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u w:val="single" w:color="auto"/>
          <w:color w:val="auto"/>
        </w:rPr>
        <w:t>Concentration of Credit Risks</w:t>
      </w:r>
      <w:r>
        <w:rPr>
          <w:rFonts w:ascii="Arial" w:cs="Arial" w:eastAsia="Arial" w:hAnsi="Arial"/>
          <w:sz w:val="18"/>
          <w:szCs w:val="18"/>
          <w:color w:val="auto"/>
        </w:rPr>
        <w:t>—Revenue under the Master Lease provided 65.2% and 70.0% of our revenue for the six months ended June 30, 2019 and 2018, respectively. Because a substantial portion of our revenue and cash flows are derived from lease payments by Windstream pursuant to the Master Lease, there could be a material adverse impact on our consolidated results of operations, liquidity, financial condition and/or ability to pay dividends and service debt if Windstream were to default under the Master Lease or otherwise experiences operating or liquidity difficulties and becomes unable to generate sufficient cash to make payments to us.</w:t>
      </w:r>
    </w:p>
    <w:p>
      <w:pPr>
        <w:spacing w:after="0" w:line="188"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Windstream is a publicly traded company and is subject to the periodic filing requirements of the Securities Exchange Act of 1934, as amended. Windstream filings can be found at www.sec.gov. Windstream filings are not incorporated by reference in this Quarterly Report on Form 10-Q.</w:t>
      </w:r>
    </w:p>
    <w:p>
      <w:pPr>
        <w:spacing w:after="0" w:line="14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Straight-Line Revenue Receivable</w:t>
      </w:r>
      <w:r>
        <w:rPr>
          <w:rFonts w:ascii="Arial" w:cs="Arial" w:eastAsia="Arial" w:hAnsi="Arial"/>
          <w:sz w:val="18"/>
          <w:szCs w:val="18"/>
          <w:color w:val="auto"/>
        </w:rPr>
        <w:t xml:space="preserve">—As discussed in “Recently Issued Accounting Standards” in this Note 2, we have adopted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effective January 1, 2019. This standard supersedes prior guidance regarding the evaluation of collectability of lease receivables, including straight-line revenue receivables. We have evaluated the collectability of our straight-line revenue receivable associated with the Master Lease in accordance with ASC 842, and in light of Windstream’s pending bankruptcy, we concluded that the receivable should be written-off. As a result, effective January 1, 2019, the Master Lease will be accounted for on a cash basis in accordance with ASC 842, until a time at which there is more certainty regarding Windstream’s decision to assume or reject the Master Lease. At the adoption of ASC 842, we reflected the write off as a $61.5 million adjustment to equity resulting from the change in accounting standard.</w:t>
      </w:r>
    </w:p>
    <w:p>
      <w:pPr>
        <w:spacing w:after="0" w:line="18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u w:val="single" w:color="auto"/>
          <w:color w:val="auto"/>
        </w:rPr>
        <w:t>Exchangeable Notes and Related Transactions</w:t>
      </w:r>
      <w:r>
        <w:rPr>
          <w:rFonts w:ascii="Arial" w:cs="Arial" w:eastAsia="Arial" w:hAnsi="Arial"/>
          <w:sz w:val="18"/>
          <w:szCs w:val="18"/>
          <w:color w:val="auto"/>
        </w:rPr>
        <w:t xml:space="preserve">—On June 28, 2019, Uniti Fiber Holdings, Inc. (“Uniti Fiber”), a subsidiary of the Company, issued $345 million aggregate principal amount of 4.00% Exchangeable Senior Notes due June 15, 2024 (the “Exchangeable Notes”). The Exchangeable Notes bear interest at a fixed rate of 4.00% per year, payable semiannually in arrears on June 15 and December 15 of each year, beginning on December 15, 2019. The Exchangeable Notes are exchangeable into cash, shares of the Company’s common stock, or a combination thereof, at Uniti Fiber’s election. In accordance with ASC 470-20, </w:t>
      </w:r>
      <w:r>
        <w:rPr>
          <w:rFonts w:ascii="Arial" w:cs="Arial" w:eastAsia="Arial" w:hAnsi="Arial"/>
          <w:sz w:val="18"/>
          <w:szCs w:val="18"/>
          <w:i w:val="1"/>
          <w:iCs w:val="1"/>
          <w:color w:val="auto"/>
        </w:rPr>
        <w:t>Debt – Debt with Conversion and Other Options</w:t>
      </w:r>
      <w:r>
        <w:rPr>
          <w:rFonts w:ascii="Arial" w:cs="Arial" w:eastAsia="Arial" w:hAnsi="Arial"/>
          <w:sz w:val="18"/>
          <w:szCs w:val="18"/>
          <w:color w:val="auto"/>
        </w:rPr>
        <w:t xml:space="preserve">, because the conversion feature in the Exchangeable Notes is not bifurcated pursuant to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and because the conversion can be settled in cash, shares, or a combination thereof, the Exchangeable Notes was separated into a liability component and an equity component in a manner that reflects Uniti Fiber’s non-convertible debt borrowing rate. The carrying amount of the liability component was calculated by measuring the fair value of a similar liability that does not have an associated conversion feature.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Note 11</w:t>
      </w:r>
      <w:r>
        <w:rPr>
          <w:rFonts w:ascii="Arial" w:cs="Arial" w:eastAsia="Arial" w:hAnsi="Arial"/>
          <w:sz w:val="18"/>
          <w:szCs w:val="18"/>
          <w:color w:val="000000"/>
        </w:rPr>
        <w:t>.</w:t>
      </w:r>
    </w:p>
    <w:p>
      <w:pPr>
        <w:spacing w:after="0" w:line="19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connection with the offering of the Exchangeable Notes, Uniti Fiber entered into exchangeable note hedge transactions with respect to the Company’s common stock (the “Note Hedge Transactions”) with certain of the Initial Purchasers (as defined in Note 11) or their respective affiliates (collectively, the “Counterparties”). In addition, the Company entered into warrant transactions to sell to the Counterparties warrants (the “Warrants”) to acquire, subject to anti-dilution adjustments, up to approximately 27.8 million shares of the Company’s common stock in the aggregate at an exercise price of $16.42 per share. The warrant transactions may have a dilutive effect with respect to the Company’s common stock to the extent the market price per share of the Company’s common stock exceeds the strike price of the Warrants. While the Note Hedge Transactions and the Warrants meet the definition of a derivative in ASC 815-10-15-83, they each meet the equity scope exception specified in ASC 815-10-15-74(a); as such, the Warrants and the Notes Hedge Transactions are not accounted for as derivatives that are remeasured each reporting period and instead, are recorded in stockholders’ equity. </w:t>
      </w:r>
      <w:r>
        <w:rPr>
          <w:rFonts w:ascii="Arial" w:cs="Arial" w:eastAsia="Arial" w:hAnsi="Arial"/>
          <w:sz w:val="16"/>
          <w:szCs w:val="16"/>
          <w:u w:val="single" w:color="auto"/>
          <w:color w:val="0000EE"/>
        </w:rPr>
        <w:t>See Note 9</w:t>
      </w:r>
      <w:r>
        <w:rPr>
          <w:rFonts w:ascii="Arial" w:cs="Arial" w:eastAsia="Arial" w:hAnsi="Arial"/>
          <w:sz w:val="16"/>
          <w:szCs w:val="16"/>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Reclassifications</w:t>
      </w:r>
      <w:r>
        <w:rPr>
          <w:rFonts w:ascii="Arial" w:cs="Arial" w:eastAsia="Arial" w:hAnsi="Arial"/>
          <w:sz w:val="17"/>
          <w:szCs w:val="17"/>
          <w:color w:val="auto"/>
        </w:rPr>
        <w:t>—Certain prior year asset categories and related amounts in Note 8 have been reclassified to conform with current year presentation.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u w:val="single" w:color="auto"/>
          <w:color w:val="auto"/>
        </w:rPr>
        <w:t>Leases</w:t>
      </w:r>
      <w:r>
        <w:rPr>
          <w:rFonts w:ascii="Arial" w:cs="Arial" w:eastAsia="Arial" w:hAnsi="Arial"/>
          <w:sz w:val="16"/>
          <w:szCs w:val="16"/>
          <w:color w:val="auto"/>
        </w:rPr>
        <w:t>—Effective January 1, 2019, we account for leases in accordance with ASC 842. The standard requires lessees to apply a dual approach, classifying leases as either finance or operating leases based on the principle of whether or not the lease is effectively a financed purchase by the lessee. This classification will determine whether lease expense is comprised of amortization on the right-of-use asset (“ROU”) and interest expense recognized based on an effective interest method, or as a single lease cost recognized on a straight-line basis over the term of the lease, respectively. A lessee is also required to record a right-of-use asset and a lease liability for all leases with a term of greater than 12 months regardless of their classification. The accounting for lessors remains largely unchanged. Leases with a term of 12 months or less will be accounted for similar to existing guidance for operating leases today.</w:t>
      </w:r>
    </w:p>
    <w:p>
      <w:pPr>
        <w:spacing w:after="0" w:line="16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determine if an arrangement is a lease at contract inception. A lease exists when a contract conveys to the customer the right to control the use of identified property, plant, or equipment for a period of time in exchange for consideration. The definition of a lease embodies two conditions: (i) there is an identified asset in the contract that is land or a depreciable asset (i.e., property, plant, and equipment), and (ii) the customer has the right to control the use of the identified asset.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enter into lease contracts including ground, towers, equipment, office, colocation and fiber lease arrangements, in which we are the lessee, and service contracts that may include embedded leases. Operating leases where we are the lessor are included in Leasing, Fiber Infrastructure and Tower revenues on our Condensed Consolidated Statements of Income.</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From time to time we enter into direct financing lease arrangements that include (i) a lessee obligation to purchase the leased equipment at the end of the lease term, (ii) a bargain purchase option, (iii) a lease term having a duration that is for the major part of the remaining economic life of the leased equipment or</w:t>
      </w:r>
    </w:p>
    <w:p>
      <w:pPr>
        <w:ind w:right="20" w:firstLine="8"/>
        <w:spacing w:after="0" w:line="261" w:lineRule="auto"/>
        <w:tabs>
          <w:tab w:leader="none" w:pos="334"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provides for minimum lease payments with a present value amounting to substantially all of the fair value of the leased asset at the date of lease inception.</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ROU assets and lease liabilities related to operating leases where we are the lessee are included in other assets and accounts payable, accrued expenses and other liabilities, respectively, on our Condensed Consolidated Balance Sheets. The lease liabilities are initially and subsequently measured at the present value of the unpaid lease payments at the lease commencement date.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ROU assets and lease liabilities related to finance leases where we are the lessee are included in property, plant and equipment, net and finance lease obligations, respectively, on our Condensed Consolidated Balance Sheets. The lease liabilities are initially measured in the same manner as operating leases and are subsequently measured at amortized cost using the effective interest method. ROU assets for finance leases are amortized on a straight-line basis over the remaining lease term.</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Key estimates and judgments include how we determined (i) the discount rate we use to discount the unpaid lease payments to present value, (ii) lease term and (iii) lease payments.</w:t>
      </w:r>
    </w:p>
    <w:p>
      <w:pPr>
        <w:spacing w:after="0" w:line="170" w:lineRule="exact"/>
        <w:rPr>
          <w:sz w:val="20"/>
          <w:szCs w:val="20"/>
          <w:color w:val="auto"/>
        </w:rPr>
      </w:pPr>
    </w:p>
    <w:p>
      <w:pPr>
        <w:jc w:val="both"/>
        <w:ind w:left="760" w:hanging="374"/>
        <w:spacing w:after="0" w:line="276"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ASC 842 requires a lessor to discount its unpaid lease payments using the interest rate implicit in the lease and a lessee to discount its unpaid lease payments using the interest rate implicit in the lease or, if that rate cannot be readily determined, its incremental borrowing rate. As we generally do not know the implicit rate for our leases where we are the lessee, we use our incremental borrowing rate based on the information available at commencement date in determining the present value of lease payments. Our incremental borrowing rate for a lease is the rate of interest we would have to pay on a collateralized basis to borrow an amount equal to the lease payments under similar terms.</w:t>
      </w:r>
    </w:p>
    <w:p>
      <w:pPr>
        <w:spacing w:after="0" w:line="172" w:lineRule="exact"/>
        <w:rPr>
          <w:rFonts w:ascii="Arial" w:cs="Arial" w:eastAsia="Arial" w:hAnsi="Arial"/>
          <w:sz w:val="17"/>
          <w:szCs w:val="17"/>
          <w:color w:val="auto"/>
        </w:rPr>
      </w:pPr>
    </w:p>
    <w:p>
      <w:pPr>
        <w:jc w:val="both"/>
        <w:ind w:left="760" w:hanging="374"/>
        <w:spacing w:after="0" w:line="264"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lease term for all of our leases includes the noncancellable period of the lease plus any additional periods covered by either a lessee option to extend (or not to terminate) the lease that the lessee is reasonably certain to exercise, or an option to extend (or not to terminate) the lease controlled by the lessor.</w:t>
      </w:r>
    </w:p>
    <w:p>
      <w:pPr>
        <w:spacing w:after="0" w:line="181" w:lineRule="exact"/>
        <w:rPr>
          <w:rFonts w:ascii="Arial" w:cs="Arial" w:eastAsia="Arial" w:hAnsi="Arial"/>
          <w:sz w:val="18"/>
          <w:szCs w:val="18"/>
          <w:color w:val="auto"/>
        </w:rPr>
      </w:pPr>
    </w:p>
    <w:p>
      <w:pPr>
        <w:jc w:val="both"/>
        <w:ind w:left="760" w:hanging="374"/>
        <w:spacing w:after="0" w:line="264"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Lease payments included in the measurement of the lease asset or liability comprise the following: (i) fixed payments (including in-substance fixed payments), (ii) variable payments that depend on index or rate based on the index or rate at lease commencement, and (iii) the exercise price of a lessee option to purchase the underlying asset if the lessee is reasonably certain to exercise.</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operating leases where we are the lessor, we continue recognizing the underlying asset and depreciating it over its estimated useful life. Lease income is recognized on a straight-line basis over the lease term. Leasing revenue is not recognized when collection of all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contractual rents over the term of the agreement is not probable. When collection is not probable, the lessee is placed on non-accrual status and Leasing revenue is recognized when cash payments are received.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ROU asset is initially measured at cost, which comprises the initial amount of the lease liability adjusted for lease payments made at or before the lease commencement date, plus any initial direct costs incurred less any lease incentives received.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operating leases, the ROU asset is subsequently measured 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finance leases, the ROU asset is subsequently amortized using the straight-line method from the lease commencement date to the earlier of the end of its useful life or the end of the lease term unless the lease transfers ownership of the underlying asset to us, or we are reasonably certain to exercise an option to purchase the underlying asset. In those cases, the ROU asset is amortized over the useful life of the underlying asset. Amortization of the ROU asset is recognized and presented separately from interest expense on the lease liability.</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Variable lease payments associated with our leases are recognized when the event, activity, or circumstance in the lease agreement on which those payments are assessed occurs. Variable lease payments are presented within Leasing, Fiber Infrastructure and Tower revenues and general and administrative expense and operating expense in our Condensed Consolidated Statements of Income in the same line item as revenue arising from fixed lease payments (operating leases where we are the lessor) and expense arising from fixed lease payments (operating leases where we are the lessee) or amortization of the ROU asset (finance leases), respectively.</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monitor for events or changes in circumstances that require a reassessment of a lease. When a reassessment results in the remeasurement of a lease liability, a corresponding adjustment is made to the carrying amount of the corresponding ROU asset unless doing so would reduce the carrying amount of the ROU asset to an amount less than zero. In that case, the amount of the adjustment that would result in a negative ROU asset balance is recorded in profit or loss.</w:t>
      </w:r>
    </w:p>
    <w:p>
      <w:pPr>
        <w:spacing w:after="0" w:line="13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lease agreements which include lease and nonlease components. For both leases where we are a lessor and leases where we are a lessee, we have elected to combine lease and nonlease components for all lease contracts. Nonlease components that are combined with lease components are primarily maintenance services related to the leased asset. Where we are the lessor, we determine whether the lease or nonlease component is the predominant component on a case-by-case basis. For all existing leases where we are the lessor, ASC Topic 842 has been applied to all combined components.</w:t>
      </w:r>
    </w:p>
    <w:p>
      <w:pPr>
        <w:spacing w:after="0" w:line="1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elected not to recognize ROU assets and lease liabilities for all short-term leases that have a lease term of 12 months or less. We recognize the lease payments associated with our short-term leases as an expense on a straight-line basis over the lease term.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have elected to exclude sales taxes from lease payments in arrangements where we are a lessor.</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adopted ASC 842 using a modified retrospective transition approach as of the effective date as permitted by the amendments in ASU 2018-11,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 Target Improvements</w:t>
      </w:r>
      <w:r>
        <w:rPr>
          <w:rFonts w:ascii="Arial" w:cs="Arial" w:eastAsia="Arial" w:hAnsi="Arial"/>
          <w:sz w:val="18"/>
          <w:szCs w:val="18"/>
          <w:color w:val="auto"/>
        </w:rPr>
        <w:t>, which provides an alternative modified retrospective transition method. As a result, we were not required to adjust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comparative period financial information for effects of the standard or make the new required lease disclosures for periods before the date of adoption (i.e. January 1, 2019). We have elected to adopt the package of transition practical expedients and, therefore, have not reassessed (i) whether existing or expired contracts contain a lease, (ii) lease classification for existing or expired leases or (iii) the accounting for initial direct costs that were previously capitalized. We elected the practical expedient to use hindsight for leases existing at the adoption date. Further, we elected to adopt the amendments in ASU 2018-01, </w:t>
      </w:r>
      <w:r>
        <w:rPr>
          <w:rFonts w:ascii="Arial" w:cs="Arial" w:eastAsia="Arial" w:hAnsi="Arial"/>
          <w:sz w:val="18"/>
          <w:szCs w:val="18"/>
          <w:i w:val="1"/>
          <w:iCs w:val="1"/>
          <w:color w:val="auto"/>
        </w:rPr>
        <w:t>Land Easement Practical Expedient for Transition to Topic 842</w:t>
      </w:r>
      <w:r>
        <w:rPr>
          <w:rFonts w:ascii="Arial" w:cs="Arial" w:eastAsia="Arial" w:hAnsi="Arial"/>
          <w:sz w:val="18"/>
          <w:szCs w:val="18"/>
          <w:color w:val="auto"/>
        </w:rPr>
        <w:t>, which permits an entity to elect an optional transaction practical expedient to not evaluate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land easements that exist or expire before the Company’s adoption of ASC 842 and that were not previously accounted for as leases under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840”).</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adoption of ASC 842, we have recorded an adjustment to equity of $63.2 million, net of tax for the cumulative effect from a change in accounting standard. Of this amount, $61.5 million related to the write-off of the Master Lease straight-line revenue receivable, and $1.7 million relates to the establishment of the ROU assets and lease liabilities.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description of principal activities, separated by reportable segments (</w:t>
      </w:r>
      <w:r>
        <w:rPr>
          <w:rFonts w:ascii="Arial" w:cs="Arial" w:eastAsia="Arial" w:hAnsi="Arial"/>
          <w:sz w:val="17"/>
          <w:szCs w:val="17"/>
          <w:u w:val="single" w:color="auto"/>
          <w:color w:val="0000EE"/>
        </w:rPr>
        <w:t>see Note 13</w:t>
      </w:r>
      <w:r>
        <w:rPr>
          <w:rFonts w:ascii="Arial" w:cs="Arial" w:eastAsia="Arial" w:hAnsi="Arial"/>
          <w:sz w:val="17"/>
          <w:szCs w:val="17"/>
          <w:color w:val="auto"/>
        </w:rPr>
        <w:t>), from which the Company generates its revenues.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w:t>
      </w:r>
    </w:p>
    <w:p>
      <w:pPr>
        <w:spacing w:after="0" w:line="225" w:lineRule="exact"/>
        <w:rPr>
          <w:sz w:val="20"/>
          <w:szCs w:val="20"/>
          <w:color w:val="auto"/>
        </w:rPr>
      </w:pPr>
    </w:p>
    <w:p>
      <w:pPr>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Leasing revenue represents the results from our leasing business, Uniti Leasing, which is engaged in the acquisition of mission-critical communications assets and leasing them back to anchor customers on either an exclusive or shared-tenant basis. Due to the nature of these activities, they are outside the scope of the guidance of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(“Topic 606”), and are recognized under other applicable guidance, including ASC 842 and ASC 840 for periods prior to January 1, 2019. </w:t>
      </w:r>
      <w:hyperlink w:anchor="page18">
        <w:r>
          <w:rPr>
            <w:rFonts w:ascii="Arial" w:cs="Arial" w:eastAsia="Arial" w:hAnsi="Arial"/>
            <w:sz w:val="18"/>
            <w:szCs w:val="18"/>
            <w:u w:val="single" w:color="auto"/>
            <w:color w:val="auto"/>
          </w:rPr>
          <w:t>See Note 4</w:t>
        </w:r>
      </w:hyperlink>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3239770</wp:posOffset>
            </wp:positionH>
            <wp:positionV relativeFrom="paragraph">
              <wp:posOffset>-34290</wp:posOffset>
            </wp:positionV>
            <wp:extent cx="501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1650" cy="889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Fiber Infrastructure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Fiber Infrastructure segment represents the operations of our fiber business, Uniti Fiber, which provides (i) consumer, enterprise, wholesale and backhaul lit fiber, (ii) E-rate, (iii) small cell, (iv) construction services, (v) dark fiber and (vi) other revenue generating activities.</w:t>
      </w:r>
    </w:p>
    <w:p>
      <w:pPr>
        <w:spacing w:after="0" w:line="170" w:lineRule="exact"/>
        <w:rPr>
          <w:sz w:val="20"/>
          <w:szCs w:val="20"/>
          <w:color w:val="auto"/>
        </w:rPr>
      </w:pPr>
    </w:p>
    <w:p>
      <w:pPr>
        <w:ind w:left="1140" w:right="40" w:hanging="754"/>
        <w:spacing w:after="0" w:line="259"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Consumer, enterprise, wholesale, and backhaul lit fiber fall under the guidance of Topic 606. Revenue is recognized over the life of the contracts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186" w:lineRule="exact"/>
        <w:rPr>
          <w:rFonts w:ascii="Arial" w:cs="Arial" w:eastAsia="Arial" w:hAnsi="Arial"/>
          <w:sz w:val="18"/>
          <w:szCs w:val="18"/>
          <w:color w:val="auto"/>
        </w:rPr>
      </w:pPr>
    </w:p>
    <w:p>
      <w:pPr>
        <w:ind w:left="1140" w:right="20" w:hanging="754"/>
        <w:spacing w:after="0" w:line="259"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E-rate contracts involve providing lit fiber services to schools and libraries, and is governed by Topic 606. Revenue is recognized over the life of the contract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186" w:lineRule="exact"/>
        <w:rPr>
          <w:rFonts w:ascii="Arial" w:cs="Arial" w:eastAsia="Arial" w:hAnsi="Arial"/>
          <w:sz w:val="18"/>
          <w:szCs w:val="18"/>
          <w:color w:val="auto"/>
        </w:rPr>
      </w:pPr>
    </w:p>
    <w:p>
      <w:pPr>
        <w:ind w:left="1140" w:right="300" w:hanging="754"/>
        <w:spacing w:after="0" w:line="25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Small cell contracts provide improved network connection to areas that may not require or accommodate a tower. Small cell arrangements typically contain five streams of revenue: site development, radio frequency (“RF”) design, dark fiber lease, construction services, and maintenance services. Site development, RF design and construction are each separate services and are considered distinct performance obligations under Topic 606. Dark fiber and associated maintenance services constitute a lease, and as such, they are outside the scope of Topic 606 and are governed by other applicable guidance.</w:t>
      </w:r>
    </w:p>
    <w:p>
      <w:pPr>
        <w:spacing w:after="0" w:line="188" w:lineRule="exact"/>
        <w:rPr>
          <w:rFonts w:ascii="Arial" w:cs="Arial" w:eastAsia="Arial" w:hAnsi="Arial"/>
          <w:sz w:val="18"/>
          <w:szCs w:val="18"/>
          <w:color w:val="auto"/>
        </w:rPr>
      </w:pPr>
    </w:p>
    <w:p>
      <w:pPr>
        <w:ind w:left="1140" w:right="220" w:hanging="754"/>
        <w:spacing w:after="0" w:line="302" w:lineRule="auto"/>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Construction revenue is generated from contracts to provide various construction services such as equipment installation or the laying of fiber. Construction revenue is recognized over time as construction activities occur as we are either enhancing a customer’s owned asset or constructing an asset with no alternative use to us and we would be entitled to our costs plus a reasonable profit margin if the contract was terminated early by the customer. We are utilizing our costs incurred as the measure of progress of satisfying our performance obligation.</w:t>
      </w:r>
    </w:p>
    <w:p>
      <w:pPr>
        <w:spacing w:after="0" w:line="154" w:lineRule="exact"/>
        <w:rPr>
          <w:rFonts w:ascii="Arial" w:cs="Arial" w:eastAsia="Arial" w:hAnsi="Arial"/>
          <w:sz w:val="16"/>
          <w:szCs w:val="16"/>
          <w:color w:val="auto"/>
        </w:rPr>
      </w:pPr>
    </w:p>
    <w:p>
      <w:pPr>
        <w:ind w:left="1140" w:right="120" w:hanging="754"/>
        <w:spacing w:after="0" w:line="259"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Dark fiber arrangements represent operating leases under ASC 842 and are outside the scope of Topic 606. When (i) a customer makes an advance payment or (ii) a customer is contractually obligated to pay any amounts in advance, which is not deemed a separate performance obligation, deferred leasing revenue is recorded. This leasing revenue is recognized ratably over the expected term of the contract, unless the pattern of service suggests otherwise.</w:t>
      </w:r>
    </w:p>
    <w:p>
      <w:pPr>
        <w:spacing w:after="0" w:line="186" w:lineRule="exact"/>
        <w:rPr>
          <w:rFonts w:ascii="Arial" w:cs="Arial" w:eastAsia="Arial" w:hAnsi="Arial"/>
          <w:sz w:val="18"/>
          <w:szCs w:val="18"/>
          <w:color w:val="auto"/>
        </w:rPr>
      </w:pPr>
    </w:p>
    <w:p>
      <w:pPr>
        <w:ind w:left="1140" w:right="80" w:hanging="754"/>
        <w:spacing w:after="0" w:line="283" w:lineRule="auto"/>
        <w:tabs>
          <w:tab w:leader="none" w:pos="1140" w:val="left"/>
        </w:tabs>
        <w:numPr>
          <w:ilvl w:val="0"/>
          <w:numId w:val="7"/>
        </w:numPr>
        <w:rPr>
          <w:rFonts w:ascii="Arial" w:cs="Arial" w:eastAsia="Arial" w:hAnsi="Arial"/>
          <w:sz w:val="19"/>
          <w:szCs w:val="19"/>
          <w:color w:val="auto"/>
        </w:rPr>
      </w:pPr>
      <w:r>
        <w:rPr>
          <w:rFonts w:ascii="Arial" w:cs="Arial" w:eastAsia="Arial" w:hAnsi="Arial"/>
          <w:sz w:val="16"/>
          <w:szCs w:val="16"/>
          <w:color w:val="auto"/>
        </w:rPr>
        <w:t>The Company generates revenues from other services, such as consultation services and equipment sales. Revenue from the sale of customer premise equipment and modems that are not provided as an essential part of the telecommunications services, including broadband, long distance, and enhanced services is recognized when products are delivered to and accepted by the customer. Revenue from customer premise equipment and modems provided as an essential part of the telecommunications services, including broadband, long distance, and enhanced services are recognized over time in a pattern that reflects the satisfaction of the service performance obligation.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Towers</w:t>
      </w:r>
    </w:p>
    <w:p>
      <w:pPr>
        <w:spacing w:after="0" w:line="22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Towers segment represents the operations of our towers business, Uniti Towers, through which we acquire and construct tower and tower-related real estate, which we then lease to our customers in the United States. Revenue from our towers business qualifies as a lease under ASC 842, and ASC 840 for periods prior to January 1, 2019, and is outside the scope of Topic 606.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CLEC</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Consumer CLEC segment represents the operations of Talk America Services (“Talk America”) through which we operate the Consumer CLEC Business, which provides local telephone, high-speed internet and long-distance services to customers in the eastern and central United States. Customers are billed monthly for services rendered based on actual usage or contracted amounts. The transaction price is equal to the monthly-recurring charge multiplied by the initial contract term (typically 12 months), plus any non-recurring or variable charges.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Disaggregation of Revenue</w:t>
            </w:r>
          </w:p>
        </w:tc>
        <w:tc>
          <w:tcPr>
            <w:tcW w:w="3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48"/>
        </w:trPr>
        <w:tc>
          <w:tcPr>
            <w:tcW w:w="6460" w:type="dxa"/>
            <w:vAlign w:val="bottom"/>
            <w:gridSpan w:val="5"/>
          </w:tcPr>
          <w:p>
            <w:pPr>
              <w:spacing w:after="0"/>
              <w:rPr>
                <w:sz w:val="20"/>
                <w:szCs w:val="20"/>
                <w:color w:val="auto"/>
              </w:rPr>
            </w:pPr>
            <w:r>
              <w:rPr>
                <w:rFonts w:ascii="Arial" w:cs="Arial" w:eastAsia="Arial" w:hAnsi="Arial"/>
                <w:sz w:val="18"/>
                <w:szCs w:val="18"/>
                <w:color w:val="auto"/>
              </w:rPr>
              <w:t>The following table presents our revenues disaggregated by revenue stream.</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19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June 30,</w:t>
            </w:r>
          </w:p>
        </w:tc>
        <w:tc>
          <w:tcPr>
            <w:tcW w:w="260" w:type="dxa"/>
            <w:vAlign w:val="bottom"/>
          </w:tcPr>
          <w:p>
            <w:pPr>
              <w:spacing w:after="0"/>
              <w:rPr>
                <w:sz w:val="20"/>
                <w:szCs w:val="20"/>
                <w:color w:val="auto"/>
              </w:rPr>
            </w:pPr>
          </w:p>
        </w:tc>
        <w:tc>
          <w:tcPr>
            <w:tcW w:w="2820" w:type="dxa"/>
            <w:vAlign w:val="bottom"/>
            <w:gridSpan w:val="6"/>
          </w:tcPr>
          <w:p>
            <w:pPr>
              <w:ind w:left="16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r>
      <w:tr>
        <w:trPr>
          <w:trHeight w:val="223"/>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Revenue disaggregated by revenue stream</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Revenue from contracts with customers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9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Fiber Infrastructure</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980" w:type="dxa"/>
            <w:vAlign w:val="bottom"/>
            <w:gridSpan w:val="2"/>
          </w:tcPr>
          <w:p>
            <w:pPr>
              <w:ind w:left="380"/>
              <w:spacing w:after="0"/>
              <w:rPr>
                <w:sz w:val="20"/>
                <w:szCs w:val="20"/>
                <w:color w:val="auto"/>
              </w:rPr>
            </w:pPr>
            <w:r>
              <w:rPr>
                <w:rFonts w:ascii="Arial" w:cs="Arial" w:eastAsia="Arial" w:hAnsi="Arial"/>
                <w:sz w:val="18"/>
                <w:szCs w:val="18"/>
                <w:color w:val="auto"/>
              </w:rPr>
              <w:t>Lit backhaul</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33,401</w:t>
            </w:r>
          </w:p>
        </w:tc>
        <w:tc>
          <w:tcPr>
            <w:tcW w:w="5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33,474</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65,606</w:t>
            </w:r>
          </w:p>
        </w:tc>
        <w:tc>
          <w:tcPr>
            <w:tcW w:w="260" w:type="dxa"/>
            <w:vAlign w:val="bottom"/>
          </w:tcPr>
          <w:p>
            <w:pPr>
              <w:spacing w:after="0"/>
              <w:rPr>
                <w:sz w:val="19"/>
                <w:szCs w:val="19"/>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66,820</w:t>
            </w:r>
          </w:p>
        </w:tc>
        <w:tc>
          <w:tcPr>
            <w:tcW w:w="120" w:type="dxa"/>
            <w:vAlign w:val="bottom"/>
          </w:tcPr>
          <w:p>
            <w:pPr>
              <w:spacing w:after="0"/>
              <w:rPr>
                <w:sz w:val="19"/>
                <w:szCs w:val="19"/>
                <w:color w:val="auto"/>
              </w:rPr>
            </w:pPr>
          </w:p>
        </w:tc>
      </w:tr>
      <w:tr>
        <w:trPr>
          <w:trHeight w:val="230"/>
        </w:trPr>
        <w:tc>
          <w:tcPr>
            <w:tcW w:w="49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Enterprise and wholesale</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19,241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35,970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30,980</w:t>
            </w:r>
          </w:p>
        </w:tc>
        <w:tc>
          <w:tcPr>
            <w:tcW w:w="120" w:type="dxa"/>
            <w:vAlign w:val="bottom"/>
            <w:shd w:val="clear" w:color="auto" w:fill="CFF0FC"/>
          </w:tcPr>
          <w:p>
            <w:pPr>
              <w:spacing w:after="0"/>
              <w:rPr>
                <w:sz w:val="19"/>
                <w:szCs w:val="19"/>
                <w:color w:val="auto"/>
              </w:rPr>
            </w:pPr>
          </w:p>
        </w:tc>
      </w:tr>
      <w:tr>
        <w:trPr>
          <w:trHeight w:val="230"/>
        </w:trPr>
        <w:tc>
          <w:tcPr>
            <w:tcW w:w="4980" w:type="dxa"/>
            <w:vAlign w:val="bottom"/>
            <w:gridSpan w:val="2"/>
          </w:tcPr>
          <w:p>
            <w:pPr>
              <w:ind w:left="380"/>
              <w:spacing w:after="0"/>
              <w:rPr>
                <w:sz w:val="20"/>
                <w:szCs w:val="20"/>
                <w:color w:val="auto"/>
              </w:rPr>
            </w:pPr>
            <w:r>
              <w:rPr>
                <w:rFonts w:ascii="Arial" w:cs="Arial" w:eastAsia="Arial" w:hAnsi="Arial"/>
                <w:sz w:val="18"/>
                <w:szCs w:val="18"/>
                <w:color w:val="auto"/>
              </w:rPr>
              <w:t>E-Rate and government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22,533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14,157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44,528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28,387</w:t>
            </w:r>
          </w:p>
        </w:tc>
        <w:tc>
          <w:tcPr>
            <w:tcW w:w="120" w:type="dxa"/>
            <w:vAlign w:val="bottom"/>
          </w:tcPr>
          <w:p>
            <w:pPr>
              <w:spacing w:after="0"/>
              <w:rPr>
                <w:sz w:val="19"/>
                <w:szCs w:val="19"/>
                <w:color w:val="auto"/>
              </w:rPr>
            </w:pPr>
          </w:p>
        </w:tc>
      </w:tr>
      <w:tr>
        <w:trPr>
          <w:trHeight w:val="230"/>
        </w:trPr>
        <w:tc>
          <w:tcPr>
            <w:tcW w:w="49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1,868</w:t>
            </w:r>
          </w:p>
        </w:tc>
        <w:tc>
          <w:tcPr>
            <w:tcW w:w="120" w:type="dxa"/>
            <w:vAlign w:val="bottom"/>
            <w:shd w:val="clear" w:color="auto" w:fill="CFF0FC"/>
          </w:tcPr>
          <w:p>
            <w:pPr>
              <w:spacing w:after="0"/>
              <w:rPr>
                <w:sz w:val="19"/>
                <w:szCs w:val="19"/>
                <w:color w:val="auto"/>
              </w:rPr>
            </w:pPr>
          </w:p>
        </w:tc>
      </w:tr>
      <w:tr>
        <w:trPr>
          <w:trHeight w:val="223"/>
        </w:trPr>
        <w:tc>
          <w:tcPr>
            <w:tcW w:w="4980" w:type="dxa"/>
            <w:vAlign w:val="bottom"/>
            <w:gridSpan w:val="2"/>
          </w:tcPr>
          <w:p>
            <w:pPr>
              <w:ind w:left="140"/>
              <w:spacing w:after="0"/>
              <w:rPr>
                <w:sz w:val="20"/>
                <w:szCs w:val="20"/>
                <w:color w:val="auto"/>
              </w:rPr>
            </w:pPr>
            <w:r>
              <w:rPr>
                <w:rFonts w:ascii="Arial" w:cs="Arial" w:eastAsia="Arial" w:hAnsi="Arial"/>
                <w:sz w:val="18"/>
                <w:szCs w:val="18"/>
                <w:color w:val="auto"/>
              </w:rPr>
              <w:t>Fiber Infrastructure</w:t>
            </w:r>
          </w:p>
        </w:tc>
        <w:tc>
          <w:tcPr>
            <w:tcW w:w="1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75,849</w:t>
            </w:r>
          </w:p>
        </w:tc>
        <w:tc>
          <w:tcPr>
            <w:tcW w:w="28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64,071</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147,787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128,055</w:t>
            </w:r>
          </w:p>
        </w:tc>
        <w:tc>
          <w:tcPr>
            <w:tcW w:w="120" w:type="dxa"/>
            <w:vAlign w:val="bottom"/>
          </w:tcPr>
          <w:p>
            <w:pPr>
              <w:spacing w:after="0"/>
              <w:rPr>
                <w:sz w:val="19"/>
                <w:szCs w:val="19"/>
                <w:color w:val="auto"/>
              </w:rPr>
            </w:pPr>
          </w:p>
        </w:tc>
      </w:tr>
      <w:tr>
        <w:trPr>
          <w:trHeight w:val="230"/>
        </w:trPr>
        <w:tc>
          <w:tcPr>
            <w:tcW w:w="49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Consumer CLEC</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2,899</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3,583</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7,387</w:t>
            </w:r>
          </w:p>
        </w:tc>
        <w:tc>
          <w:tcPr>
            <w:tcW w:w="120" w:type="dxa"/>
            <w:vAlign w:val="bottom"/>
            <w:shd w:val="clear" w:color="auto" w:fill="CFF0FC"/>
          </w:tcPr>
          <w:p>
            <w:pPr>
              <w:spacing w:after="0"/>
              <w:rPr>
                <w:sz w:val="19"/>
                <w:szCs w:val="19"/>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Total revenue from contracts with customers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78,748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67,654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153,721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135,442</w:t>
            </w:r>
          </w:p>
        </w:tc>
        <w:tc>
          <w:tcPr>
            <w:tcW w:w="120" w:type="dxa"/>
            <w:vAlign w:val="bottom"/>
          </w:tcPr>
          <w:p>
            <w:pPr>
              <w:spacing w:after="0"/>
              <w:rPr>
                <w:sz w:val="19"/>
                <w:szCs w:val="19"/>
                <w:color w:val="auto"/>
              </w:rPr>
            </w:pPr>
          </w:p>
        </w:tc>
      </w:tr>
      <w:tr>
        <w:trPr>
          <w:trHeight w:val="230"/>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 accounted for under other applicable guidance</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185,666</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179,675</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371,724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358,802</w:t>
            </w:r>
          </w:p>
        </w:tc>
        <w:tc>
          <w:tcPr>
            <w:tcW w:w="120" w:type="dxa"/>
            <w:vAlign w:val="bottom"/>
            <w:shd w:val="clear" w:color="auto" w:fill="CFF0FC"/>
          </w:tcPr>
          <w:p>
            <w:pPr>
              <w:spacing w:after="0"/>
              <w:rPr>
                <w:sz w:val="19"/>
                <w:szCs w:val="19"/>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264,414</w:t>
            </w: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247,329</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525,445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494,244</w:t>
            </w:r>
          </w:p>
        </w:tc>
        <w:tc>
          <w:tcPr>
            <w:tcW w:w="120" w:type="dxa"/>
            <w:vAlign w:val="bottom"/>
          </w:tcPr>
          <w:p>
            <w:pPr>
              <w:spacing w:after="0"/>
              <w:rPr>
                <w:sz w:val="19"/>
                <w:szCs w:val="19"/>
                <w:color w:val="auto"/>
              </w:rPr>
            </w:pPr>
          </w:p>
        </w:tc>
      </w:tr>
      <w:tr>
        <w:trPr>
          <w:trHeight w:val="20"/>
        </w:trPr>
        <w:tc>
          <w:tcPr>
            <w:tcW w:w="19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At June 30, 2019, and December 31, 2018, lease receivables were $13.3 million and $45.5 million, respectively, and receivables from contracts with customers were $55.8 million and $57.1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(Unbilled Revenue) and Liabilities (Deferred Revenue)</w:t>
      </w:r>
    </w:p>
    <w:p>
      <w:pPr>
        <w:spacing w:after="0" w:line="22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Contract assets primarily consist of unbilled construction revenue where we are utilizing our costs incurred as the measure of progress of satisfying our performance obligation. When the contract price is invoiced, the related unbilled receivable is reclassified to trade accounts receivable, where the balance will be settled upon the collection of the invoiced amount. Contract liabilities are generally comprised of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 During the three and six months ended June 30, 2019, we recognized revenues of $1.1 million and $2.5 million, respectively, that was included in the December 31, 2018 contract liabilities balance.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accounted for under Topic 606.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26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4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1320" w:type="dxa"/>
            <w:vAlign w:val="bottom"/>
          </w:tcPr>
          <w:p>
            <w:pPr>
              <w:spacing w:after="0"/>
              <w:rPr>
                <w:sz w:val="24"/>
                <w:szCs w:val="24"/>
                <w:color w:val="auto"/>
              </w:rPr>
            </w:pPr>
          </w:p>
        </w:tc>
        <w:tc>
          <w:tcPr>
            <w:tcW w:w="4760" w:type="dxa"/>
            <w:vAlign w:val="bottom"/>
            <w:gridSpan w:val="3"/>
          </w:tcPr>
          <w:p>
            <w:pPr>
              <w:jc w:val="center"/>
              <w:ind w:left="1390"/>
              <w:spacing w:after="0"/>
              <w:rPr>
                <w:sz w:val="20"/>
                <w:szCs w:val="20"/>
                <w:color w:val="auto"/>
              </w:rPr>
            </w:pPr>
            <w:r>
              <w:rPr>
                <w:rFonts w:ascii="Arial" w:cs="Arial" w:eastAsia="Arial" w:hAnsi="Arial"/>
                <w:sz w:val="18"/>
                <w:szCs w:val="18"/>
                <w:b w:val="1"/>
                <w:bCs w:val="1"/>
                <w:color w:val="auto"/>
                <w:w w:val="94"/>
              </w:rPr>
              <w:t>Uniti Group Inc.</w:t>
            </w: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0" w:type="dxa"/>
            <w:vAlign w:val="bottom"/>
            <w:gridSpan w:val="5"/>
          </w:tcPr>
          <w:p>
            <w:pPr>
              <w:jc w:val="center"/>
              <w:ind w:right="580"/>
              <w:spacing w:after="0"/>
              <w:rPr>
                <w:sz w:val="20"/>
                <w:szCs w:val="20"/>
                <w:color w:val="auto"/>
              </w:rPr>
            </w:pPr>
            <w:r>
              <w:rPr>
                <w:rFonts w:ascii="Arial" w:cs="Arial" w:eastAsia="Arial" w:hAnsi="Arial"/>
                <w:sz w:val="18"/>
                <w:szCs w:val="18"/>
                <w:b w:val="1"/>
                <w:bCs w:val="1"/>
                <w:color w:val="auto"/>
                <w:w w:val="88"/>
              </w:rPr>
              <w:t>Notes to the Condensed Consolidated Financial Statements – Continued</w:t>
            </w: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760" w:type="dxa"/>
            <w:vAlign w:val="bottom"/>
            <w:gridSpan w:val="3"/>
          </w:tcPr>
          <w:p>
            <w:pPr>
              <w:jc w:val="center"/>
              <w:ind w:left="1370"/>
              <w:spacing w:after="0"/>
              <w:rPr>
                <w:sz w:val="20"/>
                <w:szCs w:val="20"/>
                <w:color w:val="auto"/>
              </w:rPr>
            </w:pPr>
            <w:r>
              <w:rPr>
                <w:rFonts w:ascii="Arial" w:cs="Arial" w:eastAsia="Arial" w:hAnsi="Arial"/>
                <w:sz w:val="18"/>
                <w:szCs w:val="18"/>
                <w:b w:val="1"/>
                <w:bCs w:val="1"/>
                <w:color w:val="auto"/>
                <w:w w:val="91"/>
              </w:rPr>
              <w:t>(unaudited)</w:t>
            </w: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260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4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2"/>
          </w:tcPr>
          <w:p>
            <w:pPr>
              <w:ind w:left="140"/>
              <w:spacing w:after="0"/>
              <w:rPr>
                <w:sz w:val="20"/>
                <w:szCs w:val="20"/>
                <w:color w:val="auto"/>
              </w:rPr>
            </w:pPr>
            <w:r>
              <w:rPr>
                <w:rFonts w:ascii="Arial" w:cs="Arial" w:eastAsia="Arial" w:hAnsi="Arial"/>
                <w:sz w:val="18"/>
                <w:szCs w:val="18"/>
                <w:b w:val="1"/>
                <w:bCs w:val="1"/>
                <w:color w:val="auto"/>
              </w:rPr>
              <w:t>Contract Assets</w:t>
            </w:r>
          </w:p>
        </w:tc>
        <w:tc>
          <w:tcPr>
            <w:tcW w:w="140" w:type="dxa"/>
            <w:vAlign w:val="bottom"/>
          </w:tcPr>
          <w:p>
            <w:pPr>
              <w:spacing w:after="0"/>
              <w:rPr>
                <w:sz w:val="24"/>
                <w:szCs w:val="24"/>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Contract Liabilities</w:t>
            </w:r>
          </w:p>
        </w:tc>
      </w:tr>
      <w:tr>
        <w:trPr>
          <w:trHeight w:val="223"/>
        </w:trPr>
        <w:tc>
          <w:tcPr>
            <w:tcW w:w="26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43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5,540</w:t>
            </w:r>
          </w:p>
        </w:tc>
        <w:tc>
          <w:tcPr>
            <w:tcW w:w="3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15,473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600" w:type="dxa"/>
            <w:vAlign w:val="bottom"/>
            <w:gridSpan w:val="2"/>
          </w:tcPr>
          <w:p>
            <w:pPr>
              <w:spacing w:after="0"/>
              <w:rPr>
                <w:sz w:val="20"/>
                <w:szCs w:val="20"/>
                <w:color w:val="auto"/>
              </w:rPr>
            </w:pPr>
            <w:r>
              <w:rPr>
                <w:rFonts w:ascii="Arial" w:cs="Arial" w:eastAsia="Arial" w:hAnsi="Arial"/>
                <w:sz w:val="18"/>
                <w:szCs w:val="18"/>
                <w:color w:val="auto"/>
              </w:rPr>
              <w:t>Balance at June 30, 2019</w:t>
            </w:r>
          </w:p>
        </w:tc>
        <w:tc>
          <w:tcPr>
            <w:tcW w:w="476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10,092</w:t>
            </w:r>
          </w:p>
        </w:tc>
        <w:tc>
          <w:tcPr>
            <w:tcW w:w="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12,859</w:t>
            </w:r>
          </w:p>
        </w:tc>
        <w:tc>
          <w:tcPr>
            <w:tcW w:w="10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Price Allocated to Remaining Performance Obligations</w:t>
      </w:r>
    </w:p>
    <w:p>
      <w:pPr>
        <w:spacing w:after="0" w:line="22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Performance obligations within contracts to stand ready to provide services are typically satisfied over time or as those services are provided. Contract liabilities primarily relate to deferred revenue from upfront customer payments. The deferred revenue is recognized, and the liability reduced, over the contract term as the Company completes the performance obligation. As of June 30, 2019, our future revenues (i.e., transaction price related to remaining performance obligations) under contract accounted for under Topic 606 totaled $588.0 million, of which $513.2 million is related to contracts that are currently being invoiced and have an average remaining contract term of 2.3 years, while $74.8 million represents our backlog for sales bookings which have yet to be installed and have an average remaining contract term of 4.2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Practical Expedients and Exemptions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do not disclose the value of unsatisfied performance obligations for contracts that have an original expected duration of one year or less.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exclude from the transaction price any amounts collected from customers for sales taxes and therefore, such amounts are not included in revenue.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lease communications towers, ground, communications equipment, office and dark fiber lease arrangements to tenants under operating leases. Our leases have initial lease terms ranging from five to 20 years, most of which includes options to extend or renew the leases for five to 80 years (based on the satisfaction of certain conditions as defined in the lease agreements), and some of which may include options to terminate the leases within one to six months. Certain lease agreements contain provisions for future rent increases. Payments due under the lease contracts include fixed payments plus, for some of our leases, variable payments.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income for the three and six months ended June 30, 2019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4"/>
                <w:szCs w:val="14"/>
                <w:color w:val="auto"/>
              </w:rPr>
            </w:pPr>
          </w:p>
        </w:tc>
        <w:tc>
          <w:tcPr>
            <w:tcW w:w="1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70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20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June 30, 2019</w:t>
            </w:r>
          </w:p>
        </w:tc>
        <w:tc>
          <w:tcPr>
            <w:tcW w:w="260" w:type="dxa"/>
            <w:vAlign w:val="bottom"/>
          </w:tcPr>
          <w:p>
            <w:pPr>
              <w:spacing w:after="0"/>
              <w:rPr>
                <w:sz w:val="14"/>
                <w:szCs w:val="14"/>
                <w:color w:val="auto"/>
              </w:rPr>
            </w:pPr>
          </w:p>
        </w:tc>
        <w:tc>
          <w:tcPr>
            <w:tcW w:w="1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2019</w:t>
            </w:r>
          </w:p>
        </w:tc>
      </w:tr>
      <w:tr>
        <w:trPr>
          <w:trHeight w:val="223"/>
        </w:trPr>
        <w:tc>
          <w:tcPr>
            <w:tcW w:w="6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Lease income - operating leases</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185,666</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371,724</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Lease payments to be received under non-cancellable operating leases where we are the lessor for the remainder of the lease terms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ind w:right="392"/>
              <w:spacing w:after="0"/>
              <w:rPr>
                <w:sz w:val="20"/>
                <w:szCs w:val="20"/>
                <w:color w:val="auto"/>
              </w:rPr>
            </w:pPr>
            <w:r>
              <w:rPr>
                <w:rFonts w:ascii="Arial" w:cs="Arial" w:eastAsia="Arial" w:hAnsi="Arial"/>
                <w:sz w:val="14"/>
                <w:szCs w:val="14"/>
                <w:b w:val="1"/>
                <w:bCs w:val="1"/>
                <w:color w:val="auto"/>
              </w:rPr>
              <w:t xml:space="preserve">June 30, 2019 </w:t>
            </w:r>
            <w:r>
              <w:rPr>
                <w:rFonts w:ascii="Arial" w:cs="Arial" w:eastAsia="Arial" w:hAnsi="Arial"/>
                <w:sz w:val="12"/>
                <w:szCs w:val="12"/>
                <w:b w:val="1"/>
                <w:bCs w:val="1"/>
                <w:color w:val="auto"/>
              </w:rPr>
              <w:t>(1)</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2"/>
          </w:tcPr>
          <w:p>
            <w:pPr>
              <w:ind w:left="120"/>
              <w:spacing w:after="0"/>
              <w:rPr>
                <w:sz w:val="20"/>
                <w:szCs w:val="20"/>
                <w:color w:val="auto"/>
              </w:rPr>
            </w:pPr>
            <w:r>
              <w:rPr>
                <w:rFonts w:ascii="Arial" w:cs="Arial" w:eastAsia="Arial" w:hAnsi="Arial"/>
                <w:sz w:val="14"/>
                <w:szCs w:val="14"/>
                <w:b w:val="1"/>
                <w:bCs w:val="1"/>
                <w:color w:val="auto"/>
              </w:rPr>
              <w:t xml:space="preserve">December 31, 2018 </w:t>
            </w:r>
            <w:r>
              <w:rPr>
                <w:rFonts w:ascii="Arial" w:cs="Arial" w:eastAsia="Arial" w:hAnsi="Arial"/>
                <w:sz w:val="12"/>
                <w:szCs w:val="12"/>
                <w:b w:val="1"/>
                <w:bCs w:val="1"/>
                <w:color w:val="auto"/>
              </w:rPr>
              <w:t>(2)</w:t>
            </w:r>
          </w:p>
        </w:tc>
      </w:tr>
      <w:tr>
        <w:trPr>
          <w:trHeight w:val="223"/>
        </w:trPr>
        <w:tc>
          <w:tcPr>
            <w:tcW w:w="6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351,179</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724,269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705,063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693,596</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708,110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696,713</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710,922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699,561</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713,902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702,663</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4,761,525</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4,706,951</w:t>
            </w:r>
          </w:p>
        </w:tc>
        <w:tc>
          <w:tcPr>
            <w:tcW w:w="120" w:type="dxa"/>
            <w:vAlign w:val="bottom"/>
            <w:tcBorders>
              <w:bottom w:val="single" w:sz="8" w:color="CFF0FC"/>
            </w:tcBorders>
          </w:tcPr>
          <w:p>
            <w:pPr>
              <w:spacing w:after="0"/>
              <w:rPr>
                <w:sz w:val="19"/>
                <w:szCs w:val="19"/>
                <w:color w:val="auto"/>
              </w:rPr>
            </w:pPr>
          </w:p>
        </w:tc>
      </w:tr>
      <w:tr>
        <w:trPr>
          <w:trHeight w:val="223"/>
        </w:trPr>
        <w:tc>
          <w:tcPr>
            <w:tcW w:w="6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receivables</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7,950,701</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8,223,753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5"/>
          <w:szCs w:val="15"/>
          <w:color w:val="auto"/>
        </w:rPr>
      </w:pPr>
      <w:r>
        <w:rPr>
          <w:rFonts w:ascii="Arial" w:cs="Arial" w:eastAsia="Arial" w:hAnsi="Arial"/>
          <w:sz w:val="18"/>
          <w:szCs w:val="18"/>
          <w:color w:val="auto"/>
        </w:rPr>
        <w:t>Total future minimum lease payments to be received include $7.3 billion relating to the Master Lease with Windstream.</w:t>
      </w:r>
    </w:p>
    <w:p>
      <w:pPr>
        <w:spacing w:after="0" w:line="36" w:lineRule="exact"/>
        <w:rPr>
          <w:rFonts w:ascii="Arial" w:cs="Arial" w:eastAsia="Arial" w:hAnsi="Arial"/>
          <w:sz w:val="15"/>
          <w:szCs w:val="15"/>
          <w:color w:val="auto"/>
        </w:rPr>
      </w:pPr>
    </w:p>
    <w:p>
      <w:pPr>
        <w:ind w:left="240" w:hanging="232"/>
        <w:spacing w:after="0"/>
        <w:tabs>
          <w:tab w:leader="none" w:pos="240" w:val="left"/>
        </w:tabs>
        <w:numPr>
          <w:ilvl w:val="0"/>
          <w:numId w:val="8"/>
        </w:numPr>
        <w:rPr>
          <w:rFonts w:ascii="Arial" w:cs="Arial" w:eastAsia="Arial" w:hAnsi="Arial"/>
          <w:sz w:val="15"/>
          <w:szCs w:val="15"/>
          <w:color w:val="auto"/>
        </w:rPr>
      </w:pPr>
      <w:r>
        <w:rPr>
          <w:rFonts w:ascii="Arial" w:cs="Arial" w:eastAsia="Arial" w:hAnsi="Arial"/>
          <w:sz w:val="18"/>
          <w:szCs w:val="18"/>
          <w:color w:val="auto"/>
        </w:rPr>
        <w:t>Prior period amounts have not been adjusted under the modified retrospective transition approach.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gridSpan w:val="2"/>
          </w:tcPr>
          <w:p>
            <w:pPr>
              <w:jc w:val="center"/>
              <w:ind w:left="2451"/>
              <w:spacing w:after="0"/>
              <w:rPr>
                <w:sz w:val="20"/>
                <w:szCs w:val="20"/>
                <w:color w:val="auto"/>
              </w:rPr>
            </w:pPr>
            <w:r>
              <w:rPr>
                <w:rFonts w:ascii="Arial" w:cs="Arial" w:eastAsia="Arial" w:hAnsi="Arial"/>
                <w:sz w:val="18"/>
                <w:szCs w:val="18"/>
                <w:b w:val="1"/>
                <w:bCs w:val="1"/>
                <w:color w:val="auto"/>
                <w:w w:val="94"/>
              </w:rPr>
              <w:t>Uniti Group Inc.</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00" w:type="dxa"/>
            <w:vAlign w:val="bottom"/>
            <w:gridSpan w:val="2"/>
          </w:tcPr>
          <w:p>
            <w:pPr>
              <w:jc w:val="center"/>
              <w:ind w:left="2431"/>
              <w:spacing w:after="0"/>
              <w:rPr>
                <w:sz w:val="20"/>
                <w:szCs w:val="20"/>
                <w:color w:val="auto"/>
              </w:rPr>
            </w:pPr>
            <w:r>
              <w:rPr>
                <w:rFonts w:ascii="Arial" w:cs="Arial" w:eastAsia="Arial" w:hAnsi="Arial"/>
                <w:sz w:val="18"/>
                <w:szCs w:val="18"/>
                <w:b w:val="1"/>
                <w:bCs w:val="1"/>
                <w:color w:val="auto"/>
                <w:w w:val="88"/>
              </w:rPr>
              <w:t>Notes to the Condensed Consolidated Financial Statements – Continued</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8900" w:type="dxa"/>
            <w:vAlign w:val="bottom"/>
            <w:gridSpan w:val="2"/>
          </w:tcPr>
          <w:p>
            <w:pPr>
              <w:jc w:val="center"/>
              <w:ind w:left="2431"/>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8900" w:type="dxa"/>
            <w:vAlign w:val="bottom"/>
            <w:gridSpan w:val="2"/>
          </w:tcPr>
          <w:p>
            <w:pPr>
              <w:spacing w:after="0"/>
              <w:rPr>
                <w:sz w:val="20"/>
                <w:szCs w:val="20"/>
                <w:color w:val="auto"/>
              </w:rPr>
            </w:pPr>
            <w:r>
              <w:rPr>
                <w:rFonts w:ascii="Arial" w:cs="Arial" w:eastAsia="Arial" w:hAnsi="Arial"/>
                <w:sz w:val="18"/>
                <w:szCs w:val="18"/>
                <w:color w:val="auto"/>
                <w:w w:val="93"/>
              </w:rPr>
              <w:t>The underlying assets under operating leases where we are the lessor as of June 30, 2019 are summarized as follows:</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890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June 30, 2019</w:t>
            </w:r>
          </w:p>
        </w:tc>
      </w:tr>
      <w:tr>
        <w:trPr>
          <w:trHeight w:val="223"/>
        </w:trPr>
        <w:tc>
          <w:tcPr>
            <w:tcW w:w="8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90"/>
              <w:spacing w:after="0"/>
              <w:rPr>
                <w:sz w:val="20"/>
                <w:szCs w:val="20"/>
                <w:color w:val="auto"/>
              </w:rPr>
            </w:pPr>
            <w:r>
              <w:rPr>
                <w:rFonts w:ascii="Arial" w:cs="Arial" w:eastAsia="Arial" w:hAnsi="Arial"/>
                <w:sz w:val="10"/>
                <w:szCs w:val="10"/>
                <w:color w:val="auto"/>
                <w:w w:val="71"/>
              </w:rPr>
              <w:t>$</w:t>
            </w: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26,672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Building and improvements</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332,158</w:t>
            </w:r>
          </w:p>
        </w:tc>
        <w:tc>
          <w:tcPr>
            <w:tcW w:w="120" w:type="dxa"/>
            <w:vAlign w:val="bottom"/>
          </w:tcPr>
          <w:p>
            <w:pPr>
              <w:spacing w:after="0"/>
              <w:rPr>
                <w:sz w:val="19"/>
                <w:szCs w:val="19"/>
                <w:color w:val="auto"/>
              </w:rPr>
            </w:pPr>
          </w:p>
        </w:tc>
      </w:tr>
      <w:tr>
        <w:trPr>
          <w:trHeight w:val="230"/>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property interest</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Poles</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255,103</w:t>
            </w:r>
          </w:p>
        </w:tc>
        <w:tc>
          <w:tcPr>
            <w:tcW w:w="120" w:type="dxa"/>
            <w:vAlign w:val="bottom"/>
          </w:tcPr>
          <w:p>
            <w:pPr>
              <w:spacing w:after="0"/>
              <w:rPr>
                <w:sz w:val="19"/>
                <w:szCs w:val="19"/>
                <w:color w:val="auto"/>
              </w:rPr>
            </w:pPr>
          </w:p>
        </w:tc>
      </w:tr>
      <w:tr>
        <w:trPr>
          <w:trHeight w:val="230"/>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Fiber</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2,594,530</w:t>
            </w:r>
          </w:p>
        </w:tc>
        <w:tc>
          <w:tcPr>
            <w:tcW w:w="120" w:type="dxa"/>
            <w:vAlign w:val="bottom"/>
            <w:shd w:val="clear" w:color="auto" w:fill="CFF0FC"/>
          </w:tcPr>
          <w:p>
            <w:pPr>
              <w:spacing w:after="0"/>
              <w:rPr>
                <w:sz w:val="19"/>
                <w:szCs w:val="19"/>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r>
      <w:tr>
        <w:trPr>
          <w:trHeight w:val="230"/>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Copper</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3,756,760</w:t>
            </w:r>
          </w:p>
        </w:tc>
        <w:tc>
          <w:tcPr>
            <w:tcW w:w="120" w:type="dxa"/>
            <w:vAlign w:val="bottom"/>
            <w:shd w:val="clear" w:color="auto" w:fill="CFF0FC"/>
          </w:tcPr>
          <w:p>
            <w:pPr>
              <w:spacing w:after="0"/>
              <w:rPr>
                <w:sz w:val="19"/>
                <w:szCs w:val="19"/>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Conduit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89,768</w:t>
            </w:r>
          </w:p>
        </w:tc>
        <w:tc>
          <w:tcPr>
            <w:tcW w:w="120" w:type="dxa"/>
            <w:vAlign w:val="bottom"/>
          </w:tcPr>
          <w:p>
            <w:pPr>
              <w:spacing w:after="0"/>
              <w:rPr>
                <w:sz w:val="19"/>
                <w:szCs w:val="19"/>
                <w:color w:val="auto"/>
              </w:rPr>
            </w:pPr>
          </w:p>
        </w:tc>
      </w:tr>
      <w:tr>
        <w:trPr>
          <w:trHeight w:val="230"/>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Tower assets</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127,289</w:t>
            </w:r>
          </w:p>
        </w:tc>
        <w:tc>
          <w:tcPr>
            <w:tcW w:w="120" w:type="dxa"/>
            <w:vAlign w:val="bottom"/>
            <w:shd w:val="clear" w:color="auto" w:fill="CFF0FC"/>
          </w:tcPr>
          <w:p>
            <w:pPr>
              <w:spacing w:after="0"/>
              <w:rPr>
                <w:sz w:val="19"/>
                <w:szCs w:val="19"/>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Capital lease assets</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10,276</w:t>
            </w:r>
          </w:p>
        </w:tc>
        <w:tc>
          <w:tcPr>
            <w:tcW w:w="120" w:type="dxa"/>
            <w:vAlign w:val="bottom"/>
          </w:tcPr>
          <w:p>
            <w:pPr>
              <w:spacing w:after="0"/>
              <w:rPr>
                <w:sz w:val="19"/>
                <w:szCs w:val="19"/>
                <w:color w:val="auto"/>
              </w:rPr>
            </w:pPr>
          </w:p>
        </w:tc>
      </w:tr>
      <w:tr>
        <w:trPr>
          <w:trHeight w:val="230"/>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26,581</w:t>
            </w:r>
          </w:p>
        </w:tc>
        <w:tc>
          <w:tcPr>
            <w:tcW w:w="120" w:type="dxa"/>
            <w:vAlign w:val="bottom"/>
            <w:shd w:val="clear" w:color="auto" w:fill="CFF0FC"/>
          </w:tcPr>
          <w:p>
            <w:pPr>
              <w:spacing w:after="0"/>
              <w:rPr>
                <w:sz w:val="19"/>
                <w:szCs w:val="19"/>
                <w:color w:val="auto"/>
              </w:rPr>
            </w:pPr>
          </w:p>
        </w:tc>
      </w:tr>
      <w:tr>
        <w:trPr>
          <w:trHeight w:val="223"/>
        </w:trPr>
        <w:tc>
          <w:tcPr>
            <w:tcW w:w="8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7,219,339</w:t>
            </w:r>
          </w:p>
        </w:tc>
        <w:tc>
          <w:tcPr>
            <w:tcW w:w="120" w:type="dxa"/>
            <w:vAlign w:val="bottom"/>
          </w:tcPr>
          <w:p>
            <w:pPr>
              <w:spacing w:after="0"/>
              <w:rPr>
                <w:sz w:val="19"/>
                <w:szCs w:val="19"/>
                <w:color w:val="auto"/>
              </w:rPr>
            </w:pPr>
          </w:p>
        </w:tc>
      </w:tr>
      <w:tr>
        <w:trPr>
          <w:trHeight w:val="230"/>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(4,889,425)</w:t>
            </w: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color w:val="auto"/>
              </w:rPr>
              <w:t>Underlying assets under operating leases, net</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2,329,914</w:t>
            </w:r>
          </w:p>
        </w:tc>
        <w:tc>
          <w:tcPr>
            <w:tcW w:w="12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920"/>
        <w:spacing w:after="0" w:line="258" w:lineRule="auto"/>
        <w:rPr>
          <w:sz w:val="20"/>
          <w:szCs w:val="20"/>
          <w:color w:val="auto"/>
        </w:rPr>
      </w:pPr>
      <w:r>
        <w:rPr>
          <w:rFonts w:ascii="Arial" w:cs="Arial" w:eastAsia="Arial" w:hAnsi="Arial"/>
          <w:sz w:val="18"/>
          <w:szCs w:val="18"/>
          <w:color w:val="auto"/>
        </w:rPr>
        <w:t>Depreciation expense for the underlying assets under operating leases where we are the lessor for the three and six months ended June 30, 2019 is summarized as follows:</w:t>
      </w:r>
    </w:p>
    <w:tbl>
      <w:tblPr>
        <w:tblLayout w:type="fixed"/>
        <w:tblInd w:w="0" w:type="dxa"/>
        <w:tblCellMar>
          <w:top w:w="0" w:type="dxa"/>
          <w:left w:w="0" w:type="dxa"/>
          <w:bottom w:w="0" w:type="dxa"/>
          <w:right w:w="0" w:type="dxa"/>
        </w:tblCellMar>
      </w:tblPr>
      <w:tr>
        <w:trPr>
          <w:trHeight w:val="141"/>
        </w:trPr>
        <w:tc>
          <w:tcPr>
            <w:tcW w:w="6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gridSpan w:val="2"/>
          </w:tcPr>
          <w:p>
            <w:pPr>
              <w:jc w:val="center"/>
              <w:ind w:right="500"/>
              <w:spacing w:after="0" w:line="141" w:lineRule="exact"/>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2"/>
                <w:szCs w:val="12"/>
                <w:color w:val="auto"/>
              </w:rPr>
            </w:pPr>
          </w:p>
        </w:tc>
        <w:tc>
          <w:tcPr>
            <w:tcW w:w="1820" w:type="dxa"/>
            <w:vAlign w:val="bottom"/>
            <w:gridSpan w:val="2"/>
          </w:tcPr>
          <w:p>
            <w:pPr>
              <w:jc w:val="center"/>
              <w:ind w:right="380"/>
              <w:spacing w:after="0" w:line="141" w:lineRule="exact"/>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70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20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June 30, 2019</w:t>
            </w:r>
          </w:p>
        </w:tc>
        <w:tc>
          <w:tcPr>
            <w:tcW w:w="260" w:type="dxa"/>
            <w:vAlign w:val="bottom"/>
          </w:tcPr>
          <w:p>
            <w:pPr>
              <w:spacing w:after="0"/>
              <w:rPr>
                <w:sz w:val="14"/>
                <w:szCs w:val="14"/>
                <w:color w:val="auto"/>
              </w:rPr>
            </w:pPr>
          </w:p>
        </w:tc>
        <w:tc>
          <w:tcPr>
            <w:tcW w:w="1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2019</w:t>
            </w:r>
          </w:p>
        </w:tc>
      </w:tr>
      <w:tr>
        <w:trPr>
          <w:trHeight w:val="223"/>
        </w:trPr>
        <w:tc>
          <w:tcPr>
            <w:tcW w:w="6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Depreciation expense for underlying assets under operating leases</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75,093</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151,367</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commitments under operating leases for communications towers, ground, colocation and dark fiber lease arrangements. We also have finance leases for dark fiber lease arrangements and other communications equipment. Our leases have initial lease terms ranging from less than one year to 30 years, most of which includes options to extend or renew the leases for less than one year to 85 years, and some of which may include options to terminate the leases within one to six months. Certain lease agreements contain provisions for future rent increases. Payments due under the lease contracts include fixed payments plus, for some of our leases, variable payments.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2019, we have short term lease commitments amounting to approximately $1.8 million, for colocation and dark fiber arrangements.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 for the three and six months ended June 30, 2019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20"/>
                <w:szCs w:val="20"/>
                <w:color w:val="auto"/>
              </w:rPr>
            </w:pPr>
            <w:r>
              <w:rPr>
                <w:rFonts w:ascii="Arial" w:cs="Arial" w:eastAsia="Arial" w:hAnsi="Arial"/>
                <w:sz w:val="14"/>
                <w:szCs w:val="14"/>
                <w:color w:val="auto"/>
              </w:rPr>
              <w:t>(Thousands)</w:t>
            </w:r>
          </w:p>
        </w:tc>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14"/>
                <w:szCs w:val="14"/>
                <w:color w:val="auto"/>
              </w:rPr>
            </w:pPr>
          </w:p>
        </w:tc>
        <w:tc>
          <w:tcPr>
            <w:tcW w:w="18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223"/>
        </w:trPr>
        <w:tc>
          <w:tcPr>
            <w:tcW w:w="3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i w:val="1"/>
                <w:iCs w:val="1"/>
                <w:color w:val="auto"/>
              </w:rPr>
              <w:t>Finance lease cost</w:t>
            </w:r>
          </w:p>
        </w:tc>
        <w:tc>
          <w:tcPr>
            <w:tcW w:w="30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Amortization of ROU assets</w:t>
            </w:r>
          </w:p>
        </w:tc>
        <w:tc>
          <w:tcPr>
            <w:tcW w:w="34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890</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Interest on lease liabilities</w:t>
            </w:r>
          </w:p>
        </w:tc>
        <w:tc>
          <w:tcPr>
            <w:tcW w:w="3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240"/>
              <w:spacing w:after="0"/>
              <w:rPr>
                <w:sz w:val="20"/>
                <w:szCs w:val="20"/>
                <w:color w:val="auto"/>
              </w:rPr>
            </w:pPr>
            <w:r>
              <w:rPr>
                <w:rFonts w:ascii="Arial" w:cs="Arial" w:eastAsia="Arial" w:hAnsi="Arial"/>
                <w:sz w:val="18"/>
                <w:szCs w:val="18"/>
                <w:color w:val="auto"/>
              </w:rPr>
              <w:t>Total finance lease cost</w:t>
            </w:r>
          </w:p>
        </w:tc>
        <w:tc>
          <w:tcPr>
            <w:tcW w:w="3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1,442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3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Short-term lease cost</w:t>
            </w:r>
          </w:p>
        </w:tc>
        <w:tc>
          <w:tcPr>
            <w:tcW w:w="3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467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3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Less sublease income</w:t>
            </w:r>
          </w:p>
        </w:tc>
        <w:tc>
          <w:tcPr>
            <w:tcW w:w="3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gridSpan w:val="2"/>
          </w:tcPr>
          <w:p>
            <w:pPr>
              <w:jc w:val="right"/>
              <w:ind w:right="240"/>
              <w:spacing w:after="0"/>
              <w:rPr>
                <w:sz w:val="20"/>
                <w:szCs w:val="20"/>
                <w:color w:val="auto"/>
              </w:rPr>
            </w:pPr>
            <w:r>
              <w:rPr>
                <w:rFonts w:ascii="Arial" w:cs="Arial" w:eastAsia="Arial" w:hAnsi="Arial"/>
                <w:sz w:val="18"/>
                <w:szCs w:val="18"/>
                <w:color w:val="auto"/>
              </w:rPr>
              <w:t>(2,633)</w:t>
            </w:r>
          </w:p>
        </w:tc>
        <w:tc>
          <w:tcPr>
            <w:tcW w:w="260" w:type="dxa"/>
            <w:vAlign w:val="bottom"/>
          </w:tcPr>
          <w:p>
            <w:pPr>
              <w:spacing w:after="0"/>
              <w:rPr>
                <w:sz w:val="19"/>
                <w:szCs w:val="19"/>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(5,378)</w:t>
            </w: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30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12,579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060" w:type="dxa"/>
            <w:vAlign w:val="bottom"/>
            <w:vMerge w:val="restart"/>
          </w:tcPr>
          <w:p>
            <w:pPr>
              <w:jc w:val="right"/>
              <w:ind w:right="101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84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Amounts reported in the Condensed Consolidated Balance Sheets for leases where we are the lessee as of June 30, 2019 were as follows:</w:t>
      </w:r>
    </w:p>
    <w:p>
      <w:pPr>
        <w:spacing w:after="0" w:line="134" w:lineRule="exact"/>
        <w:rPr>
          <w:sz w:val="20"/>
          <w:szCs w:val="20"/>
          <w:color w:val="auto"/>
        </w:rPr>
      </w:pPr>
    </w:p>
    <w:p>
      <w:pPr>
        <w:spacing w:after="0"/>
        <w:tabs>
          <w:tab w:leader="none" w:pos="5900" w:val="left"/>
          <w:tab w:leader="none" w:pos="9900" w:val="left"/>
        </w:tabs>
        <w:rPr>
          <w:sz w:val="20"/>
          <w:szCs w:val="20"/>
          <w:color w:val="auto"/>
        </w:rPr>
      </w:pPr>
      <w:r>
        <w:rPr>
          <w:rFonts w:ascii="Arial" w:cs="Arial" w:eastAsia="Arial" w:hAnsi="Arial"/>
          <w:sz w:val="14"/>
          <w:szCs w:val="14"/>
          <w:color w:val="auto"/>
        </w:rPr>
        <w:t>(Thousands)</w:t>
      </w:r>
      <w:r>
        <w:rPr>
          <w:sz w:val="20"/>
          <w:szCs w:val="20"/>
          <w:color w:val="auto"/>
        </w:rPr>
        <w:tab/>
      </w:r>
      <w:r>
        <w:rPr>
          <w:rFonts w:ascii="Arial" w:cs="Arial" w:eastAsia="Arial" w:hAnsi="Arial"/>
          <w:sz w:val="14"/>
          <w:szCs w:val="14"/>
          <w:b w:val="1"/>
          <w:bCs w:val="1"/>
          <w:color w:val="auto"/>
        </w:rPr>
        <w:t>Location on Condensed Consolidated Balance Sheets</w:t>
      </w:r>
      <w:r>
        <w:rPr>
          <w:sz w:val="20"/>
          <w:szCs w:val="20"/>
          <w:color w:val="auto"/>
        </w:rPr>
        <w:tab/>
      </w:r>
      <w:r>
        <w:rPr>
          <w:rFonts w:ascii="Arial" w:cs="Arial" w:eastAsia="Arial" w:hAnsi="Arial"/>
          <w:sz w:val="12"/>
          <w:szCs w:val="12"/>
          <w:b w:val="1"/>
          <w:bCs w:val="1"/>
          <w:color w:val="auto"/>
        </w:rPr>
        <w:t>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4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Operating leases</w:t>
            </w:r>
          </w:p>
        </w:tc>
        <w:tc>
          <w:tcPr>
            <w:tcW w:w="180" w:type="dxa"/>
            <w:vAlign w:val="bottom"/>
          </w:tcPr>
          <w:p>
            <w:pPr>
              <w:spacing w:after="0"/>
              <w:rPr>
                <w:sz w:val="19"/>
                <w:szCs w:val="19"/>
                <w:color w:val="auto"/>
              </w:rPr>
            </w:pPr>
          </w:p>
        </w:tc>
        <w:tc>
          <w:tcPr>
            <w:tcW w:w="3460" w:type="dxa"/>
            <w:vAlign w:val="bottom"/>
            <w:tcBorders>
              <w:top w:val="single" w:sz="8" w:color="auto"/>
            </w:tcBorders>
          </w:tcPr>
          <w:p>
            <w:pPr>
              <w:spacing w:after="0"/>
              <w:rPr>
                <w:sz w:val="19"/>
                <w:szCs w:val="19"/>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ROU asset</w:t>
            </w:r>
          </w:p>
        </w:tc>
        <w:tc>
          <w:tcPr>
            <w:tcW w:w="3640" w:type="dxa"/>
            <w:vAlign w:val="bottom"/>
            <w:gridSpan w:val="2"/>
          </w:tcPr>
          <w:p>
            <w:pPr>
              <w:ind w:left="180"/>
              <w:spacing w:after="0"/>
              <w:rPr>
                <w:sz w:val="20"/>
                <w:szCs w:val="20"/>
                <w:color w:val="auto"/>
              </w:rPr>
            </w:pPr>
            <w:r>
              <w:rPr>
                <w:rFonts w:ascii="Arial" w:cs="Arial" w:eastAsia="Arial" w:hAnsi="Arial"/>
                <w:sz w:val="18"/>
                <w:szCs w:val="18"/>
                <w:color w:val="auto"/>
              </w:rPr>
              <w:t>Other assets, net</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ROU liability</w:t>
            </w:r>
          </w:p>
        </w:tc>
        <w:tc>
          <w:tcPr>
            <w:tcW w:w="3640" w:type="dxa"/>
            <w:vAlign w:val="bottom"/>
            <w:gridSpan w:val="2"/>
          </w:tcPr>
          <w:p>
            <w:pPr>
              <w:ind w:left="180"/>
              <w:spacing w:after="0"/>
              <w:rPr>
                <w:sz w:val="20"/>
                <w:szCs w:val="20"/>
                <w:color w:val="auto"/>
              </w:rPr>
            </w:pPr>
            <w:r>
              <w:rPr>
                <w:rFonts w:ascii="Arial" w:cs="Arial" w:eastAsia="Arial" w:hAnsi="Arial"/>
                <w:sz w:val="18"/>
                <w:szCs w:val="18"/>
                <w:color w:val="auto"/>
                <w:w w:val="90"/>
              </w:rPr>
              <w:t>Accounts payable, accrued expenses and other</w:t>
            </w:r>
          </w:p>
        </w:tc>
      </w:tr>
      <w:tr>
        <w:trPr>
          <w:trHeight w:val="230"/>
        </w:trPr>
        <w:tc>
          <w:tcPr>
            <w:tcW w:w="5640" w:type="dxa"/>
            <w:vAlign w:val="bottom"/>
          </w:tcPr>
          <w:p>
            <w:pPr>
              <w:spacing w:after="0"/>
              <w:rPr>
                <w:sz w:val="20"/>
                <w:szCs w:val="20"/>
                <w:color w:val="auto"/>
              </w:rPr>
            </w:pPr>
          </w:p>
        </w:tc>
        <w:tc>
          <w:tcPr>
            <w:tcW w:w="3640" w:type="dxa"/>
            <w:vAlign w:val="bottom"/>
            <w:gridSpan w:val="2"/>
          </w:tcPr>
          <w:p>
            <w:pPr>
              <w:ind w:left="180"/>
              <w:spacing w:after="0"/>
              <w:rPr>
                <w:sz w:val="20"/>
                <w:szCs w:val="20"/>
                <w:color w:val="auto"/>
              </w:rPr>
            </w:pPr>
            <w:r>
              <w:rPr>
                <w:rFonts w:ascii="Arial" w:cs="Arial" w:eastAsia="Arial" w:hAnsi="Arial"/>
                <w:sz w:val="18"/>
                <w:szCs w:val="18"/>
                <w:color w:val="auto"/>
              </w:rPr>
              <w:t>liabilities, net</w:t>
            </w:r>
          </w:p>
        </w:tc>
      </w:tr>
      <w:tr>
        <w:trPr>
          <w:trHeight w:val="458"/>
        </w:trPr>
        <w:tc>
          <w:tcPr>
            <w:tcW w:w="5640" w:type="dxa"/>
            <w:vAlign w:val="bottom"/>
          </w:tcPr>
          <w:p>
            <w:pPr>
              <w:spacing w:after="0"/>
              <w:rPr>
                <w:sz w:val="20"/>
                <w:szCs w:val="20"/>
                <w:color w:val="auto"/>
              </w:rPr>
            </w:pPr>
            <w:r>
              <w:rPr>
                <w:rFonts w:ascii="Arial" w:cs="Arial" w:eastAsia="Arial" w:hAnsi="Arial"/>
                <w:sz w:val="18"/>
                <w:szCs w:val="18"/>
                <w:i w:val="1"/>
                <w:iCs w:val="1"/>
                <w:color w:val="auto"/>
              </w:rPr>
              <w:t>Finance leases</w:t>
            </w:r>
          </w:p>
        </w:tc>
        <w:tc>
          <w:tcPr>
            <w:tcW w:w="1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ROU asset</w:t>
            </w:r>
          </w:p>
        </w:tc>
        <w:tc>
          <w:tcPr>
            <w:tcW w:w="3640" w:type="dxa"/>
            <w:vAlign w:val="bottom"/>
            <w:gridSpan w:val="2"/>
          </w:tcPr>
          <w:p>
            <w:pPr>
              <w:ind w:left="180"/>
              <w:spacing w:after="0"/>
              <w:rPr>
                <w:sz w:val="20"/>
                <w:szCs w:val="20"/>
                <w:color w:val="auto"/>
              </w:rPr>
            </w:pPr>
            <w:r>
              <w:rPr>
                <w:rFonts w:ascii="Arial" w:cs="Arial" w:eastAsia="Arial" w:hAnsi="Arial"/>
                <w:sz w:val="18"/>
                <w:szCs w:val="18"/>
                <w:color w:val="auto"/>
              </w:rPr>
              <w:t>Property, plant and equipment, net</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ROU liability</w:t>
            </w:r>
          </w:p>
        </w:tc>
        <w:tc>
          <w:tcPr>
            <w:tcW w:w="3640" w:type="dxa"/>
            <w:vAlign w:val="bottom"/>
            <w:gridSpan w:val="2"/>
          </w:tcPr>
          <w:p>
            <w:pPr>
              <w:ind w:left="180"/>
              <w:spacing w:after="0"/>
              <w:rPr>
                <w:sz w:val="20"/>
                <w:szCs w:val="20"/>
                <w:color w:val="auto"/>
              </w:rPr>
            </w:pPr>
            <w:r>
              <w:rPr>
                <w:rFonts w:ascii="Arial" w:cs="Arial" w:eastAsia="Arial" w:hAnsi="Arial"/>
                <w:sz w:val="18"/>
                <w:szCs w:val="18"/>
                <w:color w:val="auto"/>
              </w:rPr>
              <w:t>Finance lease obligations</w:t>
            </w:r>
          </w:p>
        </w:tc>
      </w:tr>
      <w:tr>
        <w:trPr>
          <w:trHeight w:val="458"/>
        </w:trPr>
        <w:tc>
          <w:tcPr>
            <w:tcW w:w="5640" w:type="dxa"/>
            <w:vAlign w:val="bottom"/>
          </w:tcPr>
          <w:p>
            <w:pPr>
              <w:spacing w:after="0"/>
              <w:rPr>
                <w:sz w:val="20"/>
                <w:szCs w:val="20"/>
                <w:color w:val="auto"/>
              </w:rPr>
            </w:pPr>
            <w:r>
              <w:rPr>
                <w:rFonts w:ascii="Arial" w:cs="Arial" w:eastAsia="Arial" w:hAnsi="Arial"/>
                <w:sz w:val="18"/>
                <w:szCs w:val="18"/>
                <w:i w:val="1"/>
                <w:iCs w:val="1"/>
                <w:color w:val="auto"/>
              </w:rPr>
              <w:t>Weighted-average remaining lease term</w:t>
            </w:r>
          </w:p>
        </w:tc>
        <w:tc>
          <w:tcPr>
            <w:tcW w:w="1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Finance leases</w:t>
            </w:r>
          </w:p>
        </w:tc>
        <w:tc>
          <w:tcPr>
            <w:tcW w:w="18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58"/>
        </w:trPr>
        <w:tc>
          <w:tcPr>
            <w:tcW w:w="5640" w:type="dxa"/>
            <w:vAlign w:val="bottom"/>
          </w:tcPr>
          <w:p>
            <w:pPr>
              <w:spacing w:after="0"/>
              <w:rPr>
                <w:sz w:val="20"/>
                <w:szCs w:val="20"/>
                <w:color w:val="auto"/>
              </w:rPr>
            </w:pPr>
            <w:r>
              <w:rPr>
                <w:rFonts w:ascii="Arial" w:cs="Arial" w:eastAsia="Arial" w:hAnsi="Arial"/>
                <w:sz w:val="18"/>
                <w:szCs w:val="18"/>
                <w:i w:val="1"/>
                <w:iCs w:val="1"/>
                <w:color w:val="auto"/>
              </w:rPr>
              <w:t>Weighted-average discount rate</w:t>
            </w:r>
          </w:p>
        </w:tc>
        <w:tc>
          <w:tcPr>
            <w:tcW w:w="1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Finance leases</w:t>
            </w:r>
          </w:p>
        </w:tc>
        <w:tc>
          <w:tcPr>
            <w:tcW w:w="18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32"/>
        </w:trPr>
        <w:tc>
          <w:tcPr>
            <w:tcW w:w="5640" w:type="dxa"/>
            <w:vAlign w:val="bottom"/>
          </w:tcPr>
          <w:p>
            <w:pPr>
              <w:spacing w:after="0"/>
              <w:rPr>
                <w:sz w:val="20"/>
                <w:szCs w:val="20"/>
                <w:color w:val="auto"/>
              </w:rPr>
            </w:pPr>
            <w:r>
              <w:rPr>
                <w:rFonts w:ascii="Arial" w:cs="Arial" w:eastAsia="Arial" w:hAnsi="Arial"/>
                <w:sz w:val="18"/>
                <w:szCs w:val="18"/>
                <w:color w:val="auto"/>
              </w:rPr>
              <w:t>Other information related to leases as of June 30, 2019 are as follows:</w:t>
            </w:r>
          </w:p>
        </w:tc>
        <w:tc>
          <w:tcPr>
            <w:tcW w:w="180" w:type="dxa"/>
            <w:vAlign w:val="bottom"/>
          </w:tcPr>
          <w:p>
            <w:pPr>
              <w:spacing w:after="0"/>
              <w:rPr>
                <w:sz w:val="24"/>
                <w:szCs w:val="24"/>
                <w:color w:val="auto"/>
              </w:rPr>
            </w:pPr>
          </w:p>
        </w:tc>
        <w:tc>
          <w:tcPr>
            <w:tcW w:w="3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-2306320</wp:posOffset>
            </wp:positionV>
            <wp:extent cx="7246620" cy="2832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-1877695</wp:posOffset>
            </wp:positionV>
            <wp:extent cx="72466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-1585595</wp:posOffset>
            </wp:positionV>
            <wp:extent cx="72466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-1294130</wp:posOffset>
            </wp:positionV>
            <wp:extent cx="72466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-1002665</wp:posOffset>
            </wp:positionV>
            <wp:extent cx="72466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-711200</wp:posOffset>
            </wp:positionV>
            <wp:extent cx="72466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2466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(Thousands)</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180" w:hanging="1178"/>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100,227</w:t>
      </w:r>
    </w:p>
    <w:p>
      <w:pPr>
        <w:spacing w:after="0" w:line="130"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107,199</w:t>
      </w:r>
    </w:p>
    <w:p>
      <w:pPr>
        <w:spacing w:after="0" w:line="200" w:lineRule="exact"/>
        <w:rPr>
          <w:sz w:val="20"/>
          <w:szCs w:val="20"/>
          <w:color w:val="auto"/>
        </w:rPr>
      </w:pPr>
    </w:p>
    <w:p>
      <w:pPr>
        <w:spacing w:after="0" w:line="390" w:lineRule="exact"/>
        <w:rPr>
          <w:sz w:val="20"/>
          <w:szCs w:val="20"/>
          <w:color w:val="auto"/>
        </w:rPr>
      </w:pPr>
    </w:p>
    <w:p>
      <w:pPr>
        <w:ind w:left="1180" w:hanging="1178"/>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128,530</w:t>
      </w:r>
    </w:p>
    <w:p>
      <w:pPr>
        <w:spacing w:after="0" w:line="2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55,444</w:t>
      </w:r>
    </w:p>
    <w:p>
      <w:pPr>
        <w:spacing w:after="0" w:line="200" w:lineRule="exact"/>
        <w:rPr>
          <w:sz w:val="20"/>
          <w:szCs w:val="20"/>
          <w:color w:val="auto"/>
        </w:rPr>
      </w:pPr>
    </w:p>
    <w:p>
      <w:pPr>
        <w:spacing w:after="0" w:line="28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10.0 years</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14.1 years</w:t>
      </w:r>
    </w:p>
    <w:p>
      <w:pPr>
        <w:spacing w:after="0" w:line="200" w:lineRule="exact"/>
        <w:rPr>
          <w:sz w:val="20"/>
          <w:szCs w:val="20"/>
          <w:color w:val="auto"/>
        </w:rPr>
      </w:pPr>
    </w:p>
    <w:p>
      <w:pPr>
        <w:spacing w:after="0" w:line="281"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9.5%</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8.1%</w:t>
      </w:r>
    </w:p>
    <w:p>
      <w:pPr>
        <w:spacing w:after="0" w:line="200" w:lineRule="exact"/>
        <w:rPr>
          <w:sz w:val="20"/>
          <w:szCs w:val="20"/>
          <w:color w:val="auto"/>
        </w:rPr>
      </w:pPr>
    </w:p>
    <w:p>
      <w:pPr>
        <w:spacing w:after="0" w:line="246" w:lineRule="exact"/>
        <w:rPr>
          <w:sz w:val="20"/>
          <w:szCs w:val="20"/>
          <w:color w:val="auto"/>
        </w:rPr>
      </w:pPr>
    </w:p>
    <w:p>
      <w:pPr>
        <w:jc w:val="center"/>
        <w:ind w:right="780"/>
        <w:spacing w:after="0"/>
        <w:rPr>
          <w:sz w:val="20"/>
          <w:szCs w:val="20"/>
          <w:color w:val="auto"/>
        </w:rPr>
      </w:pPr>
      <w:r>
        <w:rPr>
          <w:rFonts w:ascii="Arial" w:cs="Arial" w:eastAsia="Arial" w:hAnsi="Arial"/>
          <w:sz w:val="13"/>
          <w:szCs w:val="13"/>
          <w:b w:val="1"/>
          <w:bCs w:val="1"/>
          <w:color w:val="auto"/>
        </w:rPr>
        <w:t>Six Months Ended</w:t>
      </w:r>
    </w:p>
    <w:p>
      <w:pPr>
        <w:spacing w:after="0" w:line="9" w:lineRule="exact"/>
        <w:rPr>
          <w:sz w:val="20"/>
          <w:szCs w:val="20"/>
          <w:color w:val="auto"/>
        </w:rPr>
      </w:pPr>
    </w:p>
    <w:p>
      <w:pPr>
        <w:jc w:val="center"/>
        <w:ind w:right="780"/>
        <w:spacing w:after="0"/>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sectPr>
          <w:pgSz w:w="11900" w:h="16838" w:orient="portrait"/>
          <w:cols w:equalWidth="0" w:num="2">
            <w:col w:w="9280" w:space="180"/>
            <w:col w:w="19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0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2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Operating cash flows from finance leases</w:t>
            </w:r>
          </w:p>
        </w:tc>
        <w:tc>
          <w:tcPr>
            <w:tcW w:w="220" w:type="dxa"/>
            <w:vAlign w:val="bottom"/>
          </w:tcPr>
          <w:p>
            <w:pPr>
              <w:spacing w:after="0"/>
              <w:rPr>
                <w:sz w:val="19"/>
                <w:szCs w:val="19"/>
                <w:color w:val="auto"/>
              </w:rPr>
            </w:pPr>
          </w:p>
        </w:tc>
        <w:tc>
          <w:tcPr>
            <w:tcW w:w="17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Financing cash flows from finance leases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Non-cash items: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New operating leases</w:t>
            </w:r>
          </w:p>
        </w:tc>
        <w:tc>
          <w:tcPr>
            <w:tcW w:w="220" w:type="dxa"/>
            <w:vAlign w:val="bottom"/>
            <w:shd w:val="clear" w:color="auto" w:fill="CFF0FC"/>
          </w:tcPr>
          <w:p>
            <w:pPr>
              <w:spacing w:after="0"/>
              <w:rPr>
                <w:sz w:val="19"/>
                <w:szCs w:val="19"/>
                <w:color w:val="auto"/>
              </w:rPr>
            </w:pPr>
          </w:p>
        </w:tc>
        <w:tc>
          <w:tcPr>
            <w:tcW w:w="17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New finance leases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2,683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7080" w:type="dxa"/>
            <w:vAlign w:val="bottom"/>
            <w:gridSpan w:val="3"/>
          </w:tcPr>
          <w:p>
            <w:pPr>
              <w:spacing w:after="0"/>
              <w:rPr>
                <w:sz w:val="20"/>
                <w:szCs w:val="20"/>
                <w:color w:val="auto"/>
              </w:rPr>
            </w:pPr>
            <w:r>
              <w:rPr>
                <w:rFonts w:ascii="Arial" w:cs="Arial" w:eastAsia="Arial" w:hAnsi="Arial"/>
                <w:sz w:val="18"/>
                <w:szCs w:val="18"/>
                <w:color w:val="auto"/>
              </w:rPr>
              <w:t>Future lease payments under non-cancellable leases as of June 30, 2019 are as follows: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8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24"/>
                <w:szCs w:val="24"/>
                <w:color w:val="auto"/>
              </w:rPr>
            </w:pPr>
          </w:p>
        </w:tc>
        <w:tc>
          <w:tcPr>
            <w:tcW w:w="20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9"/>
              </w:rPr>
              <w:t xml:space="preserve">Operating Leases </w:t>
            </w:r>
            <w:r>
              <w:rPr>
                <w:rFonts w:ascii="Arial" w:cs="Arial" w:eastAsia="Arial" w:hAnsi="Arial"/>
                <w:sz w:val="12"/>
                <w:szCs w:val="12"/>
                <w:b w:val="1"/>
                <w:bCs w:val="1"/>
                <w:color w:val="auto"/>
                <w:w w:val="99"/>
              </w:rPr>
              <w:t>(1)</w:t>
            </w:r>
          </w:p>
        </w:tc>
        <w:tc>
          <w:tcPr>
            <w:tcW w:w="260" w:type="dxa"/>
            <w:vAlign w:val="bottom"/>
          </w:tcPr>
          <w:p>
            <w:pPr>
              <w:spacing w:after="0"/>
              <w:rPr>
                <w:sz w:val="24"/>
                <w:szCs w:val="24"/>
                <w:color w:val="auto"/>
              </w:rPr>
            </w:pPr>
          </w:p>
        </w:tc>
        <w:tc>
          <w:tcPr>
            <w:tcW w:w="18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 xml:space="preserve">Finance Leases </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11,890</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4,211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22,922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7,588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20,983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18,538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6,697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16,333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86,345</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57,330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undiscounted lease payments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177,011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89,336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19"/>
                <w:szCs w:val="19"/>
                <w:color w:val="auto"/>
              </w:rPr>
            </w:pPr>
          </w:p>
        </w:tc>
        <w:tc>
          <w:tcPr>
            <w:tcW w:w="2040" w:type="dxa"/>
            <w:vAlign w:val="bottom"/>
            <w:gridSpan w:val="4"/>
          </w:tcPr>
          <w:p>
            <w:pPr>
              <w:jc w:val="right"/>
              <w:ind w:right="240"/>
              <w:spacing w:after="0"/>
              <w:rPr>
                <w:sz w:val="20"/>
                <w:szCs w:val="20"/>
                <w:color w:val="auto"/>
              </w:rPr>
            </w:pPr>
            <w:r>
              <w:rPr>
                <w:rFonts w:ascii="Arial" w:cs="Arial" w:eastAsia="Arial" w:hAnsi="Arial"/>
                <w:sz w:val="18"/>
                <w:szCs w:val="18"/>
                <w:color w:val="auto"/>
              </w:rPr>
              <w:t>(69,812)</w:t>
            </w:r>
          </w:p>
        </w:tc>
        <w:tc>
          <w:tcPr>
            <w:tcW w:w="260" w:type="dxa"/>
            <w:vAlign w:val="bottom"/>
          </w:tcPr>
          <w:p>
            <w:pPr>
              <w:spacing w:after="0"/>
              <w:rPr>
                <w:sz w:val="19"/>
                <w:szCs w:val="19"/>
                <w:color w:val="auto"/>
              </w:rPr>
            </w:pP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(33,892)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107,199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55,444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15"/>
          <w:szCs w:val="15"/>
          <w:color w:val="auto"/>
        </w:rPr>
      </w:pPr>
      <w:r>
        <w:rPr>
          <w:rFonts w:ascii="Arial" w:cs="Arial" w:eastAsia="Arial" w:hAnsi="Arial"/>
          <w:sz w:val="18"/>
          <w:szCs w:val="18"/>
          <w:color w:val="auto"/>
        </w:rPr>
        <w:t>Amounts are exclusive of lease arrangements that are classified in Liabilities Held for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rental payments under non-cancellable operating leases as of December 31, 2018</w:t>
      </w:r>
      <w:r>
        <w:rPr>
          <w:rFonts w:ascii="Arial" w:cs="Arial" w:eastAsia="Arial" w:hAnsi="Arial"/>
          <w:sz w:val="15"/>
          <w:szCs w:val="15"/>
          <w:color w:val="auto"/>
        </w:rPr>
        <w:t>(1)</w:t>
      </w:r>
      <w:r>
        <w:rPr>
          <w:rFonts w:ascii="Arial" w:cs="Arial" w:eastAsia="Arial" w:hAnsi="Arial"/>
          <w:sz w:val="18"/>
          <w:szCs w:val="18"/>
          <w:color w:val="auto"/>
        </w:rPr>
        <w:t xml:space="preserve"> were as follows: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tcPr>
          <w:p>
            <w:pPr>
              <w:jc w:val="center"/>
              <w:ind w:left="2772"/>
              <w:spacing w:after="0"/>
              <w:rPr>
                <w:sz w:val="20"/>
                <w:szCs w:val="20"/>
                <w:color w:val="auto"/>
              </w:rPr>
            </w:pPr>
            <w:r>
              <w:rPr>
                <w:rFonts w:ascii="Arial" w:cs="Arial" w:eastAsia="Arial" w:hAnsi="Arial"/>
                <w:sz w:val="18"/>
                <w:szCs w:val="18"/>
                <w:b w:val="1"/>
                <w:bCs w:val="1"/>
                <w:color w:val="auto"/>
                <w:w w:val="94"/>
              </w:rPr>
              <w:t>Uniti Group Inc.</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jc w:val="center"/>
              <w:ind w:left="2752"/>
              <w:spacing w:after="0"/>
              <w:rPr>
                <w:sz w:val="20"/>
                <w:szCs w:val="20"/>
                <w:color w:val="auto"/>
              </w:rPr>
            </w:pPr>
            <w:r>
              <w:rPr>
                <w:rFonts w:ascii="Arial" w:cs="Arial" w:eastAsia="Arial" w:hAnsi="Arial"/>
                <w:sz w:val="18"/>
                <w:szCs w:val="18"/>
                <w:b w:val="1"/>
                <w:bCs w:val="1"/>
                <w:color w:val="auto"/>
                <w:w w:val="88"/>
              </w:rPr>
              <w:t>Notes to the Condensed Consolidated Financial Statements – Continued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80" w:type="dxa"/>
            <w:vAlign w:val="bottom"/>
          </w:tcPr>
          <w:p>
            <w:pPr>
              <w:jc w:val="center"/>
              <w:ind w:left="2752"/>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8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380" w:type="dxa"/>
            <w:vAlign w:val="bottom"/>
            <w:tcBorders>
              <w:bottom w:val="single" w:sz="8" w:color="CFF0FC"/>
            </w:tcBorders>
          </w:tcPr>
          <w:p>
            <w:pPr>
              <w:spacing w:after="0"/>
              <w:rPr>
                <w:sz w:val="24"/>
                <w:szCs w:val="24"/>
                <w:color w:val="auto"/>
              </w:rPr>
            </w:pPr>
          </w:p>
        </w:tc>
        <w:tc>
          <w:tcPr>
            <w:tcW w:w="202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700" w:type="dxa"/>
            <w:vAlign w:val="bottom"/>
            <w:gridSpan w:val="4"/>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7,543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gridSpan w:val="2"/>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43,780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8"/>
                <w:szCs w:val="18"/>
                <w:color w:val="auto"/>
              </w:rPr>
              <w:t>Prior period amounts have not been adjusted under the modified retrospective transition approach.</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5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80" w:type="dxa"/>
            <w:vAlign w:val="bottom"/>
          </w:tcPr>
          <w:p>
            <w:pPr>
              <w:spacing w:after="0"/>
              <w:rPr>
                <w:sz w:val="20"/>
                <w:szCs w:val="20"/>
                <w:color w:val="auto"/>
              </w:rPr>
            </w:pPr>
            <w:r>
              <w:rPr>
                <w:rFonts w:ascii="Arial" w:cs="Arial" w:eastAsia="Arial" w:hAnsi="Arial"/>
                <w:sz w:val="18"/>
                <w:szCs w:val="18"/>
                <w:color w:val="auto"/>
              </w:rPr>
              <w:t>Future minimum rental payments under capital leases in effect as of December 31, 2018</w:t>
            </w:r>
            <w:r>
              <w:rPr>
                <w:rFonts w:ascii="Arial" w:cs="Arial" w:eastAsia="Arial" w:hAnsi="Arial"/>
                <w:sz w:val="15"/>
                <w:szCs w:val="15"/>
                <w:color w:val="auto"/>
              </w:rPr>
              <w:t>(1)</w:t>
            </w:r>
            <w:r>
              <w:rPr>
                <w:rFonts w:ascii="Arial" w:cs="Arial" w:eastAsia="Arial" w:hAnsi="Arial"/>
                <w:sz w:val="18"/>
                <w:szCs w:val="18"/>
                <w:color w:val="auto"/>
              </w:rPr>
              <w:t xml:space="preserve"> were as follows: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80" w:type="dxa"/>
            <w:vAlign w:val="bottom"/>
            <w:tcBorders>
              <w:bottom w:val="single" w:sz="8" w:color="CFF0FC"/>
            </w:tcBorders>
          </w:tcPr>
          <w:p>
            <w:pPr>
              <w:spacing w:after="0"/>
              <w:rPr>
                <w:sz w:val="23"/>
                <w:szCs w:val="23"/>
                <w:color w:val="auto"/>
              </w:rPr>
            </w:pP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380" w:type="dxa"/>
            <w:vAlign w:val="bottom"/>
            <w:tcBorders>
              <w:bottom w:val="single" w:sz="8" w:color="CFF0FC"/>
            </w:tcBorders>
          </w:tcPr>
          <w:p>
            <w:pPr>
              <w:spacing w:after="0"/>
              <w:rPr>
                <w:sz w:val="23"/>
                <w:szCs w:val="23"/>
                <w:color w:val="auto"/>
              </w:rPr>
            </w:pPr>
          </w:p>
        </w:tc>
        <w:tc>
          <w:tcPr>
            <w:tcW w:w="202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700" w:type="dxa"/>
            <w:vAlign w:val="bottom"/>
            <w:gridSpan w:val="4"/>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7,357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6,484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Total minimum payments</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40" w:type="dxa"/>
            <w:vAlign w:val="bottom"/>
            <w:gridSpan w:val="2"/>
          </w:tcPr>
          <w:p>
            <w:pPr>
              <w:jc w:val="right"/>
              <w:ind w:right="60"/>
              <w:spacing w:after="0"/>
              <w:rPr>
                <w:sz w:val="20"/>
                <w:szCs w:val="20"/>
                <w:color w:val="auto"/>
              </w:rPr>
            </w:pPr>
            <w:r>
              <w:rPr>
                <w:rFonts w:ascii="Arial" w:cs="Arial" w:eastAsia="Arial" w:hAnsi="Arial"/>
                <w:sz w:val="18"/>
                <w:szCs w:val="18"/>
                <w:color w:val="auto"/>
              </w:rPr>
              <w:t>(32,870)</w:t>
            </w:r>
          </w:p>
        </w:tc>
        <w:tc>
          <w:tcPr>
            <w:tcW w:w="0" w:type="dxa"/>
            <w:vAlign w:val="bottom"/>
          </w:tcPr>
          <w:p>
            <w:pPr>
              <w:spacing w:after="0"/>
              <w:rPr>
                <w:sz w:val="1"/>
                <w:szCs w:val="1"/>
                <w:color w:val="auto"/>
              </w:rPr>
            </w:pPr>
          </w:p>
        </w:tc>
      </w:tr>
      <w:tr>
        <w:trPr>
          <w:trHeight w:val="223"/>
        </w:trPr>
        <w:tc>
          <w:tcPr>
            <w:tcW w:w="8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gridSpan w:val="2"/>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2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55,282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8"/>
                <w:szCs w:val="18"/>
                <w:color w:val="auto"/>
              </w:rPr>
              <w:t>Prior period amounts have not been adjusted under the modified retrospective transition approach.</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580" w:type="dxa"/>
            <w:vAlign w:val="bottom"/>
          </w:tcPr>
          <w:p>
            <w:pPr>
              <w:spacing w:after="0"/>
              <w:rPr>
                <w:sz w:val="20"/>
                <w:szCs w:val="20"/>
                <w:color w:val="auto"/>
              </w:rPr>
            </w:pPr>
            <w:r>
              <w:rPr>
                <w:rFonts w:ascii="Arial" w:cs="Arial" w:eastAsia="Arial" w:hAnsi="Arial"/>
                <w:sz w:val="18"/>
                <w:szCs w:val="18"/>
                <w:color w:val="auto"/>
              </w:rPr>
              <w:t>Future sublease rentals as of June 30, 2019 are as follows: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80" w:type="dxa"/>
            <w:vAlign w:val="bottom"/>
          </w:tcPr>
          <w:p>
            <w:pPr>
              <w:spacing w:after="0"/>
              <w:rPr>
                <w:sz w:val="20"/>
                <w:szCs w:val="20"/>
                <w:color w:val="auto"/>
              </w:rPr>
            </w:pPr>
            <w:r>
              <w:rPr>
                <w:rFonts w:ascii="Arial" w:cs="Arial" w:eastAsia="Arial" w:hAnsi="Arial"/>
                <w:sz w:val="14"/>
                <w:szCs w:val="14"/>
                <w:color w:val="auto"/>
              </w:rPr>
              <w:t>(Thousands)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Sublease Rentals</w:t>
            </w:r>
          </w:p>
        </w:tc>
        <w:tc>
          <w:tcPr>
            <w:tcW w:w="0" w:type="dxa"/>
            <w:vAlign w:val="bottom"/>
          </w:tcPr>
          <w:p>
            <w:pPr>
              <w:spacing w:after="0"/>
              <w:rPr>
                <w:sz w:val="1"/>
                <w:szCs w:val="1"/>
                <w:color w:val="auto"/>
              </w:rPr>
            </w:pPr>
          </w:p>
        </w:tc>
      </w:tr>
      <w:tr>
        <w:trPr>
          <w:trHeight w:val="223"/>
        </w:trPr>
        <w:tc>
          <w:tcPr>
            <w:tcW w:w="8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gridSpan w:val="2"/>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8,966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9,019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95,785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gridSpan w:val="2"/>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135,966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Combinations, Asset Acquisitions and Dispositions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Ground Lease Portfolio</w:t>
      </w:r>
    </w:p>
    <w:p>
      <w:pPr>
        <w:spacing w:after="0" w:line="17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On May 23, 2019, the Company completed the sale of substantially all of its U.S. ground lease business. During second quarter, we received cash consideration of $30.7 million resulting in a pre-tax gain of $5.0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Latin American Tower Portfolio</w:t>
      </w:r>
    </w:p>
    <w:p>
      <w:pPr>
        <w:spacing w:after="0" w:line="1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On April 2, 2019, the Company completed the sale of the Uniti Towers’ Latin America business (“LATAM”) to an entity controlled by Phoenix Towers International for cash consideration of $101.6 million resulting in a pre-tax gain of $23.8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JKM Consulting Inc. (M</w:t>
      </w:r>
      <w:r>
        <w:rPr>
          <w:rFonts w:ascii="Arial" w:cs="Arial" w:eastAsia="Arial" w:hAnsi="Arial"/>
          <w:sz w:val="15"/>
          <w:szCs w:val="15"/>
          <w:i w:val="1"/>
          <w:iCs w:val="1"/>
          <w:color w:val="auto"/>
        </w:rPr>
        <w:t>2</w:t>
      </w:r>
      <w:r>
        <w:rPr>
          <w:rFonts w:ascii="Arial" w:cs="Arial" w:eastAsia="Arial" w:hAnsi="Arial"/>
          <w:sz w:val="18"/>
          <w:szCs w:val="18"/>
          <w:i w:val="1"/>
          <w:iCs w:val="1"/>
          <w:color w:val="auto"/>
        </w:rPr>
        <w:t xml:space="preserve"> Connections)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On March 25, 2019, we acquired 100% of the outstanding equity of JKM Consulting Inc. d/b/a M</w:t>
      </w:r>
      <w:r>
        <w:rPr>
          <w:rFonts w:ascii="Arial" w:cs="Arial" w:eastAsia="Arial" w:hAnsi="Arial"/>
          <w:sz w:val="13"/>
          <w:szCs w:val="13"/>
          <w:color w:val="auto"/>
        </w:rPr>
        <w:t>2</w:t>
      </w:r>
      <w:r>
        <w:rPr>
          <w:rFonts w:ascii="Arial" w:cs="Arial" w:eastAsia="Arial" w:hAnsi="Arial"/>
          <w:sz w:val="16"/>
          <w:szCs w:val="16"/>
          <w:color w:val="auto"/>
        </w:rPr>
        <w:t xml:space="preserve"> Connections (“M</w:t>
      </w:r>
      <w:r>
        <w:rPr>
          <w:rFonts w:ascii="Arial" w:cs="Arial" w:eastAsia="Arial" w:hAnsi="Arial"/>
          <w:sz w:val="13"/>
          <w:szCs w:val="13"/>
          <w:color w:val="auto"/>
        </w:rPr>
        <w:t>2</w:t>
      </w:r>
      <w:r>
        <w:rPr>
          <w:rFonts w:ascii="Arial" w:cs="Arial" w:eastAsia="Arial" w:hAnsi="Arial"/>
          <w:sz w:val="16"/>
          <w:szCs w:val="16"/>
          <w:color w:val="auto"/>
        </w:rPr>
        <w:t>”) for cash consideration of $5.5 million. M</w:t>
      </w:r>
      <w:r>
        <w:rPr>
          <w:rFonts w:ascii="Arial" w:cs="Arial" w:eastAsia="Arial" w:hAnsi="Arial"/>
          <w:sz w:val="13"/>
          <w:szCs w:val="13"/>
          <w:color w:val="auto"/>
        </w:rPr>
        <w:t>2</w:t>
      </w:r>
      <w:r>
        <w:rPr>
          <w:rFonts w:ascii="Arial" w:cs="Arial" w:eastAsia="Arial" w:hAnsi="Arial"/>
          <w:sz w:val="16"/>
          <w:szCs w:val="16"/>
          <w:color w:val="auto"/>
        </w:rPr>
        <w:t xml:space="preserve"> is a dark fiber and internet access provider primarily to educational institutions in Alabama. This acquisition strengthens Uniti Fiber’s relationships with new E-Rate customers. The acquisition was recorded by allocating the costs of the assets acquired based on their estimated fair values at the acquisition date. The excess of the cost of the acquisition over the fair value of the assets acquired is recorded as goodwill of $1.7 million within our Fiber Infrastructure segment. </w:t>
      </w:r>
      <w:r>
        <w:rPr>
          <w:rFonts w:ascii="Arial" w:cs="Arial" w:eastAsia="Arial" w:hAnsi="Arial"/>
          <w:sz w:val="16"/>
          <w:szCs w:val="16"/>
          <w:u w:val="single" w:color="auto"/>
          <w:color w:val="auto"/>
        </w:rPr>
        <w:t>See Note 13</w:t>
      </w:r>
      <w:r>
        <w:rPr>
          <w:rFonts w:ascii="Arial" w:cs="Arial" w:eastAsia="Arial" w:hAnsi="Arial"/>
          <w:sz w:val="16"/>
          <w:szCs w:val="16"/>
          <w:color w:val="auto"/>
        </w:rPr>
        <w:t>. For federal income tax purposes, the transaction was treated as a taxable acquisition. Thus, all of the goodwill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-23495</wp:posOffset>
            </wp:positionV>
            <wp:extent cx="5588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8800" cy="8890"/>
                    </a:xfrm>
                    <a:prstGeom prst="rect">
                      <a:avLst/>
                    </a:prstGeom>
                    <a:noFill/>
                  </pic:spPr>
                </pic:pic>
              </a:graphicData>
            </a:graphic>
          </wp:anchor>
        </w:drawing>
      </w:r>
    </w:p>
    <w:p>
      <w:pPr>
        <w:ind w:right="120"/>
        <w:spacing w:after="0" w:line="325" w:lineRule="auto"/>
        <w:rPr>
          <w:sz w:val="20"/>
          <w:szCs w:val="20"/>
          <w:color w:val="auto"/>
        </w:rPr>
      </w:pPr>
      <w:r>
        <w:rPr>
          <w:rFonts w:ascii="Arial" w:cs="Arial" w:eastAsia="Arial" w:hAnsi="Arial"/>
          <w:sz w:val="16"/>
          <w:szCs w:val="16"/>
          <w:color w:val="auto"/>
        </w:rPr>
        <w:t>expected to be deductible for tax purposes. The financial results of M</w:t>
      </w:r>
      <w:r>
        <w:rPr>
          <w:rFonts w:ascii="Arial" w:cs="Arial" w:eastAsia="Arial" w:hAnsi="Arial"/>
          <w:sz w:val="13"/>
          <w:szCs w:val="13"/>
          <w:color w:val="auto"/>
        </w:rPr>
        <w:t>2</w:t>
      </w:r>
      <w:r>
        <w:rPr>
          <w:rFonts w:ascii="Arial" w:cs="Arial" w:eastAsia="Arial" w:hAnsi="Arial"/>
          <w:sz w:val="16"/>
          <w:szCs w:val="16"/>
          <w:color w:val="auto"/>
        </w:rPr>
        <w:t xml:space="preserve"> are included in the Fiber Infrastructure segment from the date of acquisition and were not material, individually or in the aggregate, to our results of operations and therefore, pro forma financial information has not been presented.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Transport Solutions, Inc.</w:t>
      </w:r>
    </w:p>
    <w:p>
      <w:pPr>
        <w:spacing w:after="0" w:line="17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 xml:space="preserve">On October 19, 2018, we acquired 100% of the outstanding equity of Information Transport Solutions, Inc. (“ITS”) for cash consideration of $58.3 million. ITS is a full-service managed services provider of technology solutions, primarily to educational institutions in Alabama and Florida. This acquisition expands Uniti Fiber’s product offerings and strengthens relationships with new and existing E-Rate customers. The acquisition was recorded by allocating the costs of the assets acquired based on their estimated fair values at the acquisition date. The excess of the cost of the acquisition over the fair value of the assets acquired is recorded as goodwill within our Fiber Infrastructure segment. </w:t>
      </w:r>
      <w:r>
        <w:rPr>
          <w:rFonts w:ascii="Arial" w:cs="Arial" w:eastAsia="Arial" w:hAnsi="Arial"/>
          <w:sz w:val="18"/>
          <w:szCs w:val="18"/>
          <w:u w:val="single" w:color="auto"/>
          <w:color w:val="auto"/>
        </w:rPr>
        <w:t>See Note 13</w:t>
      </w:r>
      <w:r>
        <w:rPr>
          <w:rFonts w:ascii="Arial" w:cs="Arial" w:eastAsia="Arial" w:hAnsi="Arial"/>
          <w:sz w:val="18"/>
          <w:szCs w:val="18"/>
          <w:color w:val="auto"/>
        </w:rPr>
        <w:t>. During the first quarter of 2019, certain contractual working capital adjustments resulted in a $1.3 million reduction of the purchase price and goodwill. The following is a summary of the estimated fair values of the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-307340</wp:posOffset>
            </wp:positionV>
            <wp:extent cx="5588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8800" cy="889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6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b w:val="1"/>
                <w:bCs w:val="1"/>
                <w:color w:val="auto"/>
              </w:rPr>
              <w:t>(thousands)</w:t>
            </w:r>
          </w:p>
        </w:tc>
        <w:tc>
          <w:tcPr>
            <w:tcW w:w="120" w:type="dxa"/>
            <w:vAlign w:val="bottom"/>
            <w:tcBorders>
              <w:bottom w:val="single" w:sz="8" w:color="CFF0FC"/>
            </w:tcBorders>
          </w:tcPr>
          <w:p>
            <w:pPr>
              <w:spacing w:after="0"/>
              <w:rPr>
                <w:sz w:val="14"/>
                <w:szCs w:val="14"/>
                <w:color w:val="auto"/>
              </w:rPr>
            </w:pPr>
          </w:p>
        </w:tc>
      </w:tr>
      <w:tr>
        <w:trPr>
          <w:trHeight w:val="250"/>
        </w:trPr>
        <w:tc>
          <w:tcPr>
            <w:tcW w:w="866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70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4,270</w:t>
            </w:r>
          </w:p>
        </w:tc>
        <w:tc>
          <w:tcPr>
            <w:tcW w:w="120" w:type="dxa"/>
            <w:vAlign w:val="bottom"/>
            <w:shd w:val="clear" w:color="auto" w:fill="CFF0FC"/>
          </w:tcPr>
          <w:p>
            <w:pPr>
              <w:spacing w:after="0"/>
              <w:rPr>
                <w:sz w:val="21"/>
                <w:szCs w:val="21"/>
                <w:color w:val="auto"/>
              </w:rPr>
            </w:pPr>
          </w:p>
        </w:tc>
      </w:tr>
      <w:tr>
        <w:trPr>
          <w:trHeight w:val="230"/>
        </w:trPr>
        <w:tc>
          <w:tcPr>
            <w:tcW w:w="86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5,931</w:t>
            </w:r>
          </w:p>
        </w:tc>
        <w:tc>
          <w:tcPr>
            <w:tcW w:w="120" w:type="dxa"/>
            <w:vAlign w:val="bottom"/>
          </w:tcPr>
          <w:p>
            <w:pPr>
              <w:spacing w:after="0"/>
              <w:rPr>
                <w:sz w:val="19"/>
                <w:szCs w:val="19"/>
                <w:color w:val="auto"/>
              </w:rPr>
            </w:pPr>
          </w:p>
        </w:tc>
      </w:tr>
      <w:tr>
        <w:trPr>
          <w:trHeight w:val="230"/>
        </w:trPr>
        <w:tc>
          <w:tcPr>
            <w:tcW w:w="86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3,909</w:t>
            </w:r>
          </w:p>
        </w:tc>
        <w:tc>
          <w:tcPr>
            <w:tcW w:w="120" w:type="dxa"/>
            <w:vAlign w:val="bottom"/>
            <w:shd w:val="clear" w:color="auto" w:fill="CFF0FC"/>
          </w:tcPr>
          <w:p>
            <w:pPr>
              <w:spacing w:after="0"/>
              <w:rPr>
                <w:sz w:val="19"/>
                <w:szCs w:val="19"/>
                <w:color w:val="auto"/>
              </w:rPr>
            </w:pPr>
          </w:p>
        </w:tc>
      </w:tr>
      <w:tr>
        <w:trPr>
          <w:trHeight w:val="230"/>
        </w:trPr>
        <w:tc>
          <w:tcPr>
            <w:tcW w:w="866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7,238</w:t>
            </w:r>
          </w:p>
        </w:tc>
        <w:tc>
          <w:tcPr>
            <w:tcW w:w="120" w:type="dxa"/>
            <w:vAlign w:val="bottom"/>
          </w:tcPr>
          <w:p>
            <w:pPr>
              <w:spacing w:after="0"/>
              <w:rPr>
                <w:sz w:val="19"/>
                <w:szCs w:val="19"/>
                <w:color w:val="auto"/>
              </w:rPr>
            </w:pPr>
          </w:p>
        </w:tc>
      </w:tr>
      <w:tr>
        <w:trPr>
          <w:trHeight w:val="230"/>
        </w:trPr>
        <w:tc>
          <w:tcPr>
            <w:tcW w:w="86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9,941</w:t>
            </w:r>
          </w:p>
        </w:tc>
        <w:tc>
          <w:tcPr>
            <w:tcW w:w="120" w:type="dxa"/>
            <w:vAlign w:val="bottom"/>
            <w:shd w:val="clear" w:color="auto" w:fill="CFF0FC"/>
          </w:tcPr>
          <w:p>
            <w:pPr>
              <w:spacing w:after="0"/>
              <w:rPr>
                <w:sz w:val="19"/>
                <w:szCs w:val="19"/>
                <w:color w:val="auto"/>
              </w:rPr>
            </w:pPr>
          </w:p>
        </w:tc>
      </w:tr>
      <w:tr>
        <w:trPr>
          <w:trHeight w:val="230"/>
        </w:trPr>
        <w:tc>
          <w:tcPr>
            <w:tcW w:w="8660" w:type="dxa"/>
            <w:vAlign w:val="bottom"/>
          </w:tcPr>
          <w:p>
            <w:pPr>
              <w:spacing w:after="0"/>
              <w:rPr>
                <w:sz w:val="20"/>
                <w:szCs w:val="20"/>
                <w:color w:val="auto"/>
              </w:rPr>
            </w:pPr>
            <w:r>
              <w:rPr>
                <w:rFonts w:ascii="Arial" w:cs="Arial" w:eastAsia="Arial" w:hAnsi="Arial"/>
                <w:sz w:val="18"/>
                <w:szCs w:val="18"/>
                <w:color w:val="auto"/>
              </w:rPr>
              <w:t>Intangible assets</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30,254</w:t>
            </w:r>
          </w:p>
        </w:tc>
        <w:tc>
          <w:tcPr>
            <w:tcW w:w="120" w:type="dxa"/>
            <w:vAlign w:val="bottom"/>
          </w:tcPr>
          <w:p>
            <w:pPr>
              <w:spacing w:after="0"/>
              <w:rPr>
                <w:sz w:val="19"/>
                <w:szCs w:val="19"/>
                <w:color w:val="auto"/>
              </w:rPr>
            </w:pPr>
          </w:p>
        </w:tc>
      </w:tr>
      <w:tr>
        <w:trPr>
          <w:trHeight w:val="230"/>
        </w:trPr>
        <w:tc>
          <w:tcPr>
            <w:tcW w:w="86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(2,645)</w:t>
            </w:r>
          </w:p>
        </w:tc>
      </w:tr>
      <w:tr>
        <w:trPr>
          <w:trHeight w:val="230"/>
        </w:trPr>
        <w:tc>
          <w:tcPr>
            <w:tcW w:w="8660" w:type="dxa"/>
            <w:vAlign w:val="bottom"/>
          </w:tcPr>
          <w:p>
            <w:pPr>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60" w:type="dxa"/>
            <w:vAlign w:val="bottom"/>
            <w:gridSpan w:val="2"/>
          </w:tcPr>
          <w:p>
            <w:pPr>
              <w:jc w:val="right"/>
              <w:ind w:right="60"/>
              <w:spacing w:after="0"/>
              <w:rPr>
                <w:sz w:val="20"/>
                <w:szCs w:val="20"/>
                <w:color w:val="auto"/>
              </w:rPr>
            </w:pPr>
            <w:r>
              <w:rPr>
                <w:rFonts w:ascii="Arial" w:cs="Arial" w:eastAsia="Arial" w:hAnsi="Arial"/>
                <w:sz w:val="18"/>
                <w:szCs w:val="18"/>
                <w:color w:val="auto"/>
              </w:rPr>
              <w:t>(567)</w:t>
            </w:r>
          </w:p>
        </w:tc>
      </w:tr>
      <w:tr>
        <w:trPr>
          <w:trHeight w:val="223"/>
        </w:trPr>
        <w:tc>
          <w:tcPr>
            <w:tcW w:w="8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consideration</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58,331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goodwill arising from the transaction is primarily attributable to strategic opportunities that arose from the acquisition of ITS, including strengthening relationships with new and existing E-Rate customers and anticipated incremental sales and cost savings. For federal income tax purposes, the transaction was treated as a taxable acquisition. Thus, all of the goodwill is expected to be deductible for tax purposes.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acquired an intangible asset that was assigned to customer relationships of $30.3 million (14 year life). The Company determined the useful life for the customer relationship by applying an income approach (using the multi-period excess earnings method with a discount rate commensurate to the risk of the asset) and resulted from two key considerations: attrition rate and cumulative present value of cash flows, including assessing the period over which the asset is expected to contribute to the Company’s future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Assets and Liabilities Held for Sale</w:t>
      </w:r>
    </w:p>
    <w:p>
      <w:pPr>
        <w:spacing w:after="0" w:line="256" w:lineRule="exact"/>
        <w:rPr>
          <w:sz w:val="20"/>
          <w:szCs w:val="20"/>
          <w:color w:val="auto"/>
        </w:rPr>
      </w:pPr>
    </w:p>
    <w:p>
      <w:pPr>
        <w:jc w:val="both"/>
        <w:ind w:right="620"/>
        <w:spacing w:after="0" w:line="312" w:lineRule="auto"/>
        <w:rPr>
          <w:rFonts w:ascii="Arial" w:cs="Arial" w:eastAsia="Arial" w:hAnsi="Arial"/>
          <w:sz w:val="16"/>
          <w:szCs w:val="16"/>
          <w:color w:val="000000"/>
        </w:rPr>
      </w:pPr>
      <w:hyperlink w:anchor="page21">
        <w:r>
          <w:rPr>
            <w:rFonts w:ascii="Arial" w:cs="Arial" w:eastAsia="Arial" w:hAnsi="Arial"/>
            <w:sz w:val="16"/>
            <w:szCs w:val="16"/>
            <w:color w:val="auto"/>
          </w:rPr>
          <w:t xml:space="preserve">On May 23, 2019, the Company completed the sale of substantially of its U.S. ground lease business. </w:t>
        </w:r>
        <w:r>
          <w:rPr>
            <w:rFonts w:ascii="Arial" w:cs="Arial" w:eastAsia="Arial" w:hAnsi="Arial"/>
            <w:sz w:val="16"/>
            <w:szCs w:val="16"/>
            <w:u w:val="single" w:color="auto"/>
            <w:color w:val="0000EE"/>
          </w:rPr>
          <w:t>See Note 5. As of June 30, 2019, the sale of the</w:t>
        </w:r>
      </w:hyperlink>
      <w:r>
        <w:rPr>
          <w:rFonts w:ascii="Arial" w:cs="Arial" w:eastAsia="Arial" w:hAnsi="Arial"/>
          <w:sz w:val="16"/>
          <w:szCs w:val="16"/>
          <w:color w:val="auto"/>
        </w:rPr>
        <w:t xml:space="preserve"> </w:t>
      </w:r>
      <w:hyperlink w:anchor="page21">
        <w:r>
          <w:rPr>
            <w:rFonts w:ascii="Arial" w:cs="Arial" w:eastAsia="Arial" w:hAnsi="Arial"/>
            <w:sz w:val="16"/>
            <w:szCs w:val="16"/>
            <w:u w:val="single" w:color="auto"/>
            <w:color w:val="0000EE"/>
          </w:rPr>
          <w:t xml:space="preserve">remaining ground lease is expected to close during the third quarter and has </w:t>
        </w:r>
        <w:r>
          <w:rPr>
            <w:rFonts w:ascii="Arial" w:cs="Arial" w:eastAsia="Arial" w:hAnsi="Arial"/>
            <w:sz w:val="16"/>
            <w:szCs w:val="16"/>
            <w:u w:val="single" w:color="auto"/>
            <w:color w:val="000000"/>
          </w:rPr>
          <w:t>met the criteria to be classified as held for sale</w:t>
        </w:r>
        <w:r>
          <w:rPr>
            <w:rFonts w:ascii="Arial" w:cs="Arial" w:eastAsia="Arial" w:hAnsi="Arial"/>
            <w:sz w:val="16"/>
            <w:szCs w:val="16"/>
            <w:u w:val="single" w:color="auto"/>
            <w:color w:val="0000EE"/>
          </w:rPr>
          <w:t xml:space="preserve">. </w:t>
        </w:r>
        <w:r>
          <w:rPr>
            <w:rFonts w:ascii="Arial" w:cs="Arial" w:eastAsia="Arial" w:hAnsi="Arial"/>
            <w:sz w:val="16"/>
            <w:szCs w:val="16"/>
            <w:u w:val="single" w:color="auto"/>
            <w:color w:val="000000"/>
          </w:rPr>
          <w:t>As a result, the Company</w:t>
        </w:r>
      </w:hyperlink>
      <w:r>
        <w:rPr>
          <w:rFonts w:ascii="Arial" w:cs="Arial" w:eastAsia="Arial" w:hAnsi="Arial"/>
          <w:sz w:val="16"/>
          <w:szCs w:val="16"/>
          <w:u w:val="single" w:color="auto"/>
          <w:color w:val="0000EE"/>
        </w:rPr>
        <w:t xml:space="preserve"> </w:t>
      </w:r>
      <w:hyperlink w:anchor="page21">
        <w:r>
          <w:rPr>
            <w:rFonts w:ascii="Arial" w:cs="Arial" w:eastAsia="Arial" w:hAnsi="Arial"/>
            <w:sz w:val="16"/>
            <w:szCs w:val="16"/>
            <w:color w:val="000000"/>
          </w:rPr>
          <w:t>classified $2.8 million of net property, plant and equipment to assets held for sale on the Condensed Consolidated Balance Sheet.</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59029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02960" cy="8890"/>
                    </a:xfrm>
                    <a:prstGeom prst="rect">
                      <a:avLst/>
                    </a:prstGeom>
                    <a:noFill/>
                  </pic:spPr>
                </pic:pic>
              </a:graphicData>
            </a:graphic>
          </wp:anchor>
        </w:drawing>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3"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On January 15, 2019, the Company entered into an operating company/property company (“OpCo-PropCo”) transaction with Macquarie Infrastructure Partners (“MIP”) to acquire Bluebird Network, LLC (“Bluebird”). MIP operates within the Macquarie Infrastructure and Real Assets division of Macquarie Group. In the transaction, Uniti has agreed to purchase the Bluebird fiber network and MIP has agreed to purchase the Bluebird operations. In addition, Uniti has agreed to sell Uniti Fiber’s Midwest operations to MIP, while Uniti will retain its existing Midwest fiber network. As of June 30, 2019, the sale of the Midwest operations met the criteria to be classified as held for sale. As a result, the Company classified $13.9 million of net property, plant and equipment to assets held for sale and $4.3 million of other accrued liabilities to liabilities held for sale on the Condensed Consolidated Balance Sheet as of June 30,</w:t>
      </w:r>
    </w:p>
    <w:p>
      <w:pPr>
        <w:spacing w:after="0" w:line="5"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2019. The Midwest operations that will be sold to MIP are currently reported in our Fiber Infrastructure segment. The sale does not represent a strategic shift that will have a major effect on operations and financial results and, therefore, did not qualify for presentation as a discontinued operation. These transactions are subject to regulatory and other closing conditions and are expected to close by the end of the third quarter of 2019.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assets or liabilities classified as held for sale as of December 31, 2018.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of Financial Instruments</w:t>
      </w:r>
    </w:p>
    <w:p>
      <w:pPr>
        <w:spacing w:after="0" w:line="12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 xml:space="preserve">FASB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57" w:lineRule="exact"/>
        <w:rPr>
          <w:sz w:val="20"/>
          <w:szCs w:val="20"/>
          <w:color w:val="auto"/>
        </w:rPr>
      </w:pPr>
    </w:p>
    <w:p>
      <w:pPr>
        <w:ind w:right="960"/>
        <w:spacing w:after="0" w:line="389" w:lineRule="auto"/>
        <w:rPr>
          <w:sz w:val="20"/>
          <w:szCs w:val="20"/>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Quoted prices (unadjusted) in active markets for identical assets or liabilities that the reporting entity can access at the assessment date;</w:t>
      </w:r>
      <w:r>
        <w:rPr>
          <w:rFonts w:ascii="Arial" w:cs="Arial" w:eastAsia="Arial" w:hAnsi="Arial"/>
          <w:sz w:val="18"/>
          <w:szCs w:val="18"/>
          <w:b w:val="1"/>
          <w:bCs w:val="1"/>
          <w:i w:val="1"/>
          <w:iCs w:val="1"/>
          <w:color w:val="auto"/>
        </w:rPr>
        <w:t xml:space="preserve"> Level 2 </w:t>
      </w:r>
      <w:r>
        <w:rPr>
          <w:rFonts w:ascii="Arial" w:cs="Arial" w:eastAsia="Arial" w:hAnsi="Arial"/>
          <w:sz w:val="18"/>
          <w:szCs w:val="18"/>
          <w:color w:val="auto"/>
        </w:rPr>
        <w:t>– Inputs other than quoted prices included within Level 1 that are observable for the asset or liability, either directly or indirectly; and</w:t>
      </w:r>
      <w:r>
        <w:rPr>
          <w:rFonts w:ascii="Arial" w:cs="Arial" w:eastAsia="Arial" w:hAnsi="Arial"/>
          <w:sz w:val="18"/>
          <w:szCs w:val="18"/>
          <w:b w:val="1"/>
          <w:bCs w:val="1"/>
          <w:i w:val="1"/>
          <w:iCs w:val="1"/>
          <w:color w:val="auto"/>
        </w:rPr>
        <w:t xml:space="preserve"> Level 3 </w:t>
      </w:r>
      <w:r>
        <w:rPr>
          <w:rFonts w:ascii="Arial" w:cs="Arial" w:eastAsia="Arial" w:hAnsi="Arial"/>
          <w:sz w:val="18"/>
          <w:szCs w:val="18"/>
          <w:color w:val="auto"/>
        </w:rPr>
        <w:t>– Unobservable inputs for the asset or liability.</w:t>
      </w:r>
    </w:p>
    <w:p>
      <w:pPr>
        <w:spacing w:after="0" w:line="7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financial instruments consist of cash and cash equivalents, accounts and other receivables, a derivative asset and liability, our outstanding notes and other debt, contingent consideration and accounts, interest and dividends payable.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our financial instruments at June 30, 2019 and December 31, 2018:</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Quoted Prices in</w:t>
            </w: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Prices with Other</w:t>
            </w:r>
          </w:p>
        </w:tc>
        <w:tc>
          <w:tcPr>
            <w:tcW w:w="120" w:type="dxa"/>
            <w:vAlign w:val="bottom"/>
          </w:tcPr>
          <w:p>
            <w:pPr>
              <w:spacing w:after="0"/>
              <w:rPr>
                <w:sz w:val="14"/>
                <w:szCs w:val="14"/>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Prices with</w:t>
            </w: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060" w:type="dxa"/>
            <w:vAlign w:val="bottom"/>
          </w:tcPr>
          <w:p>
            <w:pPr>
              <w:jc w:val="center"/>
              <w:ind w:left="1"/>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60" w:type="dxa"/>
            <w:vAlign w:val="bottom"/>
          </w:tcPr>
          <w:p>
            <w:pPr>
              <w:jc w:val="center"/>
              <w:ind w:left="1"/>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223"/>
        </w:trPr>
        <w:tc>
          <w:tcPr>
            <w:tcW w:w="6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June 30, 2019</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secured term loan B - variable rate, due October 24, 2022</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1,998,748</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81"/>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1,998,748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Senior secured notes - 6.00%, due April 15, 2023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521,125</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521,125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unsecured notes - 8.25%, due October 15, 2023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1,026,750</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1,026,750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Senior unsecured notes - 7.125%, due December 15, 2024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535,500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535,500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Exchangeable senior notes - 4.00%, due June 15, 2024</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355,523</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355,523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Senior secured revolving credit facility, variable rate, due April 24, 2022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574,961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574,961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Derivative liability</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19,117</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19,117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Contingent consideration</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18,522</w:t>
            </w:r>
          </w:p>
        </w:tc>
        <w:tc>
          <w:tcPr>
            <w:tcW w:w="1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5,050,246</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81"/>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5,031,724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Prices with</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Prices with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140" w:type="dxa"/>
            <w:vAlign w:val="bottom"/>
          </w:tcPr>
          <w:p>
            <w:pPr>
              <w:jc w:val="center"/>
              <w:ind w:left="18"/>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14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71"/>
        </w:trPr>
        <w:tc>
          <w:tcPr>
            <w:tcW w:w="60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December 31, 2018</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Derivative asset</w:t>
            </w:r>
          </w:p>
        </w:tc>
        <w:tc>
          <w:tcPr>
            <w:tcW w:w="4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31,043</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58"/>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31,043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0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31,043</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958"/>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31,043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Senior secured term loan B - variable rate, due October 24, 2022</w:t>
            </w:r>
          </w:p>
        </w:tc>
        <w:tc>
          <w:tcPr>
            <w:tcW w:w="4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1,877,303</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58"/>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1,877,303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Senior secured notes - 6.00%, due April 15, 2023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504,625</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504,625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Senior unsecured notes - 8.25%, due October 15, 2023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965,700</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965,700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Senior unsecured notes - 7.125%, due December 15, 2024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496,500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496,500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Senior secured revolving credit facility, variable rate, due April 24, 2020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639,936</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639,936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Contingent consideration</w:t>
            </w:r>
          </w:p>
        </w:tc>
        <w:tc>
          <w:tcPr>
            <w:tcW w:w="2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83,401</w:t>
            </w:r>
          </w:p>
        </w:tc>
        <w:tc>
          <w:tcPr>
            <w:tcW w:w="100" w:type="dxa"/>
            <w:vAlign w:val="bottom"/>
            <w:tcBorders>
              <w:bottom w:val="single" w:sz="8" w:color="CFF0FC"/>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83,401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4,567,465</w:t>
            </w: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958"/>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4,484,064</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The carrying value of cash and cash equivalents, accounts and other receivables, and accounts, interest and dividends payable approximate fair values due to the short-term nature of these financial instruments.</w:t>
      </w:r>
    </w:p>
    <w:p>
      <w:pPr>
        <w:spacing w:after="0" w:line="17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The total principal balance of our outstanding notes and other debt was $5.24 billion at June 30, 2019, with a fair value of $5.05 billion. The estimated fair value of our outstanding notes and other debt was based on available external pricing data and current market rates for similar debt instruments, among other factors, which are classified as Level 2 inputs within the fair value hierarchy. Derivative assets and liabilities are carried at fair value. </w:t>
      </w:r>
      <w:r>
        <w:rPr>
          <w:rFonts w:ascii="Arial" w:cs="Arial" w:eastAsia="Arial" w:hAnsi="Arial"/>
          <w:sz w:val="16"/>
          <w:szCs w:val="16"/>
          <w:u w:val="single" w:color="auto"/>
          <w:color w:val="0000EE"/>
        </w:rPr>
        <w:t>See Note 9. The fair</w:t>
      </w:r>
      <w:r>
        <w:rPr>
          <w:rFonts w:ascii="Arial" w:cs="Arial" w:eastAsia="Arial" w:hAnsi="Arial"/>
          <w:sz w:val="16"/>
          <w:szCs w:val="16"/>
          <w:color w:val="auto"/>
        </w:rPr>
        <w:t xml:space="preserve"> </w:t>
      </w:r>
      <w:r>
        <w:rPr>
          <w:rFonts w:ascii="Arial" w:cs="Arial" w:eastAsia="Arial" w:hAnsi="Arial"/>
          <w:sz w:val="16"/>
          <w:szCs w:val="16"/>
          <w:u w:val="single" w:color="auto"/>
          <w:color w:val="0000EE"/>
        </w:rPr>
        <w:t>value of an interest rate swap is determined based on the present value of expected future cash flows using observable, quoted LIBOR swap rates for the full term of the swap and also incorporate credit valuation adjustments to appropriately reflect both Uniti’s own non-performance risk and non-performance risk of the respective counterparties. The Company has determined that the majority of the inputs used to value its derivative assets and liabilities fall within Level 2 of the fair value hierarchy; however the associated credit valuation adjustments utilized Level 3 inputs, such as estimates of credit spreads, to evaluate the likelihood of default by the Company and its counterparties. As of June 30, 2019, the Company has assessed the significance of the impact of the credit valuation adjustments on the overall valuation of its derivative positions and has determined that the credit valuation adjustment is not significant to the overall value of the derivatives. As such, the Company classifies its derivative assets and liabilities valuation in Level 2 of the fair value hierarchy</w:t>
      </w:r>
      <w:r>
        <w:rPr>
          <w:rFonts w:ascii="Arial" w:cs="Arial" w:eastAsia="Arial" w:hAnsi="Arial"/>
          <w:sz w:val="16"/>
          <w:szCs w:val="16"/>
          <w:color w:val="000000"/>
        </w:rPr>
        <w:t>.</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merger agreement related to the July 3, 2017 acquisition of Hunt Telecommunications, LLC (“Hunt”) contained a contingent consideration arrangement (the “Hunt Contingent Consideration”) upon the achievement of certain defined revenue milestones. The fair value of the Hunt Contingent Consideration was determined using the closing price of our common shares in the active market and probability of expected declared dividends and is classified as Level 3. In accordance with the merger agreement on January 4, 2019, we settled the Hunt Contingent Consideration in full satisfaction of the obligation through the issuance of 645,385 common shares having a fair value of $11.2 million.</w:t>
      </w:r>
    </w:p>
    <w:p>
      <w:pPr>
        <w:spacing w:after="0" w:line="188" w:lineRule="exact"/>
        <w:rPr>
          <w:sz w:val="20"/>
          <w:szCs w:val="20"/>
          <w:color w:val="auto"/>
        </w:rPr>
      </w:pPr>
    </w:p>
    <w:p>
      <w:pPr>
        <w:ind w:right="220"/>
        <w:spacing w:after="0" w:line="312" w:lineRule="auto"/>
        <w:rPr>
          <w:rFonts w:ascii="Arial" w:cs="Arial" w:eastAsia="Arial" w:hAnsi="Arial"/>
          <w:sz w:val="16"/>
          <w:szCs w:val="16"/>
          <w:color w:val="auto"/>
        </w:rPr>
      </w:pPr>
      <w:r>
        <w:rPr>
          <w:rFonts w:ascii="Arial" w:cs="Arial" w:eastAsia="Arial" w:hAnsi="Arial"/>
          <w:sz w:val="16"/>
          <w:szCs w:val="16"/>
          <w:color w:val="auto"/>
        </w:rPr>
        <w:t>Given the limited trade activity of the Exchangeable Notes, the fair value of the Exchangeable Notes (</w:t>
      </w:r>
      <w:hyperlink w:anchor="page28">
        <w:r>
          <w:rPr>
            <w:rFonts w:ascii="Arial" w:cs="Arial" w:eastAsia="Arial" w:hAnsi="Arial"/>
            <w:sz w:val="16"/>
            <w:szCs w:val="16"/>
            <w:u w:val="single" w:color="auto"/>
            <w:color w:val="0000EE"/>
          </w:rPr>
          <w:t>see Note 11</w:t>
        </w:r>
      </w:hyperlink>
      <w:r>
        <w:rPr>
          <w:rFonts w:ascii="Arial" w:cs="Arial" w:eastAsia="Arial" w:hAnsi="Arial"/>
          <w:sz w:val="16"/>
          <w:szCs w:val="16"/>
          <w:color w:val="auto"/>
        </w:rPr>
        <w:t>) is determined based on inputs that are observable in the market and have been classified as Level 2 in the fair value hierarchy. Specifically, we estimated the fair value of the Exchangeable Notes based on readily available external pricing information, quoted market prices, and current market rates for similar convertible debt instruments.</w:t>
      </w:r>
    </w:p>
    <w:p>
      <w:pPr>
        <w:spacing w:after="0" w:line="14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acquired Tower Cloud, Inc. (“Tower Cloud”) on August 31, 2016. As part of the Tower Cloud acquisition, we may be obligated to pay contingent consideration upon achievement of certain defined operational and financial milestones. At the Company’s discretion, a combination of cash and Uniti common shares may be used to satisfy the contingent consideration payments, provided that at least 50% of the aggregate amount of payments is satisfied in cash. We recorded the estimated fair value of future contingent consideration of $18.5 million as of June 30, 2019. The fair value of the contingent consideration as of June 30, 2019, was determined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using a discounted cash flow model and probability adjusted estimates of the future operational milestones and is classified as Level 3. During the six months ended June 30, 2019 and 2018, we paid $28.2 million and $12.7 million, respectively, for the achievement of certain milestones in accordance with the Tower Cloud merger agreement.</w:t>
      </w:r>
    </w:p>
    <w:p>
      <w:pPr>
        <w:spacing w:after="0" w:line="18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Changes in the fair value of contingent consideration arrangements are recorded in our Condensed Consolidated Statement of Income in the period in which the change occurs. For the three and six months ended June 30, 2019, there was a $22.3 million and $25.5 million, respectively, decrease in the fair value of the contingent consideration that was recorded in Other (income) expense on the Condensed Consolidated Statements of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roll forward of our liabilities measured at fair value on a recurring basis using unobservable inputs (Level 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1"/>
              </w:rPr>
              <w:t>December 31, 2018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(Gain)/Loss included in</w:t>
            </w:r>
          </w:p>
        </w:tc>
        <w:tc>
          <w:tcPr>
            <w:tcW w:w="100" w:type="dxa"/>
            <w:vAlign w:val="bottom"/>
          </w:tcPr>
          <w:p>
            <w:pPr>
              <w:spacing w:after="0"/>
              <w:rPr>
                <w:sz w:val="14"/>
                <w:szCs w:val="14"/>
                <w:color w:val="auto"/>
              </w:rPr>
            </w:pPr>
          </w:p>
        </w:tc>
        <w:tc>
          <w:tcPr>
            <w:tcW w:w="158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Settlements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171"/>
        </w:trPr>
        <w:tc>
          <w:tcPr>
            <w:tcW w:w="310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6"/>
          </w:tcPr>
          <w:p>
            <w:pPr>
              <w:ind w:left="20"/>
              <w:spacing w:after="0"/>
              <w:rPr>
                <w:sz w:val="20"/>
                <w:szCs w:val="20"/>
                <w:color w:val="auto"/>
              </w:rPr>
            </w:pPr>
            <w:r>
              <w:rPr>
                <w:rFonts w:ascii="Arial" w:cs="Arial" w:eastAsia="Arial" w:hAnsi="Arial"/>
                <w:sz w:val="14"/>
                <w:szCs w:val="14"/>
                <w:b w:val="1"/>
                <w:bCs w:val="1"/>
                <w:color w:val="auto"/>
              </w:rPr>
              <w:t>Transfers into Level 3</w:t>
            </w:r>
          </w:p>
        </w:tc>
        <w:tc>
          <w:tcPr>
            <w:tcW w:w="12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9"/>
              </w:rPr>
              <w:t>earnings</w:t>
            </w:r>
          </w:p>
        </w:tc>
        <w:tc>
          <w:tcPr>
            <w:tcW w:w="10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83,401</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9"/>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(25,531)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6"/>
              </w:rPr>
              <w:t>(39,348)</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18,522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743"/>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w w:val="93"/>
              </w:rPr>
              <w:t>Note 8. Property, Plant and Equipment</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200" w:type="dxa"/>
            <w:vAlign w:val="bottom"/>
            <w:gridSpan w:val="7"/>
          </w:tcPr>
          <w:p>
            <w:pPr>
              <w:spacing w:after="0"/>
              <w:rPr>
                <w:sz w:val="20"/>
                <w:szCs w:val="20"/>
                <w:color w:val="auto"/>
              </w:rPr>
            </w:pPr>
            <w:r>
              <w:rPr>
                <w:rFonts w:ascii="Arial" w:cs="Arial" w:eastAsia="Arial" w:hAnsi="Arial"/>
                <w:sz w:val="18"/>
                <w:szCs w:val="18"/>
                <w:color w:val="auto"/>
                <w:w w:val="99"/>
              </w:rPr>
              <w:t>The carrying value of property, plant and equipment is as follows:</w:t>
            </w:r>
          </w:p>
        </w:tc>
        <w:tc>
          <w:tcPr>
            <w:tcW w:w="158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rPr>
              <w:t>Depreciable Lives</w:t>
            </w:r>
          </w:p>
        </w:tc>
        <w:tc>
          <w:tcPr>
            <w:tcW w:w="200" w:type="dxa"/>
            <w:vAlign w:val="bottom"/>
          </w:tcPr>
          <w:p>
            <w:pPr>
              <w:spacing w:after="0"/>
              <w:rPr>
                <w:sz w:val="24"/>
                <w:szCs w:val="24"/>
                <w:color w:val="auto"/>
              </w:rPr>
            </w:pPr>
          </w:p>
        </w:tc>
        <w:tc>
          <w:tcPr>
            <w:tcW w:w="1980" w:type="dxa"/>
            <w:vAlign w:val="bottom"/>
            <w:gridSpan w:val="4"/>
            <w:vMerge w:val="restart"/>
          </w:tcPr>
          <w:p>
            <w:pPr>
              <w:jc w:val="right"/>
              <w:ind w:right="507"/>
              <w:spacing w:after="0"/>
              <w:rPr>
                <w:sz w:val="20"/>
                <w:szCs w:val="20"/>
                <w:color w:val="auto"/>
              </w:rPr>
            </w:pPr>
            <w:r>
              <w:rPr>
                <w:rFonts w:ascii="Arial" w:cs="Arial" w:eastAsia="Arial" w:hAnsi="Arial"/>
                <w:sz w:val="14"/>
                <w:szCs w:val="14"/>
                <w:b w:val="1"/>
                <w:bCs w:val="1"/>
                <w:color w:val="auto"/>
              </w:rPr>
              <w:t>June 30, 2019</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67"/>
        </w:trPr>
        <w:tc>
          <w:tcPr>
            <w:tcW w:w="310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1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Land</w:t>
            </w:r>
          </w:p>
        </w:tc>
        <w:tc>
          <w:tcPr>
            <w:tcW w:w="1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Indefinite</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26"/>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27,567</w:t>
            </w:r>
          </w:p>
        </w:tc>
        <w:tc>
          <w:tcPr>
            <w:tcW w:w="3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29,304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Building and improvements</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4"/>
          </w:tcPr>
          <w:p>
            <w:pPr>
              <w:jc w:val="right"/>
              <w:ind w:right="160"/>
              <w:spacing w:after="0"/>
              <w:rPr>
                <w:sz w:val="20"/>
                <w:szCs w:val="20"/>
                <w:color w:val="auto"/>
              </w:rPr>
            </w:pPr>
            <w:r>
              <w:rPr>
                <w:rFonts w:ascii="Arial" w:cs="Arial" w:eastAsia="Arial" w:hAnsi="Arial"/>
                <w:sz w:val="18"/>
                <w:szCs w:val="18"/>
                <w:color w:val="auto"/>
              </w:rPr>
              <w:t>3 - 40 years</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345,754</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340,238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property interests</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4,630</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Poles</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4"/>
          </w:tcPr>
          <w:p>
            <w:pPr>
              <w:jc w:val="right"/>
              <w:ind w:right="160"/>
              <w:spacing w:after="0"/>
              <w:rPr>
                <w:sz w:val="20"/>
                <w:szCs w:val="20"/>
                <w:color w:val="auto"/>
              </w:rPr>
            </w:pPr>
            <w:r>
              <w:rPr>
                <w:rFonts w:ascii="Arial" w:cs="Arial" w:eastAsia="Arial" w:hAnsi="Arial"/>
                <w:sz w:val="18"/>
                <w:szCs w:val="18"/>
                <w:color w:val="auto"/>
              </w:rPr>
              <w:t>30 years</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255,103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248,989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Fiber</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30 years</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3,158,337</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3,005,304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4"/>
          </w:tcPr>
          <w:p>
            <w:pPr>
              <w:jc w:val="right"/>
              <w:ind w:right="160"/>
              <w:spacing w:after="0"/>
              <w:rPr>
                <w:sz w:val="20"/>
                <w:szCs w:val="20"/>
                <w:color w:val="auto"/>
              </w:rPr>
            </w:pPr>
            <w:r>
              <w:rPr>
                <w:rFonts w:ascii="Arial" w:cs="Arial" w:eastAsia="Arial" w:hAnsi="Arial"/>
                <w:sz w:val="18"/>
                <w:szCs w:val="18"/>
                <w:color w:val="auto"/>
              </w:rPr>
              <w:t>5 - 7 years</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266,933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256,838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Copper</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20 years</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3,756,758</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3,721,649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Conduit</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4"/>
          </w:tcPr>
          <w:p>
            <w:pPr>
              <w:jc w:val="right"/>
              <w:ind w:right="160"/>
              <w:spacing w:after="0"/>
              <w:rPr>
                <w:sz w:val="20"/>
                <w:szCs w:val="20"/>
                <w:color w:val="auto"/>
              </w:rPr>
            </w:pPr>
            <w:r>
              <w:rPr>
                <w:rFonts w:ascii="Arial" w:cs="Arial" w:eastAsia="Arial" w:hAnsi="Arial"/>
                <w:sz w:val="18"/>
                <w:szCs w:val="18"/>
                <w:color w:val="auto"/>
              </w:rPr>
              <w:t>30 years</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89,768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89,692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Tower assets</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20 years</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127,577</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Capital lease assets</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4"/>
          </w:tcPr>
          <w:p>
            <w:pPr>
              <w:jc w:val="right"/>
              <w:ind w:right="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128,530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15 - 20 years</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11,798</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Corporate assets</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4"/>
          </w:tcPr>
          <w:p>
            <w:pPr>
              <w:jc w:val="right"/>
              <w:ind w:right="160"/>
              <w:spacing w:after="0"/>
              <w:rPr>
                <w:sz w:val="20"/>
                <w:szCs w:val="20"/>
                <w:color w:val="auto"/>
              </w:rPr>
            </w:pPr>
            <w:r>
              <w:rPr>
                <w:rFonts w:ascii="Arial" w:cs="Arial" w:eastAsia="Arial" w:hAnsi="Arial"/>
                <w:sz w:val="18"/>
                <w:szCs w:val="18"/>
                <w:color w:val="auto"/>
              </w:rPr>
              <w:t>3 - 7 years</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4,733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117,547</w:t>
            </w:r>
          </w:p>
        </w:tc>
        <w:tc>
          <w:tcPr>
            <w:tcW w:w="3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137,585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8,295,035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8,123,305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190"/>
              <w:spacing w:after="0"/>
              <w:rPr>
                <w:sz w:val="20"/>
                <w:szCs w:val="20"/>
                <w:color w:val="auto"/>
              </w:rPr>
            </w:pPr>
            <w:r>
              <w:rPr>
                <w:rFonts w:ascii="Arial" w:cs="Arial" w:eastAsia="Arial" w:hAnsi="Arial"/>
                <w:sz w:val="18"/>
                <w:szCs w:val="18"/>
                <w:color w:val="auto"/>
              </w:rPr>
              <w:t>(5,093,599)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(4,914,299)</w:t>
            </w:r>
          </w:p>
        </w:tc>
        <w:tc>
          <w:tcPr>
            <w:tcW w:w="0" w:type="dxa"/>
            <w:vAlign w:val="bottom"/>
          </w:tcPr>
          <w:p>
            <w:pPr>
              <w:spacing w:after="0"/>
              <w:rPr>
                <w:sz w:val="1"/>
                <w:szCs w:val="1"/>
                <w:color w:val="auto"/>
              </w:rPr>
            </w:pPr>
          </w:p>
        </w:tc>
      </w:tr>
      <w:tr>
        <w:trPr>
          <w:trHeight w:val="224"/>
        </w:trPr>
        <w:tc>
          <w:tcPr>
            <w:tcW w:w="3100" w:type="dxa"/>
            <w:vAlign w:val="bottom"/>
            <w:gridSpan w:val="2"/>
          </w:tcPr>
          <w:p>
            <w:pPr>
              <w:spacing w:after="0"/>
              <w:rPr>
                <w:sz w:val="20"/>
                <w:szCs w:val="20"/>
                <w:color w:val="auto"/>
              </w:rPr>
            </w:pPr>
            <w:r>
              <w:rPr>
                <w:rFonts w:ascii="Arial" w:cs="Arial" w:eastAsia="Arial" w:hAnsi="Arial"/>
                <w:sz w:val="18"/>
                <w:szCs w:val="18"/>
                <w:color w:val="auto"/>
              </w:rPr>
              <w:t>Net property, plant and equipment</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ind w:right="726"/>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3,201,436</w:t>
            </w:r>
          </w:p>
        </w:tc>
        <w:tc>
          <w:tcPr>
            <w:tcW w:w="34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3,209,006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0</wp:posOffset>
            </wp:positionV>
            <wp:extent cx="27444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44470" cy="2603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(1) See our Annual Report for property, plant and equipment accounting policies.</w:t>
      </w:r>
    </w:p>
    <w:p>
      <w:pPr>
        <w:spacing w:after="0" w:line="20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Depreciation expense for the three and six months ended June 30, 2019 was $96.5 million and $194.0 million, respectively. Depreciation expense for the three and six months ended June 30, 2018 was $108.7 million and $216.9 million,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 Instruments and Hedging Activities</w:t>
      </w:r>
    </w:p>
    <w:p>
      <w:pPr>
        <w:spacing w:after="0" w:line="12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Company uses derivative instruments to mitigate the effects of interest rate volatility inherent in our variable rate debt, which could unfavorably impact our future earnings and forecasted cash flows. The Company does not use derivative instruments for speculative or trading purposes.</w:t>
      </w:r>
    </w:p>
    <w:p>
      <w:pPr>
        <w:spacing w:after="0" w:line="14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April 27, 2015, we entered into fixed for floating interest rate swap agreements to mitigate the interest rate risk inherent in our variable rate Senior Secured Term Loan B facility. These interest rate swaps are designated as cash flow hedges and have a notional value of $2.06 billion and mature on October 24, 2022. The weighted average fixed rate paid is 2.105%, and the variable rate received resets monthly to the one-month LIBOR subject to a minimum rate of 1.0%. The Company does not currently have any master netting arrangements related to its derivative contracts.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and the presentation in our Condensed Consolidated Balance Sheets: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Location on Condensed Consolidated</w:t>
            </w:r>
          </w:p>
        </w:tc>
        <w:tc>
          <w:tcPr>
            <w:tcW w:w="260" w:type="dxa"/>
            <w:vAlign w:val="bottom"/>
          </w:tcPr>
          <w:p>
            <w:pPr>
              <w:spacing w:after="0"/>
              <w:rPr>
                <w:sz w:val="14"/>
                <w:szCs w:val="14"/>
                <w:color w:val="auto"/>
              </w:rPr>
            </w:pPr>
          </w:p>
        </w:tc>
        <w:tc>
          <w:tcPr>
            <w:tcW w:w="148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June 30, 2019</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71"/>
        </w:trPr>
        <w:tc>
          <w:tcPr>
            <w:tcW w:w="47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Balance Sheets</w:t>
            </w:r>
          </w:p>
        </w:tc>
        <w:tc>
          <w:tcPr>
            <w:tcW w:w="26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tcBorders>
              <w:top w:val="single" w:sz="8" w:color="CFF0FC"/>
            </w:tcBorders>
            <w:shd w:val="clear" w:color="auto" w:fill="CFF0FC"/>
          </w:tcPr>
          <w:p>
            <w:pPr>
              <w:spacing w:after="0"/>
              <w:rPr>
                <w:sz w:val="19"/>
                <w:szCs w:val="19"/>
                <w:color w:val="auto"/>
              </w:rPr>
            </w:pPr>
          </w:p>
        </w:tc>
        <w:tc>
          <w:tcPr>
            <w:tcW w:w="25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Derivative asset</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31,043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Interest rate swaps</w:t>
            </w:r>
          </w:p>
        </w:tc>
        <w:tc>
          <w:tcPr>
            <w:tcW w:w="27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Derivative liability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19,117</w:t>
            </w:r>
          </w:p>
        </w:tc>
        <w:tc>
          <w:tcPr>
            <w:tcW w:w="4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of June 30, 2019, all of the interest rate swaps were valued in net unrealized loss positions and recognized as liability balances within the derivative liability balance. As of December 31, 2018, all of the interest rate swaps were valued in net unrealized gain positions and recognized as asset balances within the derivative asset balance. For the three and six months ended June 30, 2019, the amount recorded in other comprehensive income related to the unrealized loss on derivative instruments was $26.6 million and $46.1 million, respectively. For the three and six months ended June 30, 2018, the amount recorded in other comprehensive income related to the unrealized gain on derivative instruments was $13.6 million and $46.3 million, respectively. The amount reclassified out of other comprehensive income into interest expense on our Condensed Consolidated Statement of Income for the three and six months ended June 30, 2019, was a benefit of $1.9 million and $4.0 million, respectively. The amount reclassified out of other comprehensive income into interest expense on our Condensed Consolidated Statement of Income for the three and six months ended June 30, 2018, was $1.0 million and $3.6 million, respectively. For the three months ended June 30, 2019 and 2018, there was no ineffective portion of the change in fair value derivatives.</w:t>
      </w:r>
    </w:p>
    <w:p>
      <w:pPr>
        <w:spacing w:after="0" w:line="16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Amounts reported in accumulated other comprehensive income (loss) related to derivatives will be reclassified to interest expense as interest payments are made on our variable-rate debt. During the next twelve months, beginning July 1, 2019, we estimate that $7.6 million will be reclassified as a benefit to interest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Exchangeable Notes Hedge Transactions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June 25, 2019, concurrently with the pricing of the Exchangeable Notes (</w:t>
      </w:r>
      <w:r>
        <w:rPr>
          <w:rFonts w:ascii="Arial" w:cs="Arial" w:eastAsia="Arial" w:hAnsi="Arial"/>
          <w:sz w:val="17"/>
          <w:szCs w:val="17"/>
          <w:u w:val="single" w:color="auto"/>
          <w:color w:val="auto"/>
        </w:rPr>
        <w:t>see Note 11</w:t>
      </w:r>
      <w:r>
        <w:rPr>
          <w:rFonts w:ascii="Arial" w:cs="Arial" w:eastAsia="Arial" w:hAnsi="Arial"/>
          <w:sz w:val="17"/>
          <w:szCs w:val="17"/>
          <w:color w:val="auto"/>
        </w:rPr>
        <w:t>), and on June 27, 2019, concurrently with the exercise by the Initial Purchasers (as defined below) of their option to purchase additional Exchangeable Notes, Uniti Fiber, the issuer of the Exchangeable Notes, entered into the Note Hedge Transactions with certain of the Counterparties. The Note Hedge Transactions cover, subject to anti-dilution adjustments substantially similar to those applicable to the Exchangeable Notes, the same number of shares of the Company’s common stock that initially underlie the Exchangeable Notes in the aggregate and are exercisable upon exchange of the Exchangeable Notes. The Note Hedge Transactions have an initial strike price that corresponds to the initial exchange price of the Exchangeable Notes, subject to anti-dilution adjustments substantially similar to those applicable to the Exchangeable Notes. The Note Hedge Transactions will expire upon the maturity of the Exchangeable Notes, if not earlier exercised. The Note Hedge Transactions are intended to reduce potential dilution to the Company’s common stock upon any exchange of the Exchangeable Notes and/or offset any cash payments Uniti Fiber is required to make in excess of the principal amount of exchanged Exchangeable Notes, as the case may be, in the event that the market value per share of the Company’s common stock, as measured under the Note Hedge Transactions, at the time of exercise is greater than the strike price of the Note Hedge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-1409065</wp:posOffset>
            </wp:positionV>
            <wp:extent cx="5353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5305" cy="8890"/>
                    </a:xfrm>
                    <a:prstGeom prst="rect">
                      <a:avLst/>
                    </a:prstGeom>
                    <a:noFill/>
                  </pic:spPr>
                </pic:pic>
              </a:graphicData>
            </a:graphic>
          </wp:anchor>
        </w:drawing>
      </w:r>
    </w:p>
    <w:p>
      <w:pPr>
        <w:spacing w:after="0" w:line="1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Note Hedge Transactions are separate transactions, entered into by Uniti Fiber with the Counterparties, and are not part of the terms of the Exchangeable Notes. Holders of the Exchangeable Notes will not have any rights with respect to the Note Hedge Transactions. Uniti Fiber used approximately $70.0 million of the net proceeds from the offering of the Exchangeable Notes to pay the cost of the Note Hedge Transactions. The Note Hedge Transactions meet certain accounting criteria under GAAP, and are recorded in additional paid-in capital on our Condensed Consolidated Balance Sheets, are not accounted for as derivatives that are remeasured each reporting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Transactions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June 25, 2019, concurrently with the pricing of the Exchangeable Notes, and on June 27, 2019 concurrently with the exercise by the Initial Purchasers of their option to purchase additional Exchangeable Notes, the Company entered into warrant transactions to sell to the Counterparties Warrants to acquire, subject to anti-dilution adjustments, up to approximately 27.8 million shares of the Company’s common stock in the aggregate at an exercise price of approximately $16.42 per share. The maximum number of shares of the Company’s common stock that could be issued pursuant to the Warrants is approximately 55.5 million. The Company offered and sold the Warrants in reliance on the exemption from registration provided by Section 4(a)(2) of the Securities Act of 1933, as amended (the “Securities Act”). If the market value per share of the Company’s common stock, as measured under the Warrants, at the time of</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exercise exceeds the strike price of the Warrants, the Warrants will have a dilutive effect on the Company’s common stock unless, subject to the terms of the Warrants, the Company elects to cash settle the Warrants. The Warrants will expire over a period beginning in September 2024.</w:t>
      </w:r>
    </w:p>
    <w:p>
      <w:pPr>
        <w:spacing w:after="0" w:line="147" w:lineRule="exact"/>
        <w:rPr>
          <w:sz w:val="20"/>
          <w:szCs w:val="20"/>
          <w:color w:val="auto"/>
        </w:rPr>
      </w:pPr>
    </w:p>
    <w:p>
      <w:pPr>
        <w:ind w:right="520"/>
        <w:spacing w:after="0" w:line="302" w:lineRule="auto"/>
        <w:rPr>
          <w:sz w:val="20"/>
          <w:szCs w:val="20"/>
          <w:color w:val="auto"/>
        </w:rPr>
      </w:pPr>
      <w:r>
        <w:rPr>
          <w:rFonts w:ascii="Arial" w:cs="Arial" w:eastAsia="Arial" w:hAnsi="Arial"/>
          <w:sz w:val="16"/>
          <w:szCs w:val="16"/>
          <w:color w:val="auto"/>
        </w:rPr>
        <w:t>The Warrants are separate transactions, entered into by the Company with the Counterparties, and are not part of the terms of the Exchangeable Notes. Holders of the Exchangeable Notes will not have any rights with respect to the Warrants. The Company received approximately $50.8 million from the offering and sale of the Warrants. The Warrants meet certain accounting criteria under GAAP, and are recorded in additional paid-in capital on our Condensed Consolidated Balance Sheets, are not accounted for as derivatives that are remeasured each reporting period.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Goodwill and Intangible Assets and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occurring during the six months ended June 30, 2019,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80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Fiber Infrastructure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Total</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Goodwill at December 31, 2018</w:t>
            </w:r>
          </w:p>
        </w:tc>
        <w:tc>
          <w:tcPr>
            <w:tcW w:w="1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692,385</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91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692,385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gridSpan w:val="5"/>
          </w:tcPr>
          <w:p>
            <w:pPr>
              <w:spacing w:after="0"/>
              <w:rPr>
                <w:sz w:val="20"/>
                <w:szCs w:val="20"/>
                <w:color w:val="auto"/>
              </w:rPr>
            </w:pPr>
            <w:r>
              <w:rPr>
                <w:rFonts w:ascii="Arial" w:cs="Arial" w:eastAsia="Arial" w:hAnsi="Arial"/>
                <w:sz w:val="18"/>
                <w:szCs w:val="18"/>
                <w:color w:val="auto"/>
                <w:w w:val="94"/>
              </w:rPr>
              <w:t>Goodwill purchase accounting adjustments - See Note 5</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(1,269)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gridSpan w:val="5"/>
            <w:shd w:val="clear" w:color="auto" w:fill="CFF0FC"/>
          </w:tcPr>
          <w:p>
            <w:pPr>
              <w:spacing w:after="0"/>
              <w:rPr>
                <w:sz w:val="20"/>
                <w:szCs w:val="20"/>
                <w:color w:val="auto"/>
              </w:rPr>
            </w:pPr>
            <w:r>
              <w:rPr>
                <w:rFonts w:ascii="Arial" w:cs="Arial" w:eastAsia="Arial" w:hAnsi="Arial"/>
                <w:sz w:val="18"/>
                <w:szCs w:val="18"/>
                <w:color w:val="auto"/>
                <w:w w:val="94"/>
              </w:rPr>
              <w:t>Goodwill associated with 2019 acquisitions - See Note 5</w:t>
            </w: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1,717</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0" w:type="dxa"/>
            <w:vAlign w:val="bottom"/>
            <w:gridSpan w:val="2"/>
          </w:tcPr>
          <w:p>
            <w:pPr>
              <w:spacing w:after="0"/>
              <w:rPr>
                <w:sz w:val="20"/>
                <w:szCs w:val="20"/>
                <w:color w:val="auto"/>
              </w:rPr>
            </w:pPr>
            <w:r>
              <w:rPr>
                <w:rFonts w:ascii="Arial" w:cs="Arial" w:eastAsia="Arial" w:hAnsi="Arial"/>
                <w:sz w:val="18"/>
                <w:szCs w:val="18"/>
                <w:color w:val="auto"/>
              </w:rPr>
              <w:t>Goodwill at June 30, 2019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692,833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692,833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gridSpan w:val="6"/>
            <w:vMerge w:val="restart"/>
          </w:tcPr>
          <w:p>
            <w:pPr>
              <w:spacing w:after="0"/>
              <w:rPr>
                <w:sz w:val="20"/>
                <w:szCs w:val="20"/>
                <w:color w:val="auto"/>
              </w:rPr>
            </w:pPr>
            <w:r>
              <w:rPr>
                <w:rFonts w:ascii="Arial" w:cs="Arial" w:eastAsia="Arial" w:hAnsi="Arial"/>
                <w:sz w:val="18"/>
                <w:szCs w:val="18"/>
                <w:color w:val="auto"/>
                <w:w w:val="95"/>
              </w:rPr>
              <w:t>The carrying value of the intangible assets is as follows:</w:t>
            </w: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260" w:type="dxa"/>
            <w:vAlign w:val="bottom"/>
            <w:gridSpan w:val="6"/>
            <w:vMerge w:val="continue"/>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80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ind w:left="48"/>
              <w:spacing w:after="0"/>
              <w:rPr>
                <w:sz w:val="20"/>
                <w:szCs w:val="20"/>
                <w:color w:val="auto"/>
              </w:rPr>
            </w:pPr>
            <w:r>
              <w:rPr>
                <w:rFonts w:ascii="Arial" w:cs="Arial" w:eastAsia="Arial" w:hAnsi="Arial"/>
                <w:sz w:val="14"/>
                <w:szCs w:val="14"/>
                <w:b w:val="1"/>
                <w:bCs w:val="1"/>
                <w:color w:val="auto"/>
                <w:w w:val="92"/>
              </w:rPr>
              <w:t>June 30, 2019</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w w:val="93"/>
              </w:rPr>
              <w:t>December 31, 2018</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Original</w:t>
            </w:r>
          </w:p>
        </w:tc>
        <w:tc>
          <w:tcPr>
            <w:tcW w:w="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left="48"/>
              <w:spacing w:after="0" w:line="133" w:lineRule="exact"/>
              <w:rPr>
                <w:sz w:val="20"/>
                <w:szCs w:val="20"/>
                <w:color w:val="auto"/>
              </w:rPr>
            </w:pPr>
            <w:r>
              <w:rPr>
                <w:rFonts w:ascii="Arial" w:cs="Arial" w:eastAsia="Arial" w:hAnsi="Arial"/>
                <w:sz w:val="14"/>
                <w:szCs w:val="14"/>
                <w:b w:val="1"/>
                <w:bCs w:val="1"/>
                <w:color w:val="auto"/>
                <w:w w:val="95"/>
              </w:rPr>
              <w:t>Cumulative</w:t>
            </w: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136"/>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vMerge w:val="restart"/>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Original</w:t>
            </w: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408"/>
              <w:spacing w:after="0" w:line="133" w:lineRule="exact"/>
              <w:rPr>
                <w:sz w:val="20"/>
                <w:szCs w:val="20"/>
                <w:color w:val="auto"/>
              </w:rPr>
            </w:pPr>
            <w:r>
              <w:rPr>
                <w:rFonts w:ascii="Arial" w:cs="Arial" w:eastAsia="Arial" w:hAnsi="Arial"/>
                <w:sz w:val="14"/>
                <w:szCs w:val="14"/>
                <w:b w:val="1"/>
                <w:bCs w:val="1"/>
                <w:color w:val="auto"/>
              </w:rPr>
              <w:t>Cumulative</w:t>
            </w: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408"/>
              <w:spacing w:after="0" w:line="149" w:lineRule="exact"/>
              <w:rPr>
                <w:sz w:val="20"/>
                <w:szCs w:val="20"/>
                <w:color w:val="auto"/>
              </w:rPr>
            </w:pPr>
            <w:r>
              <w:rPr>
                <w:rFonts w:ascii="Arial" w:cs="Arial" w:eastAsia="Arial" w:hAnsi="Arial"/>
                <w:sz w:val="14"/>
                <w:szCs w:val="14"/>
                <w:b w:val="1"/>
                <w:bCs w:val="1"/>
                <w:color w:val="auto"/>
              </w:rPr>
              <w:t>Translation</w:t>
            </w: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080" w:type="dxa"/>
            <w:vAlign w:val="bottom"/>
          </w:tcPr>
          <w:p>
            <w:pPr>
              <w:jc w:val="center"/>
              <w:ind w:left="48"/>
              <w:spacing w:after="0"/>
              <w:rPr>
                <w:sz w:val="20"/>
                <w:szCs w:val="20"/>
                <w:color w:val="auto"/>
              </w:rPr>
            </w:pPr>
            <w:r>
              <w:rPr>
                <w:rFonts w:ascii="Arial" w:cs="Arial" w:eastAsia="Arial" w:hAnsi="Arial"/>
                <w:sz w:val="14"/>
                <w:szCs w:val="14"/>
                <w:b w:val="1"/>
                <w:bCs w:val="1"/>
                <w:color w:val="auto"/>
                <w:w w:val="93"/>
              </w:rPr>
              <w:t>Adjustment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Amortization</w:t>
            </w:r>
          </w:p>
        </w:tc>
        <w:tc>
          <w:tcPr>
            <w:tcW w:w="220" w:type="dxa"/>
            <w:vAlign w:val="bottom"/>
          </w:tcPr>
          <w:p>
            <w:pPr>
              <w:spacing w:after="0"/>
              <w:rPr>
                <w:sz w:val="14"/>
                <w:szCs w:val="14"/>
                <w:color w:val="auto"/>
              </w:rPr>
            </w:pPr>
          </w:p>
        </w:tc>
        <w:tc>
          <w:tcPr>
            <w:tcW w:w="11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Adjustment</w:t>
            </w:r>
          </w:p>
        </w:tc>
        <w:tc>
          <w:tcPr>
            <w:tcW w:w="160" w:type="dxa"/>
            <w:vAlign w:val="bottom"/>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Indefinite life intangible assets:</w:t>
            </w:r>
          </w:p>
        </w:tc>
        <w:tc>
          <w:tcPr>
            <w:tcW w:w="12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Trade name</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9"/>
                <w:szCs w:val="19"/>
                <w:color w:val="auto"/>
              </w:rPr>
            </w:pPr>
          </w:p>
        </w:tc>
        <w:tc>
          <w:tcPr>
            <w:tcW w:w="1160" w:type="dxa"/>
            <w:vAlign w:val="bottom"/>
            <w:gridSpan w:val="2"/>
          </w:tcPr>
          <w:p>
            <w:pPr>
              <w:jc w:val="right"/>
              <w:ind w:right="908"/>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78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Finite life intangible assets: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Customer lists</w:t>
            </w:r>
            <w:r>
              <w:rPr>
                <w:rFonts w:ascii="Arial" w:cs="Arial" w:eastAsia="Arial" w:hAnsi="Arial"/>
                <w:sz w:val="15"/>
                <w:szCs w:val="15"/>
                <w:color w:val="auto"/>
              </w:rPr>
              <w:t>(3)</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450,597</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(81,190)</w:t>
            </w: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451,997</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(69,393)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Tenant contracts</w:t>
            </w:r>
            <w:r>
              <w:rPr>
                <w:rFonts w:ascii="Arial" w:cs="Arial" w:eastAsia="Arial" w:hAnsi="Arial"/>
                <w:sz w:val="15"/>
                <w:szCs w:val="15"/>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37,386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Network</w:t>
            </w:r>
            <w:r>
              <w:rPr>
                <w:rFonts w:ascii="Arial" w:cs="Arial" w:eastAsia="Arial" w:hAnsi="Arial"/>
                <w:sz w:val="15"/>
                <w:szCs w:val="15"/>
                <w:color w:val="auto"/>
              </w:rPr>
              <w:t>(1)(3)</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13,541</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Acquired below-market leases</w:t>
            </w:r>
            <w:r>
              <w:rPr>
                <w:rFonts w:ascii="Arial" w:cs="Arial" w:eastAsia="Arial" w:hAnsi="Arial"/>
                <w:sz w:val="15"/>
                <w:szCs w:val="15"/>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78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452,597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506,988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amortization</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(81,190)</w:t>
            </w:r>
          </w:p>
        </w:tc>
        <w:tc>
          <w:tcPr>
            <w:tcW w:w="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(74,167)</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spacing w:after="0"/>
              <w:rPr>
                <w:sz w:val="20"/>
                <w:szCs w:val="20"/>
                <w:color w:val="auto"/>
              </w:rPr>
            </w:pPr>
            <w:r>
              <w:rPr>
                <w:rFonts w:ascii="Arial" w:cs="Arial" w:eastAsia="Arial" w:hAnsi="Arial"/>
                <w:sz w:val="18"/>
                <w:szCs w:val="18"/>
                <w:color w:val="auto"/>
              </w:rPr>
              <w:t>Total intangible assets, net</w:t>
            </w: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800" w:type="dxa"/>
            <w:vAlign w:val="bottom"/>
            <w:gridSpan w:val="2"/>
            <w:vMerge w:val="continue"/>
          </w:tcPr>
          <w:p>
            <w:pPr>
              <w:spacing w:after="0"/>
              <w:rPr>
                <w:sz w:val="24"/>
                <w:szCs w:val="2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371,407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432,821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27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Finite life intangible liabilities: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Acquired above-market leases</w:t>
            </w:r>
            <w:r>
              <w:rPr>
                <w:rFonts w:ascii="Arial" w:cs="Arial" w:eastAsia="Arial" w:hAnsi="Arial"/>
                <w:sz w:val="15"/>
                <w:szCs w:val="15"/>
                <w:color w:val="auto"/>
              </w:rPr>
              <w:t>(3)</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908"/>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2"/>
                <w:szCs w:val="22"/>
                <w:color w:val="auto"/>
              </w:rPr>
            </w:pPr>
          </w:p>
        </w:tc>
        <w:tc>
          <w:tcPr>
            <w:tcW w:w="380" w:type="dxa"/>
            <w:vAlign w:val="bottom"/>
            <w:gridSpan w:val="3"/>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3,440</w:t>
            </w:r>
          </w:p>
        </w:tc>
        <w:tc>
          <w:tcPr>
            <w:tcW w:w="140" w:type="dxa"/>
            <w:vAlign w:val="bottom"/>
            <w:shd w:val="clear" w:color="auto" w:fill="CFF0FC"/>
          </w:tcPr>
          <w:p>
            <w:pPr>
              <w:spacing w:after="0"/>
              <w:rPr>
                <w:sz w:val="22"/>
                <w:szCs w:val="22"/>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7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Total intangible liabilities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3,258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amortization</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(624)</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spacing w:after="0"/>
              <w:rPr>
                <w:sz w:val="20"/>
                <w:szCs w:val="20"/>
                <w:color w:val="auto"/>
              </w:rPr>
            </w:pPr>
            <w:r>
              <w:rPr>
                <w:rFonts w:ascii="Arial" w:cs="Arial" w:eastAsia="Arial" w:hAnsi="Arial"/>
                <w:sz w:val="18"/>
                <w:szCs w:val="18"/>
                <w:color w:val="auto"/>
              </w:rPr>
              <w:t>Total intangible liabilities, net</w:t>
            </w:r>
            <w:r>
              <w:rPr>
                <w:rFonts w:ascii="Arial" w:cs="Arial" w:eastAsia="Arial" w:hAnsi="Arial"/>
                <w:sz w:val="15"/>
                <w:szCs w:val="15"/>
                <w:color w:val="auto"/>
              </w:rPr>
              <w:t>(2)</w:t>
            </w: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00" w:type="dxa"/>
            <w:vAlign w:val="bottom"/>
            <w:gridSpan w:val="2"/>
            <w:vMerge w:val="continue"/>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2,634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80" w:right="320" w:hanging="372"/>
        <w:spacing w:after="0" w:line="258"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Reflects the potential to lease additional tower capacity on the existing towers due to their geographical location and capacity that currently exists on these towers as of the valuation date.</w:t>
      </w:r>
    </w:p>
    <w:p>
      <w:pPr>
        <w:spacing w:after="0" w:line="1" w:lineRule="exact"/>
        <w:rPr>
          <w:rFonts w:ascii="Arial" w:cs="Arial" w:eastAsia="Arial" w:hAnsi="Arial"/>
          <w:sz w:val="18"/>
          <w:szCs w:val="18"/>
          <w:color w:val="auto"/>
        </w:rPr>
      </w:pPr>
    </w:p>
    <w:p>
      <w:pPr>
        <w:ind w:left="380" w:hanging="372"/>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Recorded in accounts payable, accrued expenses and other liabilities on the Condensed Consolidated Balance Sheet.</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Uniti Towers’ Latin American intangible assets were sold on April 2, 2019. </w:t>
      </w:r>
      <w:hyperlink w:anchor="page21">
        <w:r>
          <w:rPr>
            <w:rFonts w:ascii="Arial" w:cs="Arial" w:eastAsia="Arial" w:hAnsi="Arial"/>
            <w:sz w:val="18"/>
            <w:szCs w:val="18"/>
            <w:u w:val="single" w:color="auto"/>
            <w:color w:val="0000EE"/>
          </w:rPr>
          <w:t>See Note 5.</w:t>
        </w:r>
      </w:hyperlink>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June 30, 2019, the remaining weighted average amortization period of the Company’s intangible assets was 17.8 years. Amortization expense for the three and six months ended June 30, 2019 was $6.1 million and $12.4 million, respectively. Amortization expense for the three and six months ended June 30, 2018 was $6.2 million and $12.7 million, respectively.</w:t>
      </w:r>
    </w:p>
    <w:p>
      <w:pPr>
        <w:spacing w:after="0" w:line="7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Amortization expense is estimated to be $24.5 million for the full year of 2019, $23.8 million in 2020, $23.3 million in 2021, $22.9 million in 2022, and $22.8 million for 2023.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Notes and Other Debt</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All debt, including the senior secured credit facility and notes described below, are obligations of the Operating Partnership and/or certain of its subsidiaries as discussed below. The Company is, however, a guarantor of such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Notes and other debt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June 30, 2019</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Principal amount</w:t>
            </w:r>
          </w:p>
        </w:tc>
        <w:tc>
          <w:tcPr>
            <w:tcW w:w="24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9"/>
              </w:rPr>
              <w:t>5,235,287</w:t>
            </w:r>
          </w:p>
        </w:tc>
        <w:tc>
          <w:tcPr>
            <w:tcW w:w="28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4,965,808</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gridSpan w:val="2"/>
          </w:tcPr>
          <w:p>
            <w:pPr>
              <w:spacing w:after="0"/>
              <w:rPr>
                <w:sz w:val="20"/>
                <w:szCs w:val="20"/>
                <w:color w:val="auto"/>
              </w:rPr>
            </w:pPr>
            <w:r>
              <w:rPr>
                <w:rFonts w:ascii="Arial" w:cs="Arial" w:eastAsia="Arial" w:hAnsi="Arial"/>
                <w:sz w:val="18"/>
                <w:szCs w:val="18"/>
                <w:color w:val="auto"/>
              </w:rPr>
              <w:t>Less unamortized discount, premium and debt issuance costs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34"/>
              <w:spacing w:after="0"/>
              <w:rPr>
                <w:sz w:val="20"/>
                <w:szCs w:val="20"/>
                <w:color w:val="auto"/>
              </w:rPr>
            </w:pPr>
            <w:r>
              <w:rPr>
                <w:rFonts w:ascii="Arial" w:cs="Arial" w:eastAsia="Arial" w:hAnsi="Arial"/>
                <w:sz w:val="18"/>
                <w:szCs w:val="18"/>
                <w:color w:val="auto"/>
                <w:w w:val="90"/>
              </w:rPr>
              <w:t>(232,195)</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(119,575)</w:t>
            </w:r>
          </w:p>
        </w:tc>
        <w:tc>
          <w:tcPr>
            <w:tcW w:w="0" w:type="dxa"/>
            <w:vAlign w:val="bottom"/>
          </w:tcPr>
          <w:p>
            <w:pPr>
              <w:spacing w:after="0"/>
              <w:rPr>
                <w:sz w:val="1"/>
                <w:szCs w:val="1"/>
                <w:color w:val="auto"/>
              </w:rPr>
            </w:pPr>
          </w:p>
        </w:tc>
      </w:tr>
      <w:tr>
        <w:trPr>
          <w:trHeight w:val="237"/>
        </w:trPr>
        <w:tc>
          <w:tcPr>
            <w:tcW w:w="6740" w:type="dxa"/>
            <w:vAlign w:val="bottom"/>
            <w:tcBorders>
              <w:top w:val="single" w:sz="8" w:color="CFF0FC"/>
              <w:bottom w:val="single" w:sz="8" w:color="CFF0FC"/>
            </w:tcBorders>
            <w:gridSpan w:val="5"/>
            <w:shd w:val="clear" w:color="auto" w:fill="CFF0FC"/>
          </w:tcPr>
          <w:p>
            <w:pPr>
              <w:spacing w:after="0"/>
              <w:rPr>
                <w:sz w:val="20"/>
                <w:szCs w:val="20"/>
                <w:color w:val="auto"/>
              </w:rPr>
            </w:pPr>
            <w:r>
              <w:rPr>
                <w:rFonts w:ascii="Arial" w:cs="Arial" w:eastAsia="Arial" w:hAnsi="Arial"/>
                <w:sz w:val="18"/>
                <w:szCs w:val="18"/>
                <w:color w:val="auto"/>
              </w:rPr>
              <w:t>Notes and other debt less unamortized discount, premium and debt issuance costs</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9"/>
              </w:rPr>
              <w:t>5,003,092</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4,846,233</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gridSpan w:val="5"/>
            <w:vMerge w:val="restart"/>
          </w:tcPr>
          <w:p>
            <w:pPr>
              <w:spacing w:after="0"/>
              <w:rPr>
                <w:sz w:val="20"/>
                <w:szCs w:val="20"/>
                <w:color w:val="auto"/>
              </w:rPr>
            </w:pPr>
            <w:r>
              <w:rPr>
                <w:rFonts w:ascii="Arial" w:cs="Arial" w:eastAsia="Arial" w:hAnsi="Arial"/>
                <w:sz w:val="18"/>
                <w:szCs w:val="18"/>
                <w:color w:val="auto"/>
                <w:w w:val="93"/>
              </w:rPr>
              <w:t>Notes and other debt at June 30, 2019 and December 31, 2018 consisted of the following:</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4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gridSpan w:val="7"/>
          </w:tcPr>
          <w:p>
            <w:pPr>
              <w:jc w:val="right"/>
              <w:ind w:right="1300"/>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2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33"/>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199"/>
              <w:spacing w:after="0" w:line="133" w:lineRule="exact"/>
              <w:rPr>
                <w:sz w:val="20"/>
                <w:szCs w:val="20"/>
                <w:color w:val="auto"/>
              </w:rPr>
            </w:pPr>
            <w:r>
              <w:rPr>
                <w:rFonts w:ascii="Arial" w:cs="Arial" w:eastAsia="Arial" w:hAnsi="Arial"/>
                <w:sz w:val="14"/>
                <w:szCs w:val="14"/>
                <w:b w:val="1"/>
                <w:bCs w:val="1"/>
                <w:color w:val="auto"/>
                <w:w w:val="94"/>
              </w:rPr>
              <w:t>Unamortized</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34"/>
              <w:spacing w:after="0" w:line="133" w:lineRule="exact"/>
              <w:rPr>
                <w:sz w:val="20"/>
                <w:szCs w:val="20"/>
                <w:color w:val="auto"/>
              </w:rPr>
            </w:pPr>
            <w:r>
              <w:rPr>
                <w:rFonts w:ascii="Arial" w:cs="Arial" w:eastAsia="Arial" w:hAnsi="Arial"/>
                <w:sz w:val="14"/>
                <w:szCs w:val="14"/>
                <w:b w:val="1"/>
                <w:bCs w:val="1"/>
                <w:color w:val="auto"/>
                <w:w w:val="94"/>
              </w:rPr>
              <w:t>Unamortized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Discount, Premium</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Discount, Premium</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2"/>
                <w:szCs w:val="12"/>
                <w:color w:val="auto"/>
              </w:rPr>
            </w:pPr>
          </w:p>
        </w:tc>
        <w:tc>
          <w:tcPr>
            <w:tcW w:w="15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and Debt Issuance</w:t>
            </w:r>
          </w:p>
        </w:tc>
        <w:tc>
          <w:tcPr>
            <w:tcW w:w="100" w:type="dxa"/>
            <w:vAlign w:val="bottom"/>
          </w:tcPr>
          <w:p>
            <w:pPr>
              <w:spacing w:after="0"/>
              <w:rPr>
                <w:sz w:val="12"/>
                <w:szCs w:val="12"/>
                <w:color w:val="auto"/>
              </w:rPr>
            </w:pPr>
          </w:p>
        </w:tc>
        <w:tc>
          <w:tcPr>
            <w:tcW w:w="1260" w:type="dxa"/>
            <w:vAlign w:val="bottom"/>
            <w:gridSpan w:val="3"/>
            <w:vMerge w:val="restart"/>
          </w:tcPr>
          <w:p>
            <w:pPr>
              <w:jc w:val="right"/>
              <w:ind w:right="310"/>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and Debt Issuance</w:t>
            </w:r>
          </w:p>
        </w:tc>
        <w:tc>
          <w:tcPr>
            <w:tcW w:w="0" w:type="dxa"/>
            <w:vAlign w:val="bottom"/>
          </w:tcPr>
          <w:p>
            <w:pPr>
              <w:spacing w:after="0"/>
              <w:rPr>
                <w:sz w:val="1"/>
                <w:szCs w:val="1"/>
                <w:color w:val="auto"/>
              </w:rPr>
            </w:pPr>
          </w:p>
        </w:tc>
      </w:tr>
      <w:tr>
        <w:trPr>
          <w:trHeight w:val="171"/>
        </w:trPr>
        <w:tc>
          <w:tcPr>
            <w:tcW w:w="51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Costs</w:t>
            </w:r>
          </w:p>
        </w:tc>
        <w:tc>
          <w:tcPr>
            <w:tcW w:w="0" w:type="dxa"/>
            <w:vAlign w:val="bottom"/>
          </w:tcPr>
          <w:p>
            <w:pPr>
              <w:spacing w:after="0"/>
              <w:rPr>
                <w:sz w:val="1"/>
                <w:szCs w:val="1"/>
                <w:color w:val="auto"/>
              </w:rPr>
            </w:pPr>
          </w:p>
        </w:tc>
      </w:tr>
      <w:tr>
        <w:trPr>
          <w:trHeight w:val="209"/>
        </w:trPr>
        <w:tc>
          <w:tcPr>
            <w:tcW w:w="5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7"/>
              </w:rPr>
              <w:t>Senior secured term loan B - variable rate, due October 24, 2022</w:t>
            </w: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7.47%)</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2,055,268</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0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(86,441)</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2,065,808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(70,337)</w:t>
            </w:r>
          </w:p>
        </w:tc>
        <w:tc>
          <w:tcPr>
            <w:tcW w:w="0" w:type="dxa"/>
            <w:vAlign w:val="bottom"/>
          </w:tcPr>
          <w:p>
            <w:pPr>
              <w:spacing w:after="0"/>
              <w:rPr>
                <w:sz w:val="1"/>
                <w:szCs w:val="1"/>
                <w:color w:val="auto"/>
              </w:rPr>
            </w:pPr>
          </w:p>
        </w:tc>
      </w:tr>
      <w:tr>
        <w:trPr>
          <w:trHeight w:val="215"/>
        </w:trPr>
        <w:tc>
          <w:tcPr>
            <w:tcW w:w="5160" w:type="dxa"/>
            <w:vAlign w:val="bottom"/>
            <w:gridSpan w:val="2"/>
          </w:tcPr>
          <w:p>
            <w:pPr>
              <w:spacing w:after="0"/>
              <w:rPr>
                <w:sz w:val="20"/>
                <w:szCs w:val="20"/>
                <w:color w:val="auto"/>
              </w:rPr>
            </w:pPr>
            <w:r>
              <w:rPr>
                <w:rFonts w:ascii="Arial" w:cs="Arial" w:eastAsia="Arial" w:hAnsi="Arial"/>
                <w:sz w:val="18"/>
                <w:szCs w:val="18"/>
                <w:color w:val="auto"/>
              </w:rPr>
              <w:t>Senior secured notes - 6.00%, due April 15, 2023</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(discount is based on imputed interest rate of 6.29%)</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4"/>
          </w:tcPr>
          <w:p>
            <w:pPr>
              <w:jc w:val="right"/>
              <w:ind w:right="160"/>
              <w:spacing w:after="0"/>
              <w:rPr>
                <w:sz w:val="20"/>
                <w:szCs w:val="20"/>
                <w:color w:val="auto"/>
              </w:rPr>
            </w:pPr>
            <w:r>
              <w:rPr>
                <w:rFonts w:ascii="Arial" w:cs="Arial" w:eastAsia="Arial" w:hAnsi="Arial"/>
                <w:sz w:val="18"/>
                <w:szCs w:val="18"/>
                <w:color w:val="auto"/>
              </w:rPr>
              <w:t>(6,387)</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550,000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(7,116)</w:t>
            </w:r>
          </w:p>
        </w:tc>
        <w:tc>
          <w:tcPr>
            <w:tcW w:w="0" w:type="dxa"/>
            <w:vAlign w:val="bottom"/>
          </w:tcPr>
          <w:p>
            <w:pPr>
              <w:spacing w:after="0"/>
              <w:rPr>
                <w:sz w:val="1"/>
                <w:szCs w:val="1"/>
                <w:color w:val="auto"/>
              </w:rPr>
            </w:pPr>
          </w:p>
        </w:tc>
      </w:tr>
      <w:tr>
        <w:trPr>
          <w:trHeight w:val="215"/>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unsecured notes - 8.25%, due October 15, 2023</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9.06%)</w:t>
            </w: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1,110,000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0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(31,923)</w:t>
            </w:r>
          </w:p>
        </w:tc>
        <w:tc>
          <w:tcPr>
            <w:tcW w:w="100" w:type="dxa"/>
            <w:vAlign w:val="bottom"/>
            <w:shd w:val="clear" w:color="auto" w:fill="CFF0FC"/>
          </w:tcPr>
          <w:p>
            <w:pPr>
              <w:spacing w:after="0"/>
              <w:rPr>
                <w:sz w:val="20"/>
                <w:szCs w:val="20"/>
                <w:color w:val="auto"/>
              </w:rPr>
            </w:pPr>
          </w:p>
        </w:tc>
        <w:tc>
          <w:tcPr>
            <w:tcW w:w="1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1,110,000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(34,900)</w:t>
            </w: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Senior unsecured notes - 7.125% due December 15, 2024</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600,000</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4"/>
          </w:tcPr>
          <w:p>
            <w:pPr>
              <w:jc w:val="right"/>
              <w:ind w:right="160"/>
              <w:spacing w:after="0"/>
              <w:rPr>
                <w:sz w:val="20"/>
                <w:szCs w:val="20"/>
                <w:color w:val="auto"/>
              </w:rPr>
            </w:pPr>
            <w:r>
              <w:rPr>
                <w:rFonts w:ascii="Arial" w:cs="Arial" w:eastAsia="Arial" w:hAnsi="Arial"/>
                <w:sz w:val="18"/>
                <w:szCs w:val="18"/>
                <w:color w:val="auto"/>
              </w:rPr>
              <w:t>(6,771)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600,000</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(7,222)</w:t>
            </w:r>
          </w:p>
        </w:tc>
        <w:tc>
          <w:tcPr>
            <w:tcW w:w="0" w:type="dxa"/>
            <w:vAlign w:val="bottom"/>
          </w:tcPr>
          <w:p>
            <w:pPr>
              <w:spacing w:after="0"/>
              <w:rPr>
                <w:sz w:val="1"/>
                <w:szCs w:val="1"/>
                <w:color w:val="auto"/>
              </w:rPr>
            </w:pPr>
          </w:p>
        </w:tc>
      </w:tr>
      <w:tr>
        <w:trPr>
          <w:trHeight w:val="215"/>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Exchangeable senior notes - 4.00%, due June 15, 2024</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11.1%)</w:t>
            </w: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345,000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0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(92,617)</w:t>
            </w: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160" w:type="dxa"/>
            <w:vAlign w:val="bottom"/>
            <w:gridSpan w:val="2"/>
          </w:tcPr>
          <w:p>
            <w:pPr>
              <w:spacing w:after="0"/>
              <w:rPr>
                <w:sz w:val="20"/>
                <w:szCs w:val="20"/>
                <w:color w:val="auto"/>
              </w:rPr>
            </w:pPr>
            <w:r>
              <w:rPr>
                <w:rFonts w:ascii="Arial" w:cs="Arial" w:eastAsia="Arial" w:hAnsi="Arial"/>
                <w:sz w:val="18"/>
                <w:szCs w:val="18"/>
                <w:color w:val="auto"/>
                <w:w w:val="98"/>
              </w:rPr>
              <w:t>Senior secured revolving credit facility, variable rate, due April 24,</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575,019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4"/>
          </w:tcPr>
          <w:p>
            <w:pPr>
              <w:jc w:val="right"/>
              <w:ind w:right="160"/>
              <w:spacing w:after="0"/>
              <w:rPr>
                <w:sz w:val="20"/>
                <w:szCs w:val="20"/>
                <w:color w:val="auto"/>
              </w:rPr>
            </w:pPr>
            <w:r>
              <w:rPr>
                <w:rFonts w:ascii="Arial" w:cs="Arial" w:eastAsia="Arial" w:hAnsi="Arial"/>
                <w:sz w:val="18"/>
                <w:szCs w:val="18"/>
                <w:color w:val="auto"/>
              </w:rPr>
              <w:t>(8,056)</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640,000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gridSpan w:val="3"/>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gridSpan w:val="2"/>
            <w:vMerge w:val="continue"/>
            <w:shd w:val="clear" w:color="auto" w:fill="CFF0FC"/>
          </w:tcPr>
          <w:p>
            <w:pPr>
              <w:spacing w:after="0"/>
              <w:rPr>
                <w:sz w:val="20"/>
                <w:szCs w:val="20"/>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5,235,287</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(232,195)</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4,965,808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(119,575)</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At June 30, 2019, notes and other debt included the following: (i) $2.1 billion under the Senior Secured Term Loan B facility that matures on October 24, 2022 (“Term Loan Facility”) pursuant to the credit agreement by and among the Operating Partnership, CSL Capital, LLC and Uniti Group Finance Inc., the guarantors and lenders party thereto and Bank of America, N.A., as administrative agent and collateral agent (the “Credit Agreement”); (ii) $550.0 million aggregate principal amount of 6.00% Senior Secured Notes due April 15, 2023 (the “Secured Notes”); (iii) $1.11 billion aggregate principal amount of 8.25% Senior Notes due October 15, 2023 (the “2023 Notes”); (iv) $600 million aggregate principal amount of 7.125% Senior Unsecured Notes due December 15, 2024 (the “2024 Notes,” and together with the Secured Notes and 2023 Notes, the “Notes”), (v) $345 million aggregate principal amount of 4.00% Exchangeable Senior Notes due June 15, 2024 (the “Exchangeable Notes”) and (vi) $575 million under the senior secured revolving credit facility, variable rate, that matures April 24, 2022 pursuant to the Credit Agreement (the “Revolving Credit Facility” and, together with the Term Loan Facility, the “Facilities”).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Operating Partnership and its wholly owned subsidiaries, CSL Capital, LLC and Uniti Group Finance Inc. (collectively, the “Borrowers”) are party to the Credit Agreement, which provides for the Term Loan Facility (in an initial principal amount of $2.14 billion) and the Revolving Credit Facility. The term loans bear interest at a rate equal to LIBOR, subject to a 1.0% floor, plus an applicable margin equal to 5.00% and are subject to amortization of 1.0% per annum. All obligations under the Credit Agreement are guaranteed by (i) the Company and (ii) certain of the Operating Partnership’s wholly owned subsidiaries (the “Subsidiary Guarantors”) and are secured by substantially all of the assets of the Borrowers and the Subsidiary Guarantors, which assets also secure the Secured Notes. The Revolving Credit Facility bears interest at a rate equal to LIBOR plus 1.75% to 2.25% based on our consolidated secured leverage ratio, as defined in the Credit Agreement.</w:t>
      </w:r>
    </w:p>
    <w:p>
      <w:pPr>
        <w:spacing w:after="0" w:line="18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(i) incremental term loan borrowings and/or increased commitments under the Credit Agreement in an unlimited amount, so long as, on a pro forma basis after giving effect to any such borrowings or increases, our consolidated secured leverage ratio, as defined in the Credit Agreement, does not exceed 4.00 to 1.00 and (ii) other indebtedness, so long as, on a pro forma basis after giving effect to any such indebtedness, our consolidated total leverage ratio, as defined in the Credit Agreement, does not exceed 6.50 to 1.00 and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June 30, 2019, the Borrowers were in compliance with all of the covenants under the Credit Agreement.</w:t>
      </w:r>
    </w:p>
    <w:p>
      <w:pPr>
        <w:spacing w:after="0" w:line="16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March 18, 2019, we received a limited waiver from our lenders under our Credit Agreement, waiving an event of default related solely to the receipt of a going concern opinion from our auditors for our 2018 audited financial statements. The limited waiver was issued in connection with the fourth amendment (the “Fourth Amendment”) to our Credit Agreement. During the pendency of Windstream’s bankruptcy, or at such earlier time when certain other conditions are specified, the Fourth Amendment generally limits our ability under the Credit Agreement to (i) prepay unsecured indebtedness and (ii) pay cash dividends in excess of 90% of our REIT taxable income, determined without regard to the dividends paid deduction and excluding any net capital gains. The Fourth Amendment also increased the interest rate on our Term Loan Facility, which now bears a rate of LIBOR, subject to a 1.0% floor, plus an applicable margin equal to 5.0%, a 200 basis point increase over our previous rate. This increase will remain in effect through the remaining term of the facility, which matures on October 24, 2022.</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A termination of the Master Lease would result in an “event of default” under the Credit Agreement if a replacement lease was not entered into within ninety</w:t>
      </w:r>
    </w:p>
    <w:p>
      <w:pPr>
        <w:spacing w:after="0" w:line="46" w:lineRule="exact"/>
        <w:rPr>
          <w:sz w:val="20"/>
          <w:szCs w:val="20"/>
          <w:color w:val="auto"/>
        </w:rPr>
      </w:pPr>
    </w:p>
    <w:p>
      <w:pPr>
        <w:ind w:right="220" w:firstLine="8"/>
        <w:spacing w:after="0" w:line="261" w:lineRule="auto"/>
        <w:tabs>
          <w:tab w:leader="none" w:pos="3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calendar days and we do not maintain pro forma compliance with a consolidated secured leverage ratio, as defined in the Credit Agreement, of 5.00 to 1.00.</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June 24, 2019, we entered into an amendment (the “Fifth Amendment”) to our Credit Agreement to extend the maturity date of $575.9 million of commitments under the Revolving Credit Facility to April 24, 2022, pay down approximately $101.6 million of outstanding revolving loans and terminate the related commitments. The maturity date of approximately $72.4 million of other commitments was not extended. On June 28, 2019, the Company repaid approximately $174.0 million in total borrowings, which consisted of the $101.6 million required repayment pursuant to the Fifth Amendment and $72.4 million of non-extended borrowings, thereby terminating the non-extended commitments. As a result, all remaining $575.9 million of commitments will terminate on April 24, 2022, at which time all outstanding borrowings must be repaid. The Company used a portion of the net proceeds from the offering of Exchangeable Notes described below to fund the repayments. The Fifth Amendment increased the applicable margin for base rate loans under the Revolving Credit Facility to a range of 2.75% to 3.25% and for Eurodollar rate loans under the Revolving Credit Facility to a range of 3.75% to 4.25%, calculated in a customary manner and determined based on our consolidated secured leverage ratio.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Borrowers, as co-issuers, have outstanding $550 million aggregate principal amount of the Secured Notes, of which $400 million was originally issued on April 24, 2015 at an issue price of 100% of par value and the remaining $150 million was issued on June 9, 2016 at an issue price of 99.25% of the par value as an add-on to the existing Secured Notes. The Borrowers, as co-issuers, also have outstanding $1.11 billion aggregate principal amount of the 2023 Notes that were originally issued on April 24, 2015 at an issue price of 97.055% of par value. The Secured Notes and the 2023 Notes are guaranteed by the Company and the Subsidiary Guarantors.</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Operating Partnership and its wholly owned subsidiaries, CSL Capital, LLC and Uniti Fiber Holdings Inc., as co-issuers, have outstanding $600 million aggregate principal amount of the 2024 Notes, of which $400 million was originally issued on December 15, 2016 at an issue price of 100% of par value and the remaining $200 million of which was issued on May 8, 2017 at an issue price of 100.50% of par value under a separate indenture and was mandatorily exchanged on August 11, 2017 for 2024 Notes issued as “additional notes” under the indenture governing the 2024 Notes. The 2024 Notes are guaranteed by the Company, Uniti Group Finance Inc. and the Subsidiary Guarantors.</w:t>
      </w:r>
    </w:p>
    <w:p>
      <w:pPr>
        <w:spacing w:after="0" w:line="18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Effective July 8, 2019, Deutsche Bank Trust Company Americas succeeded as trustee and collateral agent, as applicable, to the Notes pursuant to a Tri-Party Agreement dated as of June 26, 2019 among Deutsche Bank Trust Company, Wells Fargo Bank, N.A. and the co-issuers of the Notes.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Exchangeable Notes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June 28, 2019, Uniti Fiber, a subsidiary of the Company, issued $345 million aggregate principal amount of the Exchangeable Notes. The Exchangeable Notes are senior unsecured notes and are guaranteed by the Company and each of the Company’s subsidiaries (other than Uniti Fiber) that is an issuer, obligor or guarantor under the Company’s Notes. The Exchangeable Notes bear interest at a fixed rate of 4.00% per year, payable semiannually in arrears on June 15 and December 15 of each year, beginning on December 15, 2019. The Exchangeable Notes are exchangeable into cash, shares of the Company’s common stock, or a combination thereof, at Uniti Fiber’s election, subject to limitations under the Company's Credit Agreement. The Exchangeable Notes will mature on June 15, 2024, unless earlier exchanged, redeemed or repurchased.</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Uniti Fiber issued the Exchangeable Notes pursuant to an indenture, dated as of June 28, 2019 (the “Indenture”), among Uniti Fiber, the Company, the other guarantors party thereto and Deutsche Bank Trust Company Americas, as trustee. Prior to the close of business on the business day immediately preceding March 15, 2024, the Exchangeable Notes are exchangeable only upon satisfaction of certain conditions and during certain periods described in the Indenture, and thereafter, the Exchangeable Notes are exchangeable at any time until the close of business on the second scheduled trading day immediately preceding the maturity date. The Exchangeable Notes are exchangeable on the terms set forth in the Indenture into cash, shares of the Company’s common stock, or a combination thereof, at Uniti Fiber’s election, subject to limitations under the Company's Credit Agreement. The exchange rate is initially 80.4602 shares of the Company’s common stock per $1,000 principal amount of Exchangeable Notes (equivalent to an initial exchange price of approximately $12.43 per share of the Company’s common stock). The exchange rate is subject to adjustment in some circumstances as described in the Indenture. In addition, following certain corporate events that occur prior to the maturity date or Uniti Fiber’s delivery of a notice of redemption, Uniti Fiber will increase, in certain circumstances, the exchange rate for a holder who elects to exchange its Exchangeable Notes in connection with such corporate event or notice of redemption, as the case may be.</w:t>
      </w:r>
    </w:p>
    <w:p>
      <w:pPr>
        <w:spacing w:after="0" w:line="18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If Uniti Fiber or the Company undergoes a fundamental change (as defined in the Indenture), subject to certain conditions, holders may require Uniti Fiber to repurchase for cash all or part of their Exchangeable Notes at a repurchase price equal to 100% of the principal amount of the Exchangeable Notes to be repurchased, plus accrued and unpaid interest, if any, to, but not including, the fundamental change repurchase date.</w:t>
      </w:r>
    </w:p>
    <w:p>
      <w:pPr>
        <w:spacing w:after="0" w:line="16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Uniti Fiber may redeem all or a portion of the Exchangeable Notes, at any time, at a cash redemption price equal to 100% of the principal amount of the Exchangeable Notes to be redeemed, plus accrued and unpaid interest to, but not including, the redemption date, if the Company’s board of directors determines such redemption is necessary to preserve the Company's status as a real estate investment trust for U.S. federal income tax purposes. Uniti Fiber may not otherwise redeem the Exchangeable Notes prior to June 20, 2022. On or after June 20, 2022 and prior to the 42nd scheduled trading day immediately preceding the maturity date, if the last reported sale price per share of the Company’s common stock has been at least 130% of the exchange price for the Exchangeable Notes for certain specified periods, Uniti Fiber may redeem all or a portion of the Exchangeable Notes at a cash redemption price equal to 100% of the principal amount of the Exchangeable Notes to be redeemed plus accrued and unpaid interest to, but not including, the redemption date.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June 28, 2019, Uniti Fiber, the Company and Barclays Capital Inc., on behalf of the initial purchasers involved in the offering of the Exchangeable Notes (the “Initial Purchasers”), entered into a registration rights agreement with respect to the Company’s common stock deliverable upon exchange of the Exchangeable Notes (the “Registration Rights Agreement”). Under the Registration Rights Agreement, the Company has agreed to file a shelf registration statement to register the resale of the common stock of the Company deliverable upon exchange of the Exchangeable Notes. The Company has agreed to use its commercially reasonable efforts to cause such shelf registration statement to become effective on or prior to the 365th day after the issue date of the Exchangeable Notes.</w:t>
      </w:r>
    </w:p>
    <w:p>
      <w:pPr>
        <w:spacing w:after="0" w:line="19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Under GAAP, certain convertible debt instruments that may be settled in cash upon conversion are required to be separately accounted for as liability and equity components of the instrument in a manner that reflects the issuer’s non-convertible debt borrowing rate. Accordingly, in accounting for the issuance of the Exchangeable Notes, the Company separated the Exchangeable Notes into liability and equity components. The carrying amount of the liability component was calculated by measuring the fair value of a similar liability that does not have an associated convertible feature.</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carrying amount of the equity component, which is recognized as a debt discount, represents the difference between the proceeds from the issuance of the Exchangeable Notes and the fair value of the liability component of the Exchangeable Notes. The excess of the principal amount of the liability component over its carrying amount will be amortized to interest expense using an effective interest rate of 11.1% over the term of the Exchangeable Notes. The equity component is not remeasured as long as it continues to meet the conditions for equity classification.</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Debt issuance costs related to the Exchangeable Notes were comprised of commissions payable to the Initial Purchasers of $10.4 million and third-party costs of approximately $1.4 million.</w:t>
      </w:r>
    </w:p>
    <w:p>
      <w:pPr>
        <w:spacing w:after="0" w:line="170"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In accounting for the debt issuance costs related to the issuance of the Exchangeable Notes, the Company allocated the total amount incurred to the liability and equity components based on their relative values. Debt issuance costs attributable to the liability component were recorded as a contra-liability and are presented net against the Exchangeable Notes balance on our Condensed Consolidated Balance Sheets. These costs are amortized to interest expense using the effective interest method over the term of the Exchangeable Notes. Debt issuance costs of $2.9 million attributable to the equity component are netted with the equity component in stockholders’ equity, which netted to $80.8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Financing Cost</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Deferred financing costs were incurred in connection with the issuance of the Notes and the Facilities. These costs are amortized using the effective interest method over the term of the related indebtedness, and are included in interest expense in our Condensed Consolidated Statements of Income. For the three and six months ended June 30, 2019, we recognized $3.7 million and $7.5 million, respectively, of non-cash interest expense related to the amortization of deferred financing costs. For the three and six months ended June 30, 2018, we recognized $3.7 million and $7.3 million, respectively, of non-cash interest expense related to the amortization of deferred financing costs.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Earnings Per Share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Our time-based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260”).</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also have outstanding performance-based restricted stock units that contain forfeitable rights to receive dividends. Therefore, the awards are considered non-participating restrictive shares and are not dilutive under the two-class method until performance conditions are met.</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Prior to the second quarter of 2019, the earnings-per-share impact of the Company’s 3% Convertible Preferred Stock, $0.0001 par value (“Series A Shares”), issued in connection with the May 2, 2016 acquisition of PEG Bandwidth, LLC, was calculated using the net share settlement method, whereby the redemption value of the instrument is assumed to be settled in cash and only the conversion premium, if any, is assumed to be settled in shares. The Series A Shares provided Uniti the option to settle the instrument in cash or</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shares. During the second quarter of 2019, the Company received notice from the holder of the Series A Shares of its election to convert all its shares, and the Company made an election to issue shares upon conversion. </w:t>
      </w:r>
      <w:hyperlink w:anchor="page37">
        <w:r>
          <w:rPr>
            <w:rFonts w:ascii="Arial" w:cs="Arial" w:eastAsia="Arial" w:hAnsi="Arial"/>
            <w:sz w:val="18"/>
            <w:szCs w:val="18"/>
            <w:u w:val="single" w:color="auto"/>
            <w:color w:val="0000EE"/>
          </w:rPr>
          <w:t>See Note 17</w:t>
        </w:r>
      </w:hyperlink>
      <w:r>
        <w:rPr>
          <w:rFonts w:ascii="Arial" w:cs="Arial" w:eastAsia="Arial" w:hAnsi="Arial"/>
          <w:sz w:val="18"/>
          <w:szCs w:val="18"/>
          <w:color w:val="auto"/>
        </w:rPr>
        <w:t>. As a result, the earnings-per-share impact of the Series A Shares for three and six months ended June 30, 2019, is calculated by using the “if-converted” method.</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dilutive effect of the Exchangeable Notes (</w:t>
      </w:r>
      <w:r>
        <w:rPr>
          <w:rFonts w:ascii="Arial" w:cs="Arial" w:eastAsia="Arial" w:hAnsi="Arial"/>
          <w:sz w:val="17"/>
          <w:szCs w:val="17"/>
          <w:u w:val="single" w:color="auto"/>
          <w:color w:val="0000EE"/>
        </w:rPr>
        <w:t>see Note 11</w:t>
      </w:r>
      <w:r>
        <w:rPr>
          <w:rFonts w:ascii="Arial" w:cs="Arial" w:eastAsia="Arial" w:hAnsi="Arial"/>
          <w:sz w:val="17"/>
          <w:szCs w:val="17"/>
          <w:color w:val="auto"/>
        </w:rPr>
        <w:t>) is calculated by using the “if-converted” method. This assumes an add-back of interest, net of income taxes, to net income attributable to shareholders as if the securities were converted at the beginning of the reporting period (or at time of issuance, if later) and the resulting common shares included in number of weighted average shares. The dilutive effect of the Warrants (</w:t>
      </w:r>
      <w:r>
        <w:rPr>
          <w:rFonts w:ascii="Arial" w:cs="Arial" w:eastAsia="Arial" w:hAnsi="Arial"/>
          <w:sz w:val="17"/>
          <w:szCs w:val="17"/>
          <w:u w:val="single" w:color="auto"/>
          <w:color w:val="0000EE"/>
        </w:rPr>
        <w:t>see Note 9</w:t>
      </w:r>
      <w:r>
        <w:rPr>
          <w:rFonts w:ascii="Arial" w:cs="Arial" w:eastAsia="Arial" w:hAnsi="Arial"/>
          <w:sz w:val="17"/>
          <w:szCs w:val="17"/>
          <w:color w:val="auto"/>
        </w:rPr>
        <w:t>) is calculated using the treasury-stock method. During the three and six months ended June 30, 2019, the Warrants were excluded from diluted shares outstanding because the exercise price exceeded the average market price of our common stock for the reporting period.</w:t>
      </w:r>
    </w:p>
    <w:p>
      <w:pPr>
        <w:spacing w:after="0" w:line="173"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 xml:space="preserve">The July 3, 2017 merger agreement for our acquisition of Hunt provides for the issuance of additional common shares upon the achievement of certain defined revenue milestones. </w:t>
      </w:r>
      <w:r>
        <w:rPr>
          <w:rFonts w:ascii="Arial" w:cs="Arial" w:eastAsia="Arial" w:hAnsi="Arial"/>
          <w:sz w:val="16"/>
          <w:szCs w:val="16"/>
          <w:u w:val="single" w:color="auto"/>
          <w:color w:val="0000EE"/>
        </w:rPr>
        <w:t>See Note 7</w:t>
      </w:r>
      <w:r>
        <w:rPr>
          <w:rFonts w:ascii="Arial" w:cs="Arial" w:eastAsia="Arial" w:hAnsi="Arial"/>
          <w:sz w:val="16"/>
          <w:szCs w:val="16"/>
          <w:color w:val="auto"/>
        </w:rPr>
        <w:t>. The earnings per share impact of the Hunt Contingent Consideration is calculated under the method described in ASC 260 for the treatment of contingently issuable shares in weighted-average shares outstanding. On January 4, 2019, we settled the Hunt Contingent Consideration in full satisfaction of the obligation through the issuance of 645,385 common shares having a fair value of $11.2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the computation of basic and diluted earnings per share under the two-class method: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gridSpan w:val="2"/>
            <w:vMerge w:val="restart"/>
          </w:tcPr>
          <w:p>
            <w:pPr>
              <w:spacing w:after="0"/>
              <w:rPr>
                <w:sz w:val="20"/>
                <w:szCs w:val="20"/>
                <w:color w:val="auto"/>
              </w:rPr>
            </w:pPr>
            <w:r>
              <w:rPr>
                <w:rFonts w:ascii="Arial" w:cs="Arial" w:eastAsia="Arial" w:hAnsi="Arial"/>
                <w:sz w:val="14"/>
                <w:szCs w:val="14"/>
                <w:color w:val="auto"/>
              </w:rPr>
              <w:t>(Thousands, except per share data)</w:t>
            </w:r>
          </w:p>
        </w:tc>
        <w:tc>
          <w:tcPr>
            <w:tcW w:w="340" w:type="dxa"/>
            <w:vAlign w:val="bottom"/>
          </w:tcPr>
          <w:p>
            <w:pPr>
              <w:spacing w:after="0"/>
              <w:rPr>
                <w:sz w:val="14"/>
                <w:szCs w:val="14"/>
                <w:color w:val="auto"/>
              </w:rPr>
            </w:pPr>
          </w:p>
        </w:tc>
        <w:tc>
          <w:tcPr>
            <w:tcW w:w="30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4"/>
                <w:szCs w:val="14"/>
                <w:color w:val="auto"/>
              </w:rPr>
            </w:pPr>
          </w:p>
        </w:tc>
        <w:tc>
          <w:tcPr>
            <w:tcW w:w="292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800" w:type="dxa"/>
            <w:vAlign w:val="bottom"/>
            <w:gridSpan w:val="2"/>
            <w:vMerge w:val="continue"/>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Basic earnings per share:</w:t>
            </w:r>
          </w:p>
        </w:tc>
        <w:tc>
          <w:tcPr>
            <w:tcW w:w="14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income (loss) attributable to shareholders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38,717</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(3,503)</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41,159</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230"/>
        </w:trPr>
        <w:tc>
          <w:tcPr>
            <w:tcW w:w="4800" w:type="dxa"/>
            <w:vAlign w:val="bottom"/>
            <w:gridSpan w:val="2"/>
          </w:tcPr>
          <w:p>
            <w:pPr>
              <w:ind w:left="380"/>
              <w:spacing w:after="0"/>
              <w:rPr>
                <w:sz w:val="20"/>
                <w:szCs w:val="20"/>
                <w:color w:val="auto"/>
              </w:rPr>
            </w:pPr>
            <w:r>
              <w:rPr>
                <w:rFonts w:ascii="Arial" w:cs="Arial" w:eastAsia="Arial" w:hAnsi="Arial"/>
                <w:sz w:val="18"/>
                <w:szCs w:val="18"/>
                <w:color w:val="auto"/>
              </w:rPr>
              <w:t>Less: Income allocated to participating securities</w:t>
            </w:r>
          </w:p>
        </w:tc>
        <w:tc>
          <w:tcPr>
            <w:tcW w:w="3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(223)</w:t>
            </w: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(400)</w:t>
            </w:r>
          </w:p>
        </w:tc>
        <w:tc>
          <w:tcPr>
            <w:tcW w:w="3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5"/>
        </w:trPr>
        <w:tc>
          <w:tcPr>
            <w:tcW w:w="48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Income allocated to participating securities on share</w:t>
            </w:r>
          </w:p>
        </w:tc>
        <w:tc>
          <w:tcPr>
            <w:tcW w:w="34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(258)</w:t>
            </w:r>
          </w:p>
        </w:tc>
        <w:tc>
          <w:tcPr>
            <w:tcW w:w="32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122"/>
        </w:trPr>
        <w:tc>
          <w:tcPr>
            <w:tcW w:w="4800" w:type="dxa"/>
            <w:vAlign w:val="bottom"/>
            <w:gridSpan w:val="2"/>
            <w:vMerge w:val="restart"/>
            <w:shd w:val="clear" w:color="auto" w:fill="CFF0FC"/>
          </w:tcPr>
          <w:p>
            <w:pPr>
              <w:ind w:left="620"/>
              <w:spacing w:after="0"/>
              <w:rPr>
                <w:sz w:val="20"/>
                <w:szCs w:val="20"/>
                <w:color w:val="auto"/>
              </w:rPr>
            </w:pPr>
            <w:r>
              <w:rPr>
                <w:rFonts w:ascii="Arial" w:cs="Arial" w:eastAsia="Arial" w:hAnsi="Arial"/>
                <w:sz w:val="18"/>
                <w:szCs w:val="18"/>
                <w:color w:val="auto"/>
              </w:rPr>
              <w:t>settled contingent consideration arrangements</w:t>
            </w:r>
          </w:p>
        </w:tc>
        <w:tc>
          <w:tcPr>
            <w:tcW w:w="340" w:type="dxa"/>
            <w:vAlign w:val="bottom"/>
            <w:shd w:val="clear" w:color="auto" w:fill="CFF0FC"/>
          </w:tcPr>
          <w:p>
            <w:pPr>
              <w:spacing w:after="0"/>
              <w:rPr>
                <w:sz w:val="10"/>
                <w:szCs w:val="10"/>
                <w:color w:val="auto"/>
              </w:rPr>
            </w:pPr>
          </w:p>
        </w:tc>
        <w:tc>
          <w:tcPr>
            <w:tcW w:w="1100" w:type="dxa"/>
            <w:vAlign w:val="bottom"/>
            <w:vMerge w:val="continue"/>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360" w:type="dxa"/>
            <w:vAlign w:val="bottom"/>
            <w:gridSpan w:val="2"/>
            <w:vMerge w:val="continue"/>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120" w:type="dxa"/>
            <w:vAlign w:val="bottom"/>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2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0" w:type="dxa"/>
            <w:vAlign w:val="bottom"/>
            <w:gridSpan w:val="2"/>
            <w:vMerge w:val="continue"/>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ind w:left="620"/>
              <w:spacing w:after="0"/>
              <w:rPr>
                <w:sz w:val="20"/>
                <w:szCs w:val="20"/>
                <w:color w:val="auto"/>
              </w:rPr>
            </w:pPr>
            <w:r>
              <w:rPr>
                <w:rFonts w:ascii="Arial" w:cs="Arial" w:eastAsia="Arial" w:hAnsi="Arial"/>
                <w:sz w:val="18"/>
                <w:szCs w:val="18"/>
                <w:color w:val="auto"/>
              </w:rPr>
              <w:t>Dividends declared on convertible preferred stock</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(656)</w:t>
            </w:r>
          </w:p>
        </w:tc>
        <w:tc>
          <w:tcPr>
            <w:tcW w:w="3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w w:val="95"/>
              </w:rPr>
              <w:t>Amortization of discount on convertible preferred stock</w:t>
            </w: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(248)</w:t>
            </w: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(745)</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(993)</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23"/>
        </w:trPr>
        <w:tc>
          <w:tcPr>
            <w:tcW w:w="4800" w:type="dxa"/>
            <w:vAlign w:val="bottom"/>
            <w:gridSpan w:val="2"/>
          </w:tcPr>
          <w:p>
            <w:pPr>
              <w:ind w:left="260"/>
              <w:spacing w:after="0"/>
              <w:rPr>
                <w:sz w:val="20"/>
                <w:szCs w:val="20"/>
                <w:color w:val="auto"/>
              </w:rPr>
            </w:pPr>
            <w:r>
              <w:rPr>
                <w:rFonts w:ascii="Arial" w:cs="Arial" w:eastAsia="Arial" w:hAnsi="Arial"/>
                <w:sz w:val="18"/>
                <w:szCs w:val="18"/>
                <w:color w:val="auto"/>
              </w:rPr>
              <w:t>Net income (loss) attributable to common shares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38,246</w:t>
            </w:r>
          </w:p>
        </w:tc>
        <w:tc>
          <w:tcPr>
            <w:tcW w:w="260" w:type="dxa"/>
            <w:vAlign w:val="bottom"/>
          </w:tcPr>
          <w:p>
            <w:pPr>
              <w:spacing w:after="0"/>
              <w:rPr>
                <w:sz w:val="19"/>
                <w:szCs w:val="19"/>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(5,562)</w:t>
            </w:r>
          </w:p>
        </w:tc>
        <w:tc>
          <w:tcPr>
            <w:tcW w:w="240" w:type="dxa"/>
            <w:vAlign w:val="bottom"/>
          </w:tcPr>
          <w:p>
            <w:pPr>
              <w:spacing w:after="0"/>
              <w:rPr>
                <w:sz w:val="19"/>
                <w:szCs w:val="19"/>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39,259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Denominator:</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Basic weighted-average common shares outstanding</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182,971</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175,011</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182,597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Basic earnings (loss) per common share</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353"/>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vMerge w:val="restart"/>
          </w:tcPr>
          <w:p>
            <w:pPr>
              <w:spacing w:after="0"/>
              <w:rPr>
                <w:sz w:val="20"/>
                <w:szCs w:val="20"/>
                <w:color w:val="auto"/>
              </w:rPr>
            </w:pPr>
            <w:r>
              <w:rPr>
                <w:rFonts w:ascii="Arial" w:cs="Arial" w:eastAsia="Arial" w:hAnsi="Arial"/>
                <w:sz w:val="14"/>
                <w:szCs w:val="14"/>
                <w:color w:val="auto"/>
              </w:rPr>
              <w:t>(Thousands, except per share data)</w:t>
            </w:r>
          </w:p>
        </w:tc>
        <w:tc>
          <w:tcPr>
            <w:tcW w:w="140" w:type="dxa"/>
            <w:vAlign w:val="bottom"/>
            <w:vMerge w:val="restart"/>
          </w:tcPr>
          <w:p>
            <w:pPr>
              <w:spacing w:after="0"/>
              <w:rPr>
                <w:sz w:val="14"/>
                <w:szCs w:val="14"/>
                <w:color w:val="auto"/>
              </w:rPr>
            </w:pPr>
          </w:p>
        </w:tc>
        <w:tc>
          <w:tcPr>
            <w:tcW w:w="3380" w:type="dxa"/>
            <w:vAlign w:val="bottom"/>
            <w:gridSpan w:val="4"/>
          </w:tcPr>
          <w:p>
            <w:pPr>
              <w:ind w:left="640"/>
              <w:spacing w:after="0"/>
              <w:rPr>
                <w:sz w:val="20"/>
                <w:szCs w:val="20"/>
                <w:color w:val="auto"/>
              </w:rPr>
            </w:pPr>
            <w:r>
              <w:rPr>
                <w:rFonts w:ascii="Arial" w:cs="Arial" w:eastAsia="Arial" w:hAnsi="Arial"/>
                <w:sz w:val="14"/>
                <w:szCs w:val="14"/>
                <w:b w:val="1"/>
                <w:bCs w:val="1"/>
                <w:color w:val="auto"/>
              </w:rPr>
              <w:t>Three Months Ended June 30,</w:t>
            </w:r>
          </w:p>
        </w:tc>
        <w:tc>
          <w:tcPr>
            <w:tcW w:w="3140" w:type="dxa"/>
            <w:vAlign w:val="bottom"/>
            <w:gridSpan w:val="3"/>
          </w:tcPr>
          <w:p>
            <w:pPr>
              <w:jc w:val="right"/>
              <w:ind w:right="66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66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440" w:type="dxa"/>
            <w:vAlign w:val="bottom"/>
            <w:tcBorders>
              <w:top w:val="single" w:sz="8" w:color="auto"/>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1440" w:type="dxa"/>
            <w:vAlign w:val="bottom"/>
            <w:tcBorders>
              <w:top w:val="single" w:sz="8" w:color="auto"/>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528"/>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rPr>
          <w:sz w:val="20"/>
          <w:szCs w:val="20"/>
          <w:color w:val="auto"/>
        </w:rPr>
      </w:pPr>
      <w:r>
        <w:rPr>
          <w:rFonts w:ascii="Arial" w:cs="Arial" w:eastAsia="Arial" w:hAnsi="Arial"/>
          <w:sz w:val="18"/>
          <w:szCs w:val="18"/>
          <w:color w:val="auto"/>
        </w:rPr>
        <w:t>Diluted earnings per share: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Numerator:</w:t>
      </w:r>
    </w:p>
    <w:p>
      <w:pPr>
        <w:spacing w:after="0" w:line="23" w:lineRule="exact"/>
        <w:rPr>
          <w:sz w:val="20"/>
          <w:szCs w:val="20"/>
          <w:color w:val="auto"/>
        </w:rPr>
      </w:pPr>
    </w:p>
    <w:p>
      <w:pPr>
        <w:ind w:left="260"/>
        <w:spacing w:after="0"/>
        <w:tabs>
          <w:tab w:leader="none" w:pos="4780" w:val="left"/>
        </w:tabs>
        <w:rPr>
          <w:sz w:val="20"/>
          <w:szCs w:val="20"/>
          <w:color w:val="auto"/>
        </w:rPr>
      </w:pPr>
      <w:r>
        <w:rPr>
          <w:rFonts w:ascii="Arial" w:cs="Arial" w:eastAsia="Arial" w:hAnsi="Arial"/>
          <w:sz w:val="18"/>
          <w:szCs w:val="18"/>
          <w:color w:val="auto"/>
        </w:rPr>
        <w:t>Net income (loss) attributable to shareholders</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Less: Income allocated to participating securities</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Income allocated to participating securities on share</w:t>
      </w:r>
    </w:p>
    <w:p>
      <w:pPr>
        <w:spacing w:after="0" w:line="23" w:lineRule="exact"/>
        <w:rPr>
          <w:sz w:val="20"/>
          <w:szCs w:val="20"/>
          <w:color w:val="auto"/>
        </w:rPr>
      </w:pPr>
    </w:p>
    <w:p>
      <w:pPr>
        <w:ind w:left="620" w:right="280"/>
        <w:spacing w:after="0" w:line="265" w:lineRule="auto"/>
        <w:rPr>
          <w:sz w:val="20"/>
          <w:szCs w:val="20"/>
          <w:color w:val="auto"/>
        </w:rPr>
      </w:pPr>
      <w:r>
        <w:rPr>
          <w:rFonts w:ascii="Arial" w:cs="Arial" w:eastAsia="Arial" w:hAnsi="Arial"/>
          <w:sz w:val="18"/>
          <w:szCs w:val="18"/>
          <w:color w:val="auto"/>
        </w:rPr>
        <w:t>settled contingent consideration arrangements Dividends declared on convertible preferred stock Amortization of discount on convertible preferred stock Impact on if-converted dilutive securities</w:t>
      </w:r>
    </w:p>
    <w:p>
      <w:pPr>
        <w:spacing w:after="0" w:line="3" w:lineRule="exact"/>
        <w:rPr>
          <w:sz w:val="20"/>
          <w:szCs w:val="20"/>
          <w:color w:val="auto"/>
        </w:rPr>
      </w:pPr>
    </w:p>
    <w:p>
      <w:pPr>
        <w:ind w:left="260"/>
        <w:spacing w:after="0"/>
        <w:tabs>
          <w:tab w:leader="none" w:pos="4780" w:val="left"/>
        </w:tabs>
        <w:rPr>
          <w:sz w:val="20"/>
          <w:szCs w:val="20"/>
          <w:color w:val="auto"/>
        </w:rPr>
      </w:pPr>
      <w:r>
        <w:rPr>
          <w:rFonts w:ascii="Arial" w:cs="Arial" w:eastAsia="Arial" w:hAnsi="Arial"/>
          <w:sz w:val="18"/>
          <w:szCs w:val="18"/>
          <w:color w:val="auto"/>
        </w:rPr>
        <w:t>Net income (loss) attributable to common shares</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Denominator:</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Basic weighted-average common shares outstanding</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Effect of dilutive non-participating securities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Impact on if-converted dilutive securities</w:t>
      </w:r>
    </w:p>
    <w:p>
      <w:pPr>
        <w:spacing w:after="0" w:line="35" w:lineRule="exact"/>
        <w:rPr>
          <w:sz w:val="20"/>
          <w:szCs w:val="20"/>
          <w:color w:val="auto"/>
        </w:rPr>
      </w:pPr>
    </w:p>
    <w:p>
      <w:pPr>
        <w:ind w:left="260" w:right="420"/>
        <w:spacing w:after="0" w:line="266" w:lineRule="auto"/>
        <w:rPr>
          <w:sz w:val="20"/>
          <w:szCs w:val="20"/>
          <w:color w:val="auto"/>
        </w:rPr>
      </w:pPr>
      <w:r>
        <w:rPr>
          <w:rFonts w:ascii="Arial" w:cs="Arial" w:eastAsia="Arial" w:hAnsi="Arial"/>
          <w:sz w:val="18"/>
          <w:szCs w:val="18"/>
          <w:color w:val="auto"/>
        </w:rPr>
        <w:t>Weighted-average shares for dilutive earnings per common share</w:t>
      </w:r>
    </w:p>
    <w:p>
      <w:pPr>
        <w:spacing w:after="0"/>
        <w:tabs>
          <w:tab w:leader="none" w:pos="4780" w:val="left"/>
        </w:tabs>
        <w:rPr>
          <w:sz w:val="20"/>
          <w:szCs w:val="20"/>
          <w:color w:val="auto"/>
        </w:rPr>
      </w:pPr>
      <w:r>
        <w:rPr>
          <w:rFonts w:ascii="Arial" w:cs="Arial" w:eastAsia="Arial" w:hAnsi="Arial"/>
          <w:sz w:val="18"/>
          <w:szCs w:val="18"/>
          <w:color w:val="auto"/>
        </w:rPr>
        <w:t>Dilutive earnings (loss) per common share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38,717</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(3,503)</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41,159</w:t>
            </w:r>
          </w:p>
        </w:tc>
        <w:tc>
          <w:tcPr>
            <w:tcW w:w="240" w:type="dxa"/>
            <w:vAlign w:val="bottom"/>
          </w:tcPr>
          <w:p>
            <w:pPr>
              <w:spacing w:after="0"/>
              <w:rPr>
                <w:sz w:val="19"/>
                <w:szCs w:val="19"/>
                <w:color w:val="auto"/>
              </w:rPr>
            </w:pPr>
          </w:p>
        </w:tc>
        <w:tc>
          <w:tcPr>
            <w:tcW w:w="480" w:type="dxa"/>
            <w:vAlign w:val="bottom"/>
            <w:gridSpan w:val="2"/>
          </w:tcPr>
          <w:p>
            <w:pPr>
              <w:jc w:val="right"/>
              <w:ind w:right="305"/>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230"/>
        </w:trPr>
        <w:tc>
          <w:tcPr>
            <w:tcW w:w="860" w:type="dxa"/>
            <w:vAlign w:val="bottom"/>
          </w:tcPr>
          <w:p>
            <w:pPr>
              <w:jc w:val="right"/>
              <w:ind w:right="110"/>
              <w:spacing w:after="0"/>
              <w:rPr>
                <w:sz w:val="20"/>
                <w:szCs w:val="20"/>
                <w:color w:val="auto"/>
              </w:rPr>
            </w:pPr>
            <w:r>
              <w:rPr>
                <w:rFonts w:ascii="Arial" w:cs="Arial" w:eastAsia="Arial" w:hAnsi="Arial"/>
                <w:sz w:val="18"/>
                <w:szCs w:val="18"/>
                <w:color w:val="auto"/>
              </w:rPr>
              <w:t>(223)</w:t>
            </w:r>
          </w:p>
        </w:tc>
        <w:tc>
          <w:tcPr>
            <w:tcW w:w="4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(400)</w:t>
            </w:r>
          </w:p>
        </w:tc>
        <w:tc>
          <w:tcPr>
            <w:tcW w:w="4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338"/>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(258)</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337"/>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(656)</w:t>
            </w:r>
          </w:p>
        </w:tc>
        <w:tc>
          <w:tcPr>
            <w:tcW w:w="46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(656)</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30"/>
        </w:trPr>
        <w:tc>
          <w:tcPr>
            <w:tcW w:w="860" w:type="dxa"/>
            <w:vAlign w:val="bottom"/>
          </w:tcPr>
          <w:p>
            <w:pPr>
              <w:jc w:val="right"/>
              <w:ind w:right="110"/>
              <w:spacing w:after="0"/>
              <w:rPr>
                <w:sz w:val="20"/>
                <w:szCs w:val="20"/>
                <w:color w:val="auto"/>
              </w:rPr>
            </w:pPr>
            <w:r>
              <w:rPr>
                <w:rFonts w:ascii="Arial" w:cs="Arial" w:eastAsia="Arial" w:hAnsi="Arial"/>
                <w:sz w:val="18"/>
                <w:szCs w:val="18"/>
                <w:color w:val="auto"/>
              </w:rPr>
              <w:t>(248)</w:t>
            </w:r>
          </w:p>
        </w:tc>
        <w:tc>
          <w:tcPr>
            <w:tcW w:w="4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(745)</w:t>
            </w:r>
          </w:p>
        </w:tc>
        <w:tc>
          <w:tcPr>
            <w:tcW w:w="4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(993)</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30"/>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363</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38,609</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(5,562)</w:t>
            </w:r>
          </w:p>
        </w:tc>
        <w:tc>
          <w:tcPr>
            <w:tcW w:w="240" w:type="dxa"/>
            <w:vAlign w:val="bottom"/>
          </w:tcPr>
          <w:p>
            <w:pPr>
              <w:spacing w:after="0"/>
              <w:rPr>
                <w:sz w:val="19"/>
                <w:szCs w:val="19"/>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41,023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860" w:type="dxa"/>
            <w:vAlign w:val="bottom"/>
          </w:tcPr>
          <w:p>
            <w:pPr>
              <w:jc w:val="right"/>
              <w:ind w:right="170"/>
              <w:spacing w:after="0"/>
              <w:rPr>
                <w:sz w:val="20"/>
                <w:szCs w:val="20"/>
                <w:color w:val="auto"/>
              </w:rPr>
            </w:pPr>
            <w:r>
              <w:rPr>
                <w:rFonts w:ascii="Arial" w:cs="Arial" w:eastAsia="Arial" w:hAnsi="Arial"/>
                <w:sz w:val="18"/>
                <w:szCs w:val="18"/>
                <w:color w:val="auto"/>
                <w:w w:val="89"/>
              </w:rPr>
              <w:t>182,971</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175,011</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182,597</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174,951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10,126</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860" w:type="dxa"/>
            <w:vAlign w:val="bottom"/>
          </w:tcPr>
          <w:p>
            <w:pPr>
              <w:jc w:val="right"/>
              <w:ind w:right="170"/>
              <w:spacing w:after="0"/>
              <w:rPr>
                <w:sz w:val="20"/>
                <w:szCs w:val="20"/>
                <w:color w:val="auto"/>
              </w:rPr>
            </w:pPr>
            <w:r>
              <w:rPr>
                <w:rFonts w:ascii="Arial" w:cs="Arial" w:eastAsia="Arial" w:hAnsi="Arial"/>
                <w:sz w:val="18"/>
                <w:szCs w:val="18"/>
                <w:color w:val="auto"/>
                <w:w w:val="89"/>
              </w:rPr>
              <w:t>193,105</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175,011</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192,276</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174,951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60" w:type="dxa"/>
            <w:vAlign w:val="bottom"/>
            <w:vMerge w:val="restart"/>
          </w:tcPr>
          <w:p>
            <w:pPr>
              <w:jc w:val="right"/>
              <w:ind w:right="170"/>
              <w:spacing w:after="0"/>
              <w:rPr>
                <w:sz w:val="20"/>
                <w:szCs w:val="20"/>
                <w:color w:val="auto"/>
              </w:rPr>
            </w:pPr>
            <w:r>
              <w:rPr>
                <w:rFonts w:ascii="Arial" w:cs="Arial" w:eastAsia="Arial" w:hAnsi="Arial"/>
                <w:sz w:val="18"/>
                <w:szCs w:val="18"/>
                <w:color w:val="auto"/>
              </w:rPr>
              <w:t>0.20</w:t>
            </w:r>
          </w:p>
        </w:tc>
        <w:tc>
          <w:tcPr>
            <w:tcW w:w="460" w:type="dxa"/>
            <w:vAlign w:val="bottom"/>
          </w:tcPr>
          <w:p>
            <w:pPr>
              <w:spacing w:after="0"/>
              <w:rPr>
                <w:sz w:val="9"/>
                <w:szCs w:val="9"/>
                <w:color w:val="auto"/>
              </w:rPr>
            </w:pPr>
          </w:p>
        </w:tc>
        <w:tc>
          <w:tcPr>
            <w:tcW w:w="122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10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860" w:type="dxa"/>
            <w:vAlign w:val="bottom"/>
            <w:vMerge w:val="continue"/>
          </w:tcPr>
          <w:p>
            <w:pPr>
              <w:spacing w:after="0"/>
              <w:rPr>
                <w:sz w:val="19"/>
                <w:szCs w:val="19"/>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-2220595</wp:posOffset>
            </wp:positionV>
            <wp:extent cx="72466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-1929130</wp:posOffset>
            </wp:positionV>
            <wp:extent cx="7246620" cy="2832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-1499870</wp:posOffset>
            </wp:positionV>
            <wp:extent cx="72466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-908685</wp:posOffset>
            </wp:positionV>
            <wp:extent cx="72466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-616585</wp:posOffset>
            </wp:positionV>
            <wp:extent cx="7246620" cy="6172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61722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-1208405</wp:posOffset>
            </wp:positionV>
            <wp:extent cx="72466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720"/>
            <w:col w:w="5780"/>
          </w:cols>
          <w:pgMar w:left="240" w:top="125" w:right="239" w:bottom="1440" w:gutter="0" w:footer="0" w:header="0"/>
          <w:type w:val="continuous"/>
        </w:sectPr>
      </w:pPr>
    </w:p>
    <w:p>
      <w:pPr>
        <w:spacing w:after="0" w:line="2"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For the three and six months ended June 30, 2018, 563,492 non-participating securities and 619,581 potential common shares related to Hunt Contingent Consideration were excluded from the computation of diluted earnings per share, as their effect would have been anti-dilutive.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management, including our chief executive officer, who is our chief operating decision maker, manages our operations as four reportable segments in addition to our corporate operations, which include:</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color w:val="auto"/>
        </w:rPr>
        <w:t>: Represents the results from our leasing business, Uniti Leasing, which is engaged in the acquisition of mission-critical communications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leasing them back to anchor customers on either an exclusive or shared-tenant basis.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color w:val="auto"/>
        </w:rPr>
        <w:t>: Represents the operations of our fiber business, Uniti Fiber, which is a leading provider of infrastructure solutions, including cell site</w:t>
      </w:r>
      <w:r>
        <w:rPr>
          <w:rFonts w:ascii="Arial" w:cs="Arial" w:eastAsia="Arial" w:hAnsi="Arial"/>
          <w:sz w:val="18"/>
          <w:szCs w:val="18"/>
          <w:i w:val="1"/>
          <w:iCs w:val="1"/>
          <w:color w:val="auto"/>
        </w:rPr>
        <w:t xml:space="preserve"> </w:t>
      </w:r>
      <w:r>
        <w:rPr>
          <w:rFonts w:ascii="Arial" w:cs="Arial" w:eastAsia="Arial" w:hAnsi="Arial"/>
          <w:sz w:val="18"/>
          <w:szCs w:val="18"/>
          <w:color w:val="auto"/>
        </w:rPr>
        <w:t>backhaul and dark fiber, to the telecommunications industry.</w:t>
      </w:r>
    </w:p>
    <w:p>
      <w:pPr>
        <w:spacing w:after="0" w:line="170" w:lineRule="exact"/>
        <w:rPr>
          <w:sz w:val="20"/>
          <w:szCs w:val="20"/>
          <w:color w:val="auto"/>
        </w:rPr>
      </w:pPr>
    </w:p>
    <w:p>
      <w:pPr>
        <w:spacing w:after="0" w:line="259" w:lineRule="auto"/>
        <w:rPr>
          <w:rFonts w:ascii="Arial" w:cs="Arial" w:eastAsia="Arial" w:hAnsi="Arial"/>
          <w:sz w:val="18"/>
          <w:szCs w:val="18"/>
          <w:color w:val="0000EE"/>
        </w:rPr>
      </w:pPr>
      <w:r>
        <w:rPr>
          <w:rFonts w:ascii="Arial" w:cs="Arial" w:eastAsia="Arial" w:hAnsi="Arial"/>
          <w:sz w:val="18"/>
          <w:szCs w:val="18"/>
          <w:i w:val="1"/>
          <w:iCs w:val="1"/>
          <w:u w:val="single" w:color="auto"/>
          <w:color w:val="auto"/>
        </w:rPr>
        <w:t>Towers</w:t>
      </w:r>
      <w:r>
        <w:rPr>
          <w:rFonts w:ascii="Arial" w:cs="Arial" w:eastAsia="Arial" w:hAnsi="Arial"/>
          <w:sz w:val="18"/>
          <w:szCs w:val="18"/>
          <w:color w:val="auto"/>
        </w:rPr>
        <w:t>: Represents the operations of our towers business, Uniti Towers, through which we acquire and construct tower and tower-related real estate,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we then lease to our customers in the United States. On April 2, 2019, the Company completed the sale of LATAM and no longer has on-going operations in </w:t>
      </w:r>
      <w:hyperlink w:anchor="page21">
        <w:r>
          <w:rPr>
            <w:rFonts w:ascii="Arial" w:cs="Arial" w:eastAsia="Arial" w:hAnsi="Arial"/>
            <w:sz w:val="18"/>
            <w:szCs w:val="18"/>
            <w:color w:val="auto"/>
          </w:rPr>
          <w:t xml:space="preserve">Latin America. On May 23, 2019, the Company completed the sale of substantially all of its ground lease business located across the United States. </w:t>
        </w:r>
        <w:r>
          <w:rPr>
            <w:rFonts w:ascii="Arial" w:cs="Arial" w:eastAsia="Arial" w:hAnsi="Arial"/>
            <w:sz w:val="18"/>
            <w:szCs w:val="18"/>
            <w:u w:val="single" w:color="auto"/>
            <w:color w:val="0000EE"/>
          </w:rPr>
          <w:t>See Note</w:t>
        </w:r>
      </w:hyperlink>
      <w:r>
        <w:rPr>
          <w:rFonts w:ascii="Arial" w:cs="Arial" w:eastAsia="Arial" w:hAnsi="Arial"/>
          <w:sz w:val="18"/>
          <w:szCs w:val="18"/>
          <w:color w:val="auto"/>
        </w:rPr>
        <w:t xml:space="preserve"> </w:t>
      </w:r>
      <w:hyperlink w:anchor="page21">
        <w:r>
          <w:rPr>
            <w:rFonts w:ascii="Arial" w:cs="Arial" w:eastAsia="Arial" w:hAnsi="Arial"/>
            <w:sz w:val="18"/>
            <w:szCs w:val="18"/>
            <w:u w:val="single" w:color="auto"/>
            <w:color w:val="0000EE"/>
          </w:rPr>
          <w:t>5</w:t>
        </w:r>
        <w:r>
          <w:rPr>
            <w:rFonts w:ascii="Arial" w:cs="Arial" w:eastAsia="Arial" w:hAnsi="Arial"/>
            <w:sz w:val="18"/>
            <w:szCs w:val="18"/>
            <w:i w:val="1"/>
            <w:iCs w:val="1"/>
            <w:color w:val="000000"/>
          </w:rPr>
          <w:t>.</w:t>
        </w:r>
      </w:hyperlink>
    </w:p>
    <w:p>
      <w:pPr>
        <w:spacing w:after="0" w:line="18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color w:val="auto"/>
        </w:rPr>
        <w:t>: Represents the operations of Talk America Services (“Talk America”) through which we operate the Consumer CLEC Business,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the Spin-Off was reported as an integrated operation within Windstream. Talk America provides local telephone, high-speed internet and long distance services to customers in the eastern and central United States.</w:t>
      </w:r>
    </w:p>
    <w:p>
      <w:pPr>
        <w:spacing w:after="0" w:line="18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i w:val="1"/>
          <w:iCs w:val="1"/>
          <w:u w:val="single" w:color="auto"/>
          <w:color w:val="auto"/>
        </w:rPr>
        <w:t>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Represents our corporate and back office functions. Certain costs and expenses, primarily related to headcount, insurance, professional fees and</w:t>
      </w:r>
      <w:r>
        <w:rPr>
          <w:rFonts w:ascii="Arial" w:cs="Arial" w:eastAsia="Arial" w:hAnsi="Arial"/>
          <w:sz w:val="17"/>
          <w:szCs w:val="17"/>
          <w:i w:val="1"/>
          <w:iCs w:val="1"/>
          <w:color w:val="auto"/>
        </w:rPr>
        <w:t xml:space="preserve"> </w:t>
      </w:r>
      <w:r>
        <w:rPr>
          <w:rFonts w:ascii="Arial" w:cs="Arial" w:eastAsia="Arial" w:hAnsi="Arial"/>
          <w:sz w:val="17"/>
          <w:szCs w:val="17"/>
          <w:color w:val="auto"/>
        </w:rPr>
        <w:t>similar charges, that are directly attributable to operations of our business segments are allocated to the respective segments.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Management evaluates the performance of each segment using Adjusted EBITDA, which is a segment performance measure we define as net income determined in accordance with GAAP, before interest expense, provision for income taxes, depreciation and amortization, stock-based compensation expense, the impact, which may be recurring in nature, of transaction and integration related expenses, the write off of unamortized deferred financing costs, costs incurred as a result of the early repayment of debt, changes in the fair value of contingent consideration and financial instruments, and other similar items. The Company believes that net income, as defined by GAAP, is the most appropriate earnings metric; however, we believe that Adjusted EBITDA serves as a useful supplement to net income because it allows investors, analysts and management to evaluate the performance of our segments in a manner that is comparable period over period. Adjusted EBITDA should not be considered as an alternative to net income as determined in accordance with GAAP.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related to our segments is presented below for the three and six months ended June 30, 2019 and 2018:</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6"/>
              </w:rPr>
              <w:t>Three Months Ended June 30, 2019</w:t>
            </w: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Subtotal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Leasing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Fiber Infrastructure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Towers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8"/>
              </w:rPr>
              <w:t>Consumer CLEC</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Corporate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Reportable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ind w:left="160"/>
              <w:spacing w:after="0"/>
              <w:rPr>
                <w:sz w:val="20"/>
                <w:szCs w:val="20"/>
                <w:color w:val="auto"/>
              </w:rPr>
            </w:pPr>
            <w:r>
              <w:rPr>
                <w:rFonts w:ascii="Arial" w:cs="Arial" w:eastAsia="Arial" w:hAnsi="Arial"/>
                <w:sz w:val="14"/>
                <w:szCs w:val="14"/>
                <w:b w:val="1"/>
                <w:bCs w:val="1"/>
                <w:color w:val="auto"/>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177,042</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81,327</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3,146</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8"/>
              </w:rPr>
              <w:t>2,899</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264,414</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80" w:type="dxa"/>
            <w:vAlign w:val="bottom"/>
            <w:gridSpan w:val="4"/>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175,881</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37,036</w:t>
            </w:r>
          </w:p>
        </w:tc>
        <w:tc>
          <w:tcPr>
            <w:tcW w:w="4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(42)</w:t>
            </w:r>
          </w:p>
        </w:tc>
        <w:tc>
          <w:tcPr>
            <w:tcW w:w="880" w:type="dxa"/>
            <w:vAlign w:val="bottom"/>
            <w:gridSpan w:val="3"/>
            <w:shd w:val="clear" w:color="auto" w:fill="CFF0FC"/>
          </w:tcPr>
          <w:p>
            <w:pPr>
              <w:jc w:val="right"/>
              <w:ind w:right="587"/>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565</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(6,576)</w:t>
            </w:r>
          </w:p>
        </w:tc>
        <w:tc>
          <w:tcPr>
            <w:tcW w:w="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206,864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Less: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97,729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Depreciation and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72,275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28,494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346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102,578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restart"/>
          </w:tcPr>
          <w:p>
            <w:pPr>
              <w:ind w:left="120"/>
              <w:spacing w:after="0"/>
              <w:rPr>
                <w:sz w:val="20"/>
                <w:szCs w:val="20"/>
                <w:color w:val="auto"/>
              </w:rPr>
            </w:pPr>
            <w:r>
              <w:rPr>
                <w:rFonts w:ascii="Arial" w:cs="Arial" w:eastAsia="Arial" w:hAnsi="Arial"/>
                <w:sz w:val="18"/>
                <w:szCs w:val="18"/>
                <w:color w:val="auto"/>
              </w:rPr>
              <w:t>amortization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income</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(22,275)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Transaction related costs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Gain on sale of real estate</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(4,960)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(23,830)</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(28,790)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w w:val="98"/>
              </w:rPr>
              <w:t>Stock-based compensation</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tax expense</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7,843</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gridSpan w:val="8"/>
            <w:vMerge w:val="restart"/>
          </w:tcPr>
          <w:p>
            <w:pPr>
              <w:ind w:left="100"/>
              <w:spacing w:after="0"/>
              <w:rPr>
                <w:sz w:val="20"/>
                <w:szCs w:val="20"/>
                <w:color w:val="auto"/>
              </w:rPr>
            </w:pPr>
            <w:r>
              <w:rPr>
                <w:rFonts w:ascii="Arial" w:cs="Arial" w:eastAsia="Arial" w:hAnsi="Arial"/>
                <w:sz w:val="14"/>
                <w:szCs w:val="14"/>
                <w:b w:val="1"/>
                <w:bCs w:val="1"/>
                <w:color w:val="auto"/>
                <w:w w:val="93"/>
              </w:rPr>
              <w:t>Three Months Ended June 30, 2018</w:t>
            </w: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8"/>
            <w:vMerge w:val="continue"/>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right"/>
              <w:ind w:right="194"/>
              <w:spacing w:after="0" w:line="133" w:lineRule="exact"/>
              <w:rPr>
                <w:sz w:val="20"/>
                <w:szCs w:val="20"/>
                <w:color w:val="auto"/>
              </w:rPr>
            </w:pPr>
            <w:r>
              <w:rPr>
                <w:rFonts w:ascii="Arial" w:cs="Arial" w:eastAsia="Arial" w:hAnsi="Arial"/>
                <w:sz w:val="14"/>
                <w:szCs w:val="14"/>
                <w:b w:val="1"/>
                <w:bCs w:val="1"/>
                <w:color w:val="auto"/>
              </w:rPr>
              <w:t>Subtotal of</w:t>
            </w:r>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Leasing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97"/>
              </w:rPr>
              <w:t>Fiber Infrastructure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Towers</w:t>
            </w:r>
          </w:p>
        </w:tc>
        <w:tc>
          <w:tcPr>
            <w:tcW w:w="40" w:type="dxa"/>
            <w:vAlign w:val="bottom"/>
          </w:tcPr>
          <w:p>
            <w:pPr>
              <w:spacing w:after="0"/>
              <w:rPr>
                <w:sz w:val="12"/>
                <w:szCs w:val="12"/>
                <w:color w:val="auto"/>
              </w:rPr>
            </w:pPr>
          </w:p>
        </w:tc>
        <w:tc>
          <w:tcPr>
            <w:tcW w:w="128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rPr>
              <w:t>Consumer CLEC</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Corporate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rPr>
              <w:t>Reportable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ind w:left="120"/>
              <w:spacing w:after="0"/>
              <w:rPr>
                <w:sz w:val="20"/>
                <w:szCs w:val="20"/>
                <w:color w:val="auto"/>
              </w:rPr>
            </w:pPr>
            <w:r>
              <w:rPr>
                <w:rFonts w:ascii="Arial" w:cs="Arial" w:eastAsia="Arial" w:hAnsi="Arial"/>
                <w:sz w:val="14"/>
                <w:szCs w:val="14"/>
                <w:b w:val="1"/>
                <w:bCs w:val="1"/>
                <w:color w:val="auto"/>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gridSpan w:val="2"/>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173,885</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67,389</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3,583</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247,329</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80" w:type="dxa"/>
            <w:vAlign w:val="bottom"/>
            <w:gridSpan w:val="4"/>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173,356</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29,405</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60" w:type="dxa"/>
            <w:vAlign w:val="bottom"/>
            <w:shd w:val="clear" w:color="auto" w:fill="CFF0FC"/>
          </w:tcPr>
          <w:p>
            <w:pPr>
              <w:spacing w:after="0"/>
              <w:rPr>
                <w:sz w:val="19"/>
                <w:szCs w:val="19"/>
                <w:color w:val="auto"/>
              </w:rPr>
            </w:pPr>
          </w:p>
        </w:tc>
        <w:tc>
          <w:tcPr>
            <w:tcW w:w="40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(5,511)</w:t>
            </w:r>
          </w:p>
        </w:tc>
        <w:tc>
          <w:tcPr>
            <w:tcW w:w="26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197,011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Less: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79,385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Depreciation and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86,454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26,244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499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114,842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restart"/>
          </w:tcPr>
          <w:p>
            <w:pPr>
              <w:ind w:left="120"/>
              <w:spacing w:after="0"/>
              <w:rPr>
                <w:sz w:val="20"/>
                <w:szCs w:val="20"/>
                <w:color w:val="auto"/>
              </w:rPr>
            </w:pPr>
            <w:r>
              <w:rPr>
                <w:rFonts w:ascii="Arial" w:cs="Arial" w:eastAsia="Arial" w:hAnsi="Arial"/>
                <w:sz w:val="18"/>
                <w:szCs w:val="18"/>
                <w:color w:val="auto"/>
              </w:rPr>
              <w:t>amortization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expense</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Transaction related costs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3,789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8"/>
              </w:rPr>
              <w:t>Stock-based compensation</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Income tax benefit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(3,593)</w:t>
            </w:r>
          </w:p>
        </w:tc>
        <w:tc>
          <w:tcPr>
            <w:tcW w:w="1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vMerge w:val="restart"/>
          </w:tcPr>
          <w:p>
            <w:pPr>
              <w:jc w:val="center"/>
              <w:ind w:right="30"/>
              <w:spacing w:after="0"/>
              <w:rPr>
                <w:sz w:val="20"/>
                <w:szCs w:val="20"/>
                <w:color w:val="auto"/>
              </w:rPr>
            </w:pPr>
            <w:r>
              <w:rPr>
                <w:rFonts w:ascii="Arial" w:cs="Arial" w:eastAsia="Arial" w:hAnsi="Arial"/>
                <w:sz w:val="18"/>
                <w:szCs w:val="18"/>
                <w:color w:val="auto"/>
                <w:w w:val="89"/>
              </w:rPr>
              <w:t>34</w:t>
            </w: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4"/>
              </w:rPr>
              <w:t>Six Months Ended June 30, 2019</w:t>
            </w: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Subtotal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Leasing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Fiber Infrastructure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Towers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8"/>
              </w:rPr>
              <w:t>Consumer CLEC</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Corporate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Reportable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353,125</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158,160</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8,226</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5,934</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525,445</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80" w:type="dxa"/>
            <w:vAlign w:val="bottom"/>
            <w:gridSpan w:val="4"/>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350,632</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67,036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507"/>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1,211</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(12,023)</w:t>
            </w:r>
          </w:p>
        </w:tc>
        <w:tc>
          <w:tcPr>
            <w:tcW w:w="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407,139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Less: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182,187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Depreciation and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146,028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56,752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2,827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692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206,405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restart"/>
          </w:tcPr>
          <w:p>
            <w:pPr>
              <w:ind w:left="120"/>
              <w:spacing w:after="0"/>
              <w:rPr>
                <w:sz w:val="20"/>
                <w:szCs w:val="20"/>
                <w:color w:val="auto"/>
              </w:rPr>
            </w:pPr>
            <w:r>
              <w:rPr>
                <w:rFonts w:ascii="Arial" w:cs="Arial" w:eastAsia="Arial" w:hAnsi="Arial"/>
                <w:sz w:val="18"/>
                <w:szCs w:val="18"/>
                <w:color w:val="auto"/>
              </w:rPr>
              <w:t>amortization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income</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(25,388)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Transaction related costs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13,704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Gain on sale of real estate</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(4,960)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(23,830)</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(28,790)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w w:val="98"/>
              </w:rPr>
              <w:t>Stock-based compensation</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tax expense</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11,897</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42,039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w w:val="95"/>
              </w:rPr>
              <w:t>Six Months Ended June 30, 2018</w:t>
            </w: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7"/>
            <w:vMerge w:val="continue"/>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right"/>
              <w:ind w:right="194"/>
              <w:spacing w:after="0" w:line="133" w:lineRule="exact"/>
              <w:rPr>
                <w:sz w:val="20"/>
                <w:szCs w:val="20"/>
                <w:color w:val="auto"/>
              </w:rPr>
            </w:pPr>
            <w:r>
              <w:rPr>
                <w:rFonts w:ascii="Arial" w:cs="Arial" w:eastAsia="Arial" w:hAnsi="Arial"/>
                <w:sz w:val="14"/>
                <w:szCs w:val="14"/>
                <w:b w:val="1"/>
                <w:bCs w:val="1"/>
                <w:color w:val="auto"/>
              </w:rPr>
              <w:t>Subtotal of</w:t>
            </w:r>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Leasing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97"/>
              </w:rPr>
              <w:t>Fiber Infrastructure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Towers</w:t>
            </w:r>
          </w:p>
        </w:tc>
        <w:tc>
          <w:tcPr>
            <w:tcW w:w="40" w:type="dxa"/>
            <w:vAlign w:val="bottom"/>
          </w:tcPr>
          <w:p>
            <w:pPr>
              <w:spacing w:after="0"/>
              <w:rPr>
                <w:sz w:val="12"/>
                <w:szCs w:val="12"/>
                <w:color w:val="auto"/>
              </w:rPr>
            </w:pPr>
          </w:p>
        </w:tc>
        <w:tc>
          <w:tcPr>
            <w:tcW w:w="128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rPr>
              <w:t>Consumer CLEC</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Corporate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rPr>
              <w:t>Reportable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ind w:left="120"/>
              <w:spacing w:after="0"/>
              <w:rPr>
                <w:sz w:val="20"/>
                <w:szCs w:val="20"/>
                <w:color w:val="auto"/>
              </w:rPr>
            </w:pPr>
            <w:r>
              <w:rPr>
                <w:rFonts w:ascii="Arial" w:cs="Arial" w:eastAsia="Arial" w:hAnsi="Arial"/>
                <w:sz w:val="14"/>
                <w:szCs w:val="14"/>
                <w:b w:val="1"/>
                <w:bCs w:val="1"/>
                <w:color w:val="auto"/>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gridSpan w:val="2"/>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346,659</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134,356</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7,387</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494,244</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80" w:type="dxa"/>
            <w:vAlign w:val="bottom"/>
            <w:gridSpan w:val="4"/>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345,725</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58,600</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(1,630)</w:t>
            </w:r>
          </w:p>
        </w:tc>
        <w:tc>
          <w:tcPr>
            <w:tcW w:w="1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1,841</w:t>
            </w:r>
          </w:p>
        </w:tc>
        <w:tc>
          <w:tcPr>
            <w:tcW w:w="60" w:type="dxa"/>
            <w:vAlign w:val="bottom"/>
            <w:shd w:val="clear" w:color="auto" w:fill="CFF0FC"/>
          </w:tcPr>
          <w:p>
            <w:pPr>
              <w:spacing w:after="0"/>
              <w:rPr>
                <w:sz w:val="19"/>
                <w:szCs w:val="19"/>
                <w:color w:val="auto"/>
              </w:rPr>
            </w:pPr>
          </w:p>
        </w:tc>
        <w:tc>
          <w:tcPr>
            <w:tcW w:w="40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(10,824)</w:t>
            </w:r>
          </w:p>
        </w:tc>
        <w:tc>
          <w:tcPr>
            <w:tcW w:w="26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393,712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Less: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156,992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Depreciation and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173,198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52,149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3,052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997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167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229,563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restart"/>
          </w:tcPr>
          <w:p>
            <w:pPr>
              <w:ind w:left="120"/>
              <w:spacing w:after="0"/>
              <w:rPr>
                <w:sz w:val="20"/>
                <w:szCs w:val="20"/>
                <w:color w:val="auto"/>
              </w:rPr>
            </w:pPr>
            <w:r>
              <w:rPr>
                <w:rFonts w:ascii="Arial" w:cs="Arial" w:eastAsia="Arial" w:hAnsi="Arial"/>
                <w:sz w:val="18"/>
                <w:szCs w:val="18"/>
                <w:color w:val="auto"/>
              </w:rPr>
              <w:t>amortization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expense</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Transaction related costs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9,702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8"/>
              </w:rPr>
              <w:t>Stock-based compensation</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Income tax benefit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(3,742)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(2,362)</w:t>
            </w:r>
          </w:p>
        </w:tc>
        <w:tc>
          <w:tcPr>
            <w:tcW w:w="1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4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Pursuant to the Separation and Distribution Agreement entered into with Windstream in connection with the Spin-Off, Windstream has agreed to indemnify us (including our subsidiaries, directors, officers, employees and agents and certain other related parties) for any liability arising from or relating to legal proceedings involving Windstream's telecommunications business prior to the Spin-Off, and, pursuant to the Master Lease, Windstream has agreed to indemnify us for, among other things, any use, misuse, maintenance or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repair by Windstream with respect to the Distribution Systems. Windstream is currently a party to various legal actions and administrative proceedings, including various claims arising in the ordinary course of its telecommunications business, which are subject to the indemnities provided to us by Windstream. If Windstream assumes the Separation and Distribution Agreement and/or the Master Lease in bankruptcy, it would be obligated to honor all indemnification claims arising under such agreement. If the Separation and Distribution Agreement and or the Master Lease are rejected in Windstream’s bankruptcy, any claims on the applicable indemnity would be treated as unsecured claims, and, if that were to occur, there can be no assurance we would receive any related indemnification payments from Windstream in connection with the applicable indemnity claims.</w:t>
      </w:r>
    </w:p>
    <w:p>
      <w:pPr>
        <w:spacing w:after="0" w:line="165"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On July 25, 2019, in connection with Windstream’s bankruptcy, Windstream Holdings and Windstream Services, LLC filed a complaint with the U.S. Bankruptcy Court for the Southern District of New York alleging¸ among other things, that the Master Lease should be recharacterized as a financing arrangement, that the Master Lease is a lease of personal property, and that rent payments and tenant capital improvements made by Windstream under the Master Lease since at least the third quarter of 2017 constitute constructive fraudulent transfers. If the Master Lease is recharacterized as a financing arrangement, Windstream would be deemed the true owner of the property subject to the Master Lease, and Uniti would be treated as a creditor of Windstream rather than as a landlord, which could significantly affect current payments to us under the Master Lease, the ultimate treatment of our claims (including potentially through changing our status to that of a creditor that would share in creditor recoveries from the estate rather than receive rent payments) and our status as a REIT. If the Master Lease is determined to be a lease of personal property, the deadline for Windstream Holdings to assume or reject the Master Lease would be the confirmation of its plan by the bankruptcy court, and Windstream may seek from the bankruptcy court relief from its current performance obligations during the bankruptcy case. If the constructive fraudulent transfer claim is successful, Uniti may be required to repay Windstream the amount of rent payments and tenant capital improvements since at least the third quarter of 2017. In parallel with this filing, Windstream Holdings also filed a motion to stay the deadline under which Windstream must assume or reject the Master Lease pending the resolution of issues raised in the complaint. A mediation of these claims is ongoing in Windstream’s bankruptcy. In connection with the mediation, Uniti has agreed to an extension of the assumption deadline for the Master Lease to December 7, 2019. In exchange, Windstream has provided certain assurances regarding the continued payment of rent pursuant to the Master Lease during the extension period and following the expiration of the extension period, Windstream will continue to make payments under the Master Lease as they come due, unless and until Windstream obtains an order from the bankruptcy court permitting cessation of such payments.</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believe that it is unlikely that a court will determine to recharacterize the Master Lease as a financing transaction, that the Master Lease is a lease of personal property, or that rent payments and tenant capital improvements made by Windstream under the Master Lease since at least the third quarter of 2017 constitute constructive fraudulent transfers. We intend to defend this matter vigorously, and, because it is still in its preliminary stages, have not yet determined what effect these claims will have, if any, on our financial position or results of operations. As of the date of this Quarterly Report on Form 10-Q, we are unable to estimate a reasonably possible range of loss and therefore have not recorded any liabilities associated with these claims in our Condensed Consolidated Balance Sheet. However, it is difficult to predict what could occur in Windstream’s bankruptcy restructuring, including any judicial decisions in respect of claims against us by Windstream or its creditors. Any adverse determination or judicial decision could have a material adverse effect on our business, financial position or results of operations.</w:t>
      </w:r>
    </w:p>
    <w:p>
      <w:pPr>
        <w:spacing w:after="0" w:line="19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On July 3, 2019, SLF Holdings, LLC (“SLF”) filed a complaint against the Company, Uniti Fiber, and certain current and former officers of the Company (collectively, the “Defendants”) in the United States District Court for the Southern District of Alabama, in connection with Uniti Fiber’s purchase of Southern Light, LLC from SLF in July 2017. The complaint asserts claims for fraud and conspiracy, as well as claims under federal and Alabama securities laws, alleging that Defendants improperly failed to disclose to SLF the risk that the 2015 spin-off of Uniti from Windstream Holdings violated certain debt covenants of Windstream Holdings’ subsidiary, Windstream Services, LLC. SLF seeks compensatory and punitive damages, as well as reformation of the purchase agreement for the sale. We intend to defend this matter vigorously, and, because it is still in its preliminary stages, have not yet determined what effect this lawsuit will have, if any, on our financial position or results of operations. As of the date of this Quarterly Report on Form 10-Q, we are unable to estimate a reasonably possible range of loss and therefore have not recorded any liabilities associated with these claims in our Condensed Consolidated Balance Sheet.</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terms of the tax matters agreement entered into on April 24, 2015 by the Company, Windstream Services, LLC and Windstream (the “Tax Matters Agreement”), in connection with the Spin-Off, we are generally responsible for any taxes imposed on Windstream that arise from the failure of the Spin-Off and the debt exchanges to qualify as tax-free for U.S. federal income tax purposes, within the meaning of Section 355 and Section 368(a)(1)(D) of the Code, as applicable, to the extent such failure to qualify is attributable to certain actions, events or transactions relating to our stock, indebtedness, assets or business, or a breach of the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relevant representations or any covenants made by us in the Tax Matters Agreement, the materials submitted to the IRS in connection with the request for the private letter ruling or the representations provided in connection with the tax opinion. We believe that the probability of us incurring obligations under the Tax Matters Agreement are remote; and therefore, we have recorded no such liabilities in our Condensed Consolidated Balance Sheet as of June 30, 2019.</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Accumulated Other Comprehensive (Loss)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Changes in accumulated other comprehensive (loss) income by component is as follows for the three and six months ended June 30, 2019 and 2018:</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Cash flow hedge changes in fair value gain (loss):</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w w:val="92"/>
              </w:rPr>
              <w:t>Balance at beginning of period attributable to common shareholders</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8,835</w:t>
            </w:r>
          </w:p>
        </w:tc>
        <w:tc>
          <w:tcPr>
            <w:tcW w:w="1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40,728</w:t>
            </w:r>
          </w:p>
        </w:tc>
        <w:tc>
          <w:tcPr>
            <w:tcW w:w="140" w:type="dxa"/>
            <w:vAlign w:val="bottom"/>
          </w:tcPr>
          <w:p>
            <w:pPr>
              <w:spacing w:after="0"/>
              <w:rPr>
                <w:sz w:val="19"/>
                <w:szCs w:val="19"/>
                <w:color w:val="auto"/>
              </w:rPr>
            </w:pP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30,042</w:t>
            </w:r>
          </w:p>
        </w:tc>
        <w:tc>
          <w:tcPr>
            <w:tcW w:w="16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6,351</w:t>
            </w:r>
          </w:p>
        </w:tc>
        <w:tc>
          <w:tcPr>
            <w:tcW w:w="100" w:type="dxa"/>
            <w:vAlign w:val="bottom"/>
          </w:tcPr>
          <w:p>
            <w:pPr>
              <w:spacing w:after="0"/>
              <w:rPr>
                <w:sz w:val="19"/>
                <w:szCs w:val="19"/>
                <w:color w:val="auto"/>
              </w:rPr>
            </w:pPr>
          </w:p>
        </w:tc>
      </w:tr>
      <w:tr>
        <w:trPr>
          <w:trHeight w:val="230"/>
        </w:trPr>
        <w:tc>
          <w:tcPr>
            <w:tcW w:w="5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comprehensive (loss) income before reclassifications</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(26,457)</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(46,083)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46,317</w:t>
            </w:r>
          </w:p>
        </w:tc>
        <w:tc>
          <w:tcPr>
            <w:tcW w:w="100" w:type="dxa"/>
            <w:vAlign w:val="bottom"/>
            <w:shd w:val="clear" w:color="auto" w:fill="CFF0FC"/>
          </w:tcPr>
          <w:p>
            <w:pPr>
              <w:spacing w:after="0"/>
              <w:rPr>
                <w:sz w:val="19"/>
                <w:szCs w:val="19"/>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w w:val="90"/>
              </w:rPr>
              <w:t>Amounts reclassified from accumulated other comprehensive income</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(1,906)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(3,966)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3,556</w:t>
            </w:r>
          </w:p>
        </w:tc>
        <w:tc>
          <w:tcPr>
            <w:tcW w:w="100" w:type="dxa"/>
            <w:vAlign w:val="bottom"/>
          </w:tcPr>
          <w:p>
            <w:pPr>
              <w:spacing w:after="0"/>
              <w:rPr>
                <w:sz w:val="19"/>
                <w:szCs w:val="19"/>
                <w:color w:val="auto"/>
              </w:rPr>
            </w:pPr>
          </w:p>
        </w:tc>
      </w:tr>
      <w:tr>
        <w:trPr>
          <w:trHeight w:val="223"/>
        </w:trPr>
        <w:tc>
          <w:tcPr>
            <w:tcW w:w="516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(19,528)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54,968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56,224</w:t>
            </w: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5160" w:type="dxa"/>
            <w:vAlign w:val="bottom"/>
          </w:tcPr>
          <w:p>
            <w:pPr>
              <w:ind w:left="140"/>
              <w:spacing w:after="0"/>
              <w:rPr>
                <w:sz w:val="20"/>
                <w:szCs w:val="20"/>
                <w:color w:val="auto"/>
              </w:rPr>
            </w:pPr>
            <w:r>
              <w:rPr>
                <w:rFonts w:ascii="Arial" w:cs="Arial" w:eastAsia="Arial" w:hAnsi="Arial"/>
                <w:sz w:val="18"/>
                <w:szCs w:val="18"/>
                <w:color w:val="auto"/>
              </w:rPr>
              <w:t>Less: Other comprehensive (loss) income attributable to</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(568)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(1,047)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0"/>
                <w:szCs w:val="20"/>
                <w:color w:val="auto"/>
              </w:rPr>
            </w:pPr>
          </w:p>
        </w:tc>
      </w:tr>
      <w:tr>
        <w:trPr>
          <w:trHeight w:val="223"/>
        </w:trPr>
        <w:tc>
          <w:tcPr>
            <w:tcW w:w="516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Balance at end of period attributable to common shareholders</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(18,960)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55,074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(18,960)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55,074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Foreign currency translation gain (loss):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6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2"/>
              </w:rPr>
              <w:t>Balance at beginning of period attributable to common shareholders</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FF0FC"/>
          </w:tcPr>
          <w:p>
            <w:pPr>
              <w:spacing w:after="0"/>
              <w:rPr>
                <w:sz w:val="19"/>
                <w:szCs w:val="19"/>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Translation adjustments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(780)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(4,879)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(314)</w:t>
            </w:r>
          </w:p>
        </w:tc>
      </w:tr>
      <w:tr>
        <w:trPr>
          <w:trHeight w:val="230"/>
        </w:trPr>
        <w:tc>
          <w:tcPr>
            <w:tcW w:w="516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0"/>
              </w:rPr>
              <w:t>Amounts reclassified from accumulated other comprehensive income</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5160" w:type="dxa"/>
            <w:vAlign w:val="bottom"/>
          </w:tcPr>
          <w:p>
            <w:pPr>
              <w:ind w:left="140"/>
              <w:spacing w:after="0"/>
              <w:rPr>
                <w:sz w:val="20"/>
                <w:szCs w:val="20"/>
                <w:color w:val="auto"/>
              </w:rPr>
            </w:pPr>
            <w:r>
              <w:rPr>
                <w:rFonts w:ascii="Arial" w:cs="Arial" w:eastAsia="Arial" w:hAnsi="Arial"/>
                <w:sz w:val="18"/>
                <w:szCs w:val="18"/>
                <w:color w:val="auto"/>
              </w:rPr>
              <w:t>Balance at end of period</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19"/>
                <w:szCs w:val="19"/>
                <w:color w:val="auto"/>
              </w:rPr>
            </w:pPr>
          </w:p>
        </w:tc>
      </w:tr>
      <w:tr>
        <w:trPr>
          <w:trHeight w:val="215"/>
        </w:trPr>
        <w:tc>
          <w:tcPr>
            <w:tcW w:w="516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7"/>
              </w:rPr>
              <w:t>Less: Other comprehensive income attributable to noncontrolling</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r>
      <w:tr>
        <w:trPr>
          <w:trHeight w:val="223"/>
        </w:trPr>
        <w:tc>
          <w:tcPr>
            <w:tcW w:w="51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Balance at end of period attributable to common shareholders</w:t>
            </w:r>
          </w:p>
        </w:tc>
        <w:tc>
          <w:tcPr>
            <w:tcW w:w="1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FF0FC"/>
            </w:tcBorders>
          </w:tcPr>
          <w:p>
            <w:pPr>
              <w:spacing w:after="0"/>
              <w:rPr>
                <w:sz w:val="19"/>
                <w:szCs w:val="19"/>
                <w:color w:val="auto"/>
              </w:rPr>
            </w:pPr>
          </w:p>
        </w:tc>
      </w:tr>
      <w:tr>
        <w:trPr>
          <w:trHeight w:val="223"/>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Accumulated other comprehensive income at end of period</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(18,960)</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56,237</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(18,960)</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56,237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Capital Stock</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Until June 15, 2019, we had an effective shelf registration statement on file with the SEC (the “Registration Statement”) to offer and sell various securities from time to time. Under the Registration Statement, we established an at-the-market common stock offering program (the “ATM Program”) to sell shares of common stock having an aggregate offering price of up to $250.0 million. As of June 30, 2019, the Company has issued and sold an aggregate of 6.7 million shares of common stock at a weighted average price of $19.92 per share under the ATM Program, receiving net proceeds of $131.2 million, after commissions of $1.7 million and other offering costs. The ATM Program is currently suspended following the June 15, 2019 expiration of the Registration Statement.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July 2, 2019, the Company issued 8,677,163 shares of its common stock in connection with the conversion by PEG Bandwidth Holdings, LLC of 87,500 shares of the Series A Shares. The Company issued common stock with a total value of $87,500,000, with</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total number of shares calculated based on the five-day volume weighted average price of its common stock ending on June 27, 2019. Upon conversion, all outstanding Series A Shares were cancelled and no longer remain outstanding.</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describes the principal factors affecting the results of our operations, financial condition, and changes in financial condition for the three and six months ended June 30, 2019. This discussion should be read in conjunction with the accompanying Condensed Consolidated Financial Statements, and the notes thereto set forth in Part I, Item 1 of this Quarterly Report on Form 10-Q and our Annual Report on Form 10-K for the year ended December 31, 2018, filed with the Securities and Exchange Commission (the “SEC”) on March 18,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Description</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Uniti Group Inc. (the “Company”, “Uniti”, “we”, “us” or “our”) is an independent, internally managed real estate investment trust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w:t>
      </w:r>
    </w:p>
    <w:p>
      <w:pPr>
        <w:spacing w:after="0" w:line="16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April 24, 2015, we were separated and spun-off (the “Spin-Off”) from Windstream Holdings, Inc. (“Windstream Holdings” and together with its subsidiaries, “Windstream”) pursuant to which Windstream contributed certain telecommunications network assets, including fiber and copper networks and other real estate (the “Distribution Systems”) and a small consumer competitive local exchange carrier (“CLEC”) business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a substantial portion of our leasing revenues are currently derived.</w:t>
      </w:r>
    </w:p>
    <w:p>
      <w:pPr>
        <w:spacing w:after="0" w:line="16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Uniti operates as a REIT for U.S. federal income tax purposes. As a REIT, the Company is generally not subject to U.S. federal income taxes on income generated by its REIT operations, which includes income derived from the Master Lease. We have elected to treat the subsidiaries through which we operate our fiber business, Uniti Fiber, and Talk America Services, LLC, which operates the Consumer CLEC Business (“Talk America”), as taxable REIT subsidiaries (“TRSs”). TRSs enable us to engage in activities that result in income that does not constitute qualifying income for a REIT. Our TRSs are subject to U.S. federal, state and local corporate income taxes.</w:t>
      </w:r>
    </w:p>
    <w:p>
      <w:pPr>
        <w:spacing w:after="0" w:line="188"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Company operates through a customary up-REIT structure, pursuant to which we hold substantially all of our assets through a partnership, Uniti Group LP, a Delaware limited partnership (the “Operating Partnership”), that we control as general partner. This structure is intended to facilitate future acquisition opportunities by providing the Company with the ability to use common units of the Operating Partnership as a tax-efficient acquisition currency. As of June 30, 2019, we are the sole general partner of the Operating Partnership and own approximately 98.0% of the partnership interests in the Operating Partnership.</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We expect to grow and diversify our portfolio and tenant base by pursuing a range of transaction structures with communication service providers, including,</w:t>
      </w:r>
    </w:p>
    <w:p>
      <w:pPr>
        <w:spacing w:after="0" w:line="46" w:lineRule="exact"/>
        <w:rPr>
          <w:sz w:val="20"/>
          <w:szCs w:val="20"/>
          <w:color w:val="auto"/>
        </w:rPr>
      </w:pPr>
    </w:p>
    <w:p>
      <w:pPr>
        <w:ind w:firstLine="8"/>
        <w:spacing w:after="0" w:line="252" w:lineRule="auto"/>
        <w:tabs>
          <w:tab w:leader="none" w:pos="2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 leaseback transactions, whereby we acquire existing infrastructure assets from third parties, including communication service providers, and lease them back on a long-term triple-net basis; (ii) whole company acquisitions, which may include the use of one or more TRSs that are permitted under the tax laws to acquire and operate non-REIT businesses and assets subject to certain limitations; (iii) capital investment financing, whereby we offer communication service providers a cost efficient method of raising funds for discrete capital investments to upgrade or expand their network; and (iv) mergers and acquisitions financing, whereby we facilitate mergers and acquisition transactions as a capital partner, including through operating company/property company (“OpCo-PropCo”) structures.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We manage our operations as four reportable business segments in addition to our corporate operations:</w:t>
      </w:r>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i w:val="1"/>
          <w:iCs w:val="1"/>
          <w:u w:val="single" w:color="auto"/>
          <w:color w:val="auto"/>
        </w:rPr>
        <w:t>Leasing Segment</w:t>
      </w:r>
      <w:r>
        <w:rPr>
          <w:rFonts w:ascii="Arial" w:cs="Arial" w:eastAsia="Arial" w:hAnsi="Arial"/>
          <w:sz w:val="17"/>
          <w:szCs w:val="17"/>
          <w:color w:val="auto"/>
        </w:rPr>
        <w:t>: Represents our REIT operations and includes the results from our leasing business, Uniti Leasing, which is engaged in the acquisition of</w:t>
      </w:r>
      <w:r>
        <w:rPr>
          <w:rFonts w:ascii="Arial" w:cs="Arial" w:eastAsia="Arial" w:hAnsi="Arial"/>
          <w:sz w:val="17"/>
          <w:szCs w:val="17"/>
          <w:i w:val="1"/>
          <w:iCs w:val="1"/>
          <w:color w:val="auto"/>
        </w:rPr>
        <w:t xml:space="preserve"> </w:t>
      </w:r>
      <w:r>
        <w:rPr>
          <w:rFonts w:ascii="Arial" w:cs="Arial" w:eastAsia="Arial" w:hAnsi="Arial"/>
          <w:sz w:val="17"/>
          <w:szCs w:val="17"/>
          <w:color w:val="auto"/>
        </w:rPr>
        <w:t>mission-critical communications assets and leasing them to anchor customers on either an exclusive or shared-tenant basis.</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u w:val="single" w:color="auto"/>
          <w:color w:val="auto"/>
        </w:rPr>
        <w:t>Fiber Infrastructure Segment</w:t>
      </w:r>
      <w:r>
        <w:rPr>
          <w:rFonts w:ascii="Arial" w:cs="Arial" w:eastAsia="Arial" w:hAnsi="Arial"/>
          <w:sz w:val="18"/>
          <w:szCs w:val="18"/>
          <w:color w:val="auto"/>
        </w:rPr>
        <w:t>: Represents the operations of our fiber business, Uniti Fiber, which is a leading provider of infrastructure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cell site backhaul and dark fiber, to the telecommunications industry.</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i w:val="1"/>
          <w:iCs w:val="1"/>
          <w:u w:val="single" w:color="auto"/>
          <w:color w:val="auto"/>
        </w:rPr>
        <w:t>Towers Segment</w:t>
      </w:r>
      <w:r>
        <w:rPr>
          <w:rFonts w:ascii="Arial" w:cs="Arial" w:eastAsia="Arial" w:hAnsi="Arial"/>
          <w:sz w:val="16"/>
          <w:szCs w:val="16"/>
          <w:color w:val="auto"/>
        </w:rPr>
        <w:t>: Represents the operations of our towers business, Uniti Towers, through which we acquire and construct tower and tower-related real estate</w:t>
      </w:r>
      <w:r>
        <w:rPr>
          <w:rFonts w:ascii="Arial" w:cs="Arial" w:eastAsia="Arial" w:hAnsi="Arial"/>
          <w:sz w:val="16"/>
          <w:szCs w:val="16"/>
          <w:i w:val="1"/>
          <w:iCs w:val="1"/>
          <w:color w:val="auto"/>
        </w:rPr>
        <w:t xml:space="preserve"> </w:t>
      </w:r>
      <w:r>
        <w:rPr>
          <w:rFonts w:ascii="Arial" w:cs="Arial" w:eastAsia="Arial" w:hAnsi="Arial"/>
          <w:sz w:val="16"/>
          <w:szCs w:val="16"/>
          <w:color w:val="auto"/>
        </w:rPr>
        <w:t>and lease space on communications towers to wireless service providers and other tenants. Uniti Towers is a component of our REIT operations.</w:t>
      </w:r>
    </w:p>
    <w:p>
      <w:pPr>
        <w:spacing w:after="0" w:line="12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u w:val="single" w:color="auto"/>
          <w:color w:val="auto"/>
        </w:rPr>
        <w:t>Consumer CLEC Segment</w:t>
      </w:r>
      <w:r>
        <w:rPr>
          <w:rFonts w:ascii="Arial" w:cs="Arial" w:eastAsia="Arial" w:hAnsi="Arial"/>
          <w:sz w:val="18"/>
          <w:szCs w:val="18"/>
          <w:color w:val="auto"/>
        </w:rPr>
        <w:t>: Represents the operations of Talk America through which we operate the Consumer CLEC Business that prior to the Spin-Off was</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as an integrated operation within Windstream. Talk America provides local telephone, high-speed internet and long-distance services to customers in the eastern and central United States.</w:t>
      </w:r>
    </w:p>
    <w:p>
      <w:pPr>
        <w:spacing w:after="0" w:line="18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i w:val="1"/>
          <w:iCs w:val="1"/>
          <w:u w:val="single" w:color="auto"/>
          <w:color w:val="auto"/>
        </w:rPr>
        <w:t>Corporate Operations</w:t>
      </w:r>
      <w:r>
        <w:rPr>
          <w:rFonts w:ascii="Arial" w:cs="Arial" w:eastAsia="Arial" w:hAnsi="Arial"/>
          <w:sz w:val="18"/>
          <w:szCs w:val="18"/>
          <w:color w:val="auto"/>
        </w:rPr>
        <w:t>: Represents our corporate office and shared service functions. Certain costs and expenses, primarily related to headcount,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systems, insurance, professional fees and similar charges, that are directly attributable to operations of our business segments are allocated to the respective segments.</w:t>
      </w:r>
    </w:p>
    <w:p>
      <w:pPr>
        <w:spacing w:after="0" w:line="18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evaluate the performance of each segment based on Adjusted EBITDA, which is a segment performance measure we define as net income determined in accordance with GAAP, before interest expense, provision for income taxes, depreciation and amortization, stock-based compensation expense, the impact, which may be recurring in nature, of transaction and integration related expenses, the write off of unamortized deferred financing costs, costs incurred as a result of the early repayment of debt, changes in the fair value of contingent consideration and financial instruments, and other similar items. For more information on Adjusted EBITDA, see “Non-GAAP Financial Measures.” Detailed information about our segments can be found in Note 13 to our accompanying Condensed Consolidated Financial Statements contained in Part I, Item 1 of this Quarterly Report on Form 10-Q.</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Business Developments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u w:val="single" w:color="auto"/>
          <w:color w:val="auto"/>
        </w:rPr>
        <w:t>Windstream Bankruptcy Filing.</w:t>
      </w:r>
      <w:r>
        <w:rPr>
          <w:rFonts w:ascii="Arial" w:cs="Arial" w:eastAsia="Arial" w:hAnsi="Arial"/>
          <w:sz w:val="18"/>
          <w:szCs w:val="18"/>
          <w:i w:val="1"/>
          <w:iCs w:val="1"/>
          <w:color w:val="auto"/>
        </w:rPr>
        <w:t xml:space="preserve"> </w:t>
      </w:r>
      <w:r>
        <w:rPr>
          <w:rFonts w:ascii="Arial" w:cs="Arial" w:eastAsia="Arial" w:hAnsi="Arial"/>
          <w:sz w:val="18"/>
          <w:szCs w:val="18"/>
          <w:color w:val="auto"/>
        </w:rPr>
        <w:t>Windstream was involved in litigation with an entity who acquired certain Windstream debt securities and thereafter issued a</w:t>
      </w:r>
      <w:r>
        <w:rPr>
          <w:rFonts w:ascii="Arial" w:cs="Arial" w:eastAsia="Arial" w:hAnsi="Arial"/>
          <w:sz w:val="18"/>
          <w:szCs w:val="18"/>
          <w:i w:val="1"/>
          <w:iCs w:val="1"/>
          <w:color w:val="auto"/>
        </w:rPr>
        <w:t xml:space="preserve"> </w:t>
      </w:r>
      <w:r>
        <w:rPr>
          <w:rFonts w:ascii="Arial" w:cs="Arial" w:eastAsia="Arial" w:hAnsi="Arial"/>
          <w:sz w:val="18"/>
          <w:szCs w:val="18"/>
          <w:color w:val="auto"/>
        </w:rPr>
        <w:t>notice of default as to such securities relating to the Spin-Off. Windstream challenged the matter in federal court and a trial was held in July 2018. On February 15, 2019, the federal court judge issued a ruling against Windstream, finding that Windstream’s attempts to waive such default were not valid; that an “event of default” occurred with respect to such debt securities; and that the holder’s acceleration of such debt in December 2017 was effective. Following the adverse outcome, on February 25, 2019, Windstream filed a voluntary petition for relief under Chapter 11 of the Bankruptcy Code in the U.S. Bankruptcy Court for the Southern District of New York.</w:t>
      </w:r>
    </w:p>
    <w:p>
      <w:pPr>
        <w:spacing w:after="0" w:line="193"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In bankruptcy, Windstream has the option to assume or reject the Master Lease. Because the Master Lease is a single indivisible Master Lease with a single rent payment, it must be assumed or rejected in whole and cannot be sub-divided by facility or market. A significant amount of Windstream’s revenue is generated from the use of our network included in the Master Lease, and we believe that the Master Lease is essential to Windstream’s</w:t>
      </w:r>
    </w:p>
    <w:p>
      <w:pPr>
        <w:ind w:right="80"/>
        <w:spacing w:after="0" w:line="285" w:lineRule="auto"/>
        <w:rPr>
          <w:sz w:val="20"/>
          <w:szCs w:val="20"/>
          <w:color w:val="auto"/>
        </w:rPr>
      </w:pPr>
      <w:r>
        <w:rPr>
          <w:rFonts w:ascii="Arial" w:cs="Arial" w:eastAsia="Arial" w:hAnsi="Arial"/>
          <w:sz w:val="16"/>
          <w:szCs w:val="16"/>
          <w:color w:val="auto"/>
        </w:rPr>
        <w:t>operations. Furthermore, Windstream is designated as a “carrier of last resort” in certain markets where it utilizes the Master Lease to provide service to its customers, and Windstream would require approval from the Public Utility Commissions and the Federal Communications Commission to cease providing service in those markets. As a result, we believe the probability of Windstream rejecting the Master Lease in bankruptcy to be remote. Windstream has filed claims that allege, among other things, that the Master Lease should be recharacterized as a financing transaction, which would impact its treatment in Windstream’s bankruptcy (including potentially through changing our status to that of a creditor that would share in creditor recoveries from the estate rather than receive rent payments) and could affect our status as a REIT, that the Master Lease is a lease of personal property, and that rent payments and tenant capital improvements made by Windstream under the Master Lease since at least the third quarter of 2017 constitute constructive fraudulent transfers. A mediation of these claims is ongoing in Windstream’s bankruptcy. In connection with the mediation, Uniti has agreed to an extension of the assumption deadline for the master lease to December 7, 2019. In exchange, Windstream has provided certain assurances regarding the continued payment of rent pursuant to the Master Lease during the extension period and following the expiration of the extension period, Windstream will continue to make payments under the Master Lease as they come due, unless and until Windstream obtains an order from the bankruptcy court permitting cessation of such payments. A rejection by Windstream of the Master Lease, an adverse determination by a judge on Windstream’s claims, or Windstream’s inability or unwillingness to meet its rent and other obligations under the Master Lease could materially adversely affect our consolidated results of operations, liquidity, and financial condition, including our ability to service debt, comply with debt covenants and maintain our status as a REIT.</w:t>
      </w:r>
    </w:p>
    <w:p>
      <w:pPr>
        <w:spacing w:after="0" w:line="16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addition, a rejection of the Master Lease by Windstream would result in an “event of default” under our Credit Agreement if we are unable to enter into a replacement lease that satisfies certain criteria set forth in the Credit Agreement within ninety (90) calendar days and we do not maintain pro forma compliance with a consolidated secured leverage ratio, as defined in the Credit Agreement, of 5.0 to 1.0. Our Credit Agreement prohibits the Company from amending the Master Lease in a manner that, among other provisions, pro forma for any such amendment, would result in our consolidated secured leverage ratio to exceed 5.0 to 1.0, and management has no intention to enter into a lease amendment that would violate our debt covenants.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Although the Master Lease contains no provision that contemplates renegotiation of the lease and the bankruptcy court has no ability to unilaterally reset the rent or terms of the lease, it is difficult to predict what could occur in Windstream’s bankruptcy restructuring, including any judicial decisions in respect of claims against us by Windstream or its creditors. Any adverse determination or judicial decision could have a material adverse effect on our business, financial position or results of operations.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See in Part I, Item 1A "Risk Factors" of our Annual Report on Form 10-K for the year ended December 31, 2018 for additional information concerning the impact Windstream’s bankruptcy and related claims may have on our REIT status, operations and financial condition.</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u w:val="single" w:color="auto"/>
          <w:color w:val="auto"/>
        </w:rPr>
        <w:t>Going Concern.</w:t>
      </w:r>
      <w:r>
        <w:rPr>
          <w:rFonts w:ascii="Arial" w:cs="Arial" w:eastAsia="Arial" w:hAnsi="Arial"/>
          <w:sz w:val="16"/>
          <w:szCs w:val="16"/>
          <w:i w:val="1"/>
          <w:iCs w:val="1"/>
          <w:color w:val="auto"/>
        </w:rPr>
        <w:t xml:space="preserve"> </w:t>
      </w:r>
      <w:r>
        <w:rPr>
          <w:rFonts w:ascii="Arial" w:cs="Arial" w:eastAsia="Arial" w:hAnsi="Arial"/>
          <w:sz w:val="16"/>
          <w:szCs w:val="16"/>
          <w:color w:val="auto"/>
        </w:rPr>
        <w:t>There are conditions and events which raise substantial doubt about our ability to continue as a going concern, and in its opinion on our</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2018 financial statements, PricewaterhouseCoopers LLP, our independent registered public accounting firm, expressed substantial doubt as to whether we could continue as a going concern during the one year period following the date those financial statements were issued as a result of Windstream’s bankruptcy petition and its potential uncertain effects on the Master Lease. Our financial statements do not include any adjustments that may result from the outcome of this uncertainty. We expect Windstream will continue to perform on the Master Lease and believe it is unlikely that Windstream will reject the Master Lease because the Master Lease is central to Windstream’s operations. We also believe that it is unlikely that a court will determine to recharacterize the Master Lease as a financing transaction, that the Master Lease is a lease of personal property, and that rent payments and tenant capital improvements made by Windstream under the Master Lease since at least the third quarter of 2017 constitute constructive fraudulent transfers. We have reduced our dividend and may reduce our capital expenditures, as well as seek external funding in order to sustain our operations. The failure to provide 2018 audited financial statements without a going concern opinion to the lenders under our Credit Agreement by March 31, 2019 would have constituted a breach of the covenants and an immediate event of default under our Credit Agreement, unless waived by our lenders. If an event of default were to have occurred under our Credit Agreement, the Credit Agreement’s administrative agent could have declared all outstanding loans immediately due and payable. Such an acceleration would have triggered cross-default provisions within the indentures governing our senior notes and thereby would have entitled the trustee and noteholders to accelerate the repayment of the senior notes.</w:t>
      </w:r>
    </w:p>
    <w:p>
      <w:pPr>
        <w:spacing w:after="0" w:line="17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March 18, 2019, we received a limited waiver from our lenders under our Credit Agreement, waiving an event of default related solely to the receipt of a going concern opinion from our auditors for our 2018 audited financial statements. The limited waiver was issued in connection with the fourth amendment (the “Fourth Amendment”) to our Credit Agreement. During the pendency of Windstream’s bankruptcy, or at such earlier time when certain other conditions are specified, the Fourth Amendment generally limits our ability under the Credit Agreement to (i) prepay unsecured indebtedness and (ii) pay cash dividends in excess of 90% of our REIT taxable income, determined without regard to the dividends paid deduction and excluding any net capital gains. The Fourth Amendment also increased the interest rate on our Term Loan Facility, which now bears a rate of LIBOR, subject to a 1.0% floor, plus an applicable margin equal to 5.0%, a 200 basis point increase over our previous rate. This increase will remain in effect though the remaining term of the facility, which matures on October 24, 2022.</w:t>
      </w:r>
    </w:p>
    <w:p>
      <w:pPr>
        <w:spacing w:after="0" w:line="192"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u w:val="single" w:color="auto"/>
          <w:color w:val="auto"/>
        </w:rPr>
        <w:t>Extension of Revolving Credit Facility Maturity Date.</w:t>
      </w:r>
      <w:r>
        <w:rPr>
          <w:rFonts w:ascii="Arial" w:cs="Arial" w:eastAsia="Arial" w:hAnsi="Arial"/>
          <w:sz w:val="16"/>
          <w:szCs w:val="16"/>
          <w:i w:val="1"/>
          <w:iCs w:val="1"/>
          <w:color w:val="auto"/>
        </w:rPr>
        <w:t xml:space="preserve"> </w:t>
      </w:r>
      <w:r>
        <w:rPr>
          <w:rFonts w:ascii="Arial" w:cs="Arial" w:eastAsia="Arial" w:hAnsi="Arial"/>
          <w:sz w:val="16"/>
          <w:szCs w:val="16"/>
          <w:color w:val="auto"/>
          <w:highlight w:val="white"/>
        </w:rPr>
        <w:t>On June 24, 2019, we entered into an amendment (the “Fifth Amendment”) to our Credit Agreement to</w:t>
      </w:r>
      <w:r>
        <w:rPr>
          <w:rFonts w:ascii="Arial" w:cs="Arial" w:eastAsia="Arial" w:hAnsi="Arial"/>
          <w:sz w:val="16"/>
          <w:szCs w:val="16"/>
          <w:i w:val="1"/>
          <w:iCs w:val="1"/>
          <w:color w:val="auto"/>
        </w:rPr>
        <w:t xml:space="preserve"> </w:t>
      </w:r>
      <w:r>
        <w:rPr>
          <w:rFonts w:ascii="Arial" w:cs="Arial" w:eastAsia="Arial" w:hAnsi="Arial"/>
          <w:sz w:val="16"/>
          <w:szCs w:val="16"/>
          <w:color w:val="auto"/>
        </w:rPr>
        <w:t>extend the maturity date of $575.9 million of commitments under the Revolving Credit Facility to April 24, 2022, pay down approximately $101.6 million of outstanding revolving loans and terminate the related commitments. The maturity date of approximately $72.4 million of other commitments was not extended. On June 28, 2019, the Company repaid approximately $174.0 million in total borrowings, which consisted of the $101.6 million required repayment pursuant to the Fifth Amendment and $72.4 million of non-extended borrowings, thereby terminating the non-extended commitments. As a result, all remaining $575.9 million of commitments will terminate on April 24, 2022, at which time all outstanding borrowings must be repaid. The Company used a portion of the net proceeds from the offering of Exchangeable Notes described below to fund the repayments. The Fifth Amendment increased the applicable margin for base rate loans under the Revolving Credit Facility to a range of 2.75% to 3.25% and for Eurodollar rate loans under the Revolving Credit Facility to a range of 3.75% to 4.25%, calculated in a customary manner and determined based on our consolidated secured leverage ratio.</w:t>
      </w:r>
    </w:p>
    <w:p>
      <w:pPr>
        <w:spacing w:after="0" w:line="16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i w:val="1"/>
          <w:iCs w:val="1"/>
          <w:u w:val="single" w:color="auto"/>
          <w:color w:val="auto"/>
        </w:rPr>
        <w:t>Exchangeable Notes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On June 28, 2019, Uniti Fiber Holdings Inc. (“Uniti Fiber”), a subsidiary of the Company, issued $345 million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amount of 4.00% Exchangeable Senior Notes due 2024 (the “Exchangeable Notes”). The Exchangeable Notes are guaranteed by the Company and each of the Company’s subsidiaries (other than Uniti Fiber) that is an issuer, obligor or guarantor under the Company’s Notes. The Exchangeable Notes bear interest at a fixed rate of 4.00% per year, payable semiannually in arrears on June 15 and December 15 of each year, beginning on December 15, 2019. The Exchangeable Notes are exchangeable into cash, shares of the Company’s common stock, or a combination thereof, at Uniti Fiber’s election. The Exchangeable Notes will mature on June 15, 2024, unless earlier exchanged, redeemed or repurchased. The Exchangeable Notes were sold to qualified institutional buyers pursuant to Rule 144A under the Securities Act.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net proceeds from the sale of the Exchangeable Notes were approximately $334.7 million, after deducting discounts and commissions to the Initial Purchasers. A portion of the net proceeds were used to repay outstanding borrowings under the Revolving Credit Facility, as described above, and to pay the cost of the exchangeable note hedge transactions, as described in Note 9 to our Condensed Consolidated Financial Statements contained in Part I, Item 1 of this Quarterly Report on Form 10-Q. The remaining net proceeds will be used for general corporate purposes, which may include funding acquisitions (including BlueBird (as defined below)) and the repayment of additional borrowings under the Revolving Credit Facility.</w:t>
      </w:r>
    </w:p>
    <w:p>
      <w:pPr>
        <w:spacing w:after="0" w:line="17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i w:val="1"/>
          <w:iCs w:val="1"/>
          <w:u w:val="single" w:color="auto"/>
          <w:color w:val="auto"/>
        </w:rPr>
        <w:t>Sale of Ground Lease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On May 23, 2019, the Company completed the sale of substantially all of its ground lease business located across the United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States for cash consideration of approximately $31 million. For the three months ended June 30, 2019, we recorded a pre-tax gain of $5.0 million.</w:t>
      </w:r>
    </w:p>
    <w:p>
      <w:pPr>
        <w:spacing w:after="0" w:line="124"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i w:val="1"/>
          <w:iCs w:val="1"/>
          <w:u w:val="single" w:color="auto"/>
          <w:color w:val="auto"/>
        </w:rPr>
        <w:t>Sale of Latin American Tower Portfolio.</w:t>
      </w:r>
      <w:r>
        <w:rPr>
          <w:rFonts w:ascii="Arial" w:cs="Arial" w:eastAsia="Arial" w:hAnsi="Arial"/>
          <w:sz w:val="17"/>
          <w:szCs w:val="17"/>
          <w:i w:val="1"/>
          <w:iCs w:val="1"/>
          <w:color w:val="auto"/>
        </w:rPr>
        <w:t xml:space="preserve"> </w:t>
      </w:r>
      <w:r>
        <w:rPr>
          <w:rFonts w:ascii="Arial" w:cs="Arial" w:eastAsia="Arial" w:hAnsi="Arial"/>
          <w:sz w:val="17"/>
          <w:szCs w:val="17"/>
          <w:color w:val="auto"/>
        </w:rPr>
        <w:t>On April 2, 2019, the Company completed the sale of the Uniti Towers’ Latin American business to an entity</w:t>
      </w:r>
      <w:r>
        <w:rPr>
          <w:rFonts w:ascii="Arial" w:cs="Arial" w:eastAsia="Arial" w:hAnsi="Arial"/>
          <w:sz w:val="17"/>
          <w:szCs w:val="17"/>
          <w:i w:val="1"/>
          <w:iCs w:val="1"/>
          <w:color w:val="auto"/>
        </w:rPr>
        <w:t xml:space="preserve"> </w:t>
      </w:r>
      <w:r>
        <w:rPr>
          <w:rFonts w:ascii="Arial" w:cs="Arial" w:eastAsia="Arial" w:hAnsi="Arial"/>
          <w:sz w:val="17"/>
          <w:szCs w:val="17"/>
          <w:color w:val="auto"/>
        </w:rPr>
        <w:t>controlled by Phoenix Towers International (“PTI”). At closing, PTI acquired approximately 500 towers located across Mexico, Colombia and Nicaragua. Total consideration was approximately $100 million. For the three months ended June 30, 2019, we recorded a pre-tax gain of $23.8 million related to this sale. The sale of our Latin American tower portfolio and United States ground lease business recycles capital at an attractive return, as well as allows the Company to focus solely on its strategy of building towers in the United States for our wireless customers.</w:t>
      </w:r>
    </w:p>
    <w:p>
      <w:pPr>
        <w:spacing w:after="0" w:line="173"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u w:val="single" w:color="auto"/>
          <w:color w:val="auto"/>
        </w:rPr>
        <w:t>Consumer CLEC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On April 23, 2019, Windstream provided notice to Uniti of its termination of (i) the Wholesale Master Services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Windstream Communications, Inc. and Talk America Services, LLC (“Talk America”), (ii) the Master Services Agreement between Windstream Services, LLC and Talk America, and (iii) the Billing and Remittance Agreement between Windstream Services, LLC and CSL National, LP, each dated April 24, 2015 (collectively the “Agreements”). The termination of the Agreements is effective April 20, 2020. Under the Agreements, Windstream provides us transport, provisioning, repair and billing and collection services necessary to operate our Consumer CLEC Business. We currently do not have the infrastructure necessary to perform these services in the absence of the Agreements. We have evaluated the costs of building out the required infrastructure and have determined that incurring such costs would not be economically feasible. Furthermore, we have evaluated potential strategic alternatives with respect to the Consumer CLEC Business, including retaining other vendors to perform the services currently provided under the Agreements, and an outright sale of all or parts of the business, but have not identified viable alternatives. As a result, we have commenced a wind down of our Consumer CLEC Business, which includes customer notifications and terminations. We anticipate that the business will be completely wound down prior to the April 20, 2020 effective date of the termination of the Agreements.</w:t>
      </w:r>
    </w:p>
    <w:p>
      <w:pPr>
        <w:spacing w:after="0" w:line="18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u w:val="single" w:color="auto"/>
          <w:color w:val="auto"/>
        </w:rPr>
        <w:t>Bluebird Network, LLC Operating Company – Property Company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On January 15, 2019, the Company entered into an OpCo-PropCo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Macquarie Infrastructure Partners (“MIP”) to acquire Bluebird Network, LLC (“Bluebird”). MIP operates within the Macquarie Infrastructure and Real Assets division of Macquarie Group. Bluebird’s network consists of approximately 178,000 fiber strand miles in the Midwest across Missouri, Kansas, Illinois and Oklahoma. In the transaction, Uniti has agreed to purchase the Bluebird fiber network and MIP has agreed to purchase the Bluebird operations. In addition, Uniti has agreed to sell Uniti Fiber’s Midwest operations to MIP, while Uniti will retain its existing Midwest fiber network. Uniti is acquiring the fiber network of Bluebird for $319 million, of which $175 million will be funded by Uniti in cash and $144 million from pre-paid rent to be received from MIP at closing. In connection with the sale of the Company’s Midwest operations, we will receive total upfront cash of approximately $37 million, including related pre-paid rent to be received from MIP at closing. These transactions are subject to regulatory and other closing conditions and are expected to close by the end of the third quarter of 2019. Concurrently with the closing of these transactions, Uniti will lease the Bluebird fiber network and its Midwest fiber network on a combined basis to MIP, under a long-term triple net lease, with initial annual cash rents of approximately $20.3 million. The lease will be reported within the results of our Leasing segment. The Midwest operations that will be sold to MIP are currently reported in our Fiber Infrastructure segment.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June 30, 2019 and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our results of operations expressed as dollars and as a percentage of total revenues: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9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6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Amount</w:t>
            </w:r>
          </w:p>
        </w:tc>
        <w:tc>
          <w:tcPr>
            <w:tcW w:w="920" w:type="dxa"/>
            <w:vAlign w:val="bottom"/>
          </w:tcPr>
          <w:p>
            <w:pPr>
              <w:ind w:left="300"/>
              <w:spacing w:after="0" w:line="133"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Amount</w:t>
            </w:r>
          </w:p>
        </w:tc>
        <w:tc>
          <w:tcPr>
            <w:tcW w:w="9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2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Revenues</w:t>
            </w: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Revenues</w:t>
            </w:r>
          </w:p>
        </w:tc>
        <w:tc>
          <w:tcPr>
            <w:tcW w:w="0" w:type="dxa"/>
            <w:vAlign w:val="bottom"/>
          </w:tcPr>
          <w:p>
            <w:pPr>
              <w:spacing w:after="0"/>
              <w:rPr>
                <w:sz w:val="1"/>
                <w:szCs w:val="1"/>
                <w:color w:val="auto"/>
              </w:rPr>
            </w:pPr>
          </w:p>
        </w:tc>
      </w:tr>
      <w:tr>
        <w:trPr>
          <w:trHeight w:val="223"/>
        </w:trPr>
        <w:tc>
          <w:tcPr>
            <w:tcW w:w="6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177,042</w:t>
            </w:r>
          </w:p>
        </w:tc>
        <w:tc>
          <w:tcPr>
            <w:tcW w:w="3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66.9%</w:t>
            </w:r>
          </w:p>
        </w:tc>
        <w:tc>
          <w:tcPr>
            <w:tcW w:w="3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173,885</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70.4%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81,327</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30.8%</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67,389</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27.2%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60"/>
              <w:spacing w:after="0"/>
              <w:rPr>
                <w:sz w:val="20"/>
                <w:szCs w:val="20"/>
                <w:color w:val="auto"/>
              </w:rPr>
            </w:pPr>
            <w:r>
              <w:rPr>
                <w:rFonts w:ascii="Arial" w:cs="Arial" w:eastAsia="Arial" w:hAnsi="Arial"/>
                <w:sz w:val="18"/>
                <w:szCs w:val="18"/>
                <w:color w:val="auto"/>
              </w:rPr>
              <w:t>Tower</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3,146</w:t>
            </w:r>
          </w:p>
        </w:tc>
        <w:tc>
          <w:tcPr>
            <w:tcW w:w="3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1.2%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2,472</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2,899</w:t>
            </w:r>
          </w:p>
        </w:tc>
        <w:tc>
          <w:tcPr>
            <w:tcW w:w="3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1.1%</w:t>
            </w:r>
          </w:p>
        </w:tc>
        <w:tc>
          <w:tcPr>
            <w:tcW w:w="3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3,583</w:t>
            </w:r>
          </w:p>
        </w:tc>
        <w:tc>
          <w:tcPr>
            <w:tcW w:w="3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ind w:left="50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264,414</w:t>
            </w:r>
          </w:p>
        </w:tc>
        <w:tc>
          <w:tcPr>
            <w:tcW w:w="3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100.0%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247,329</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97,729</w:t>
            </w:r>
          </w:p>
        </w:tc>
        <w:tc>
          <w:tcPr>
            <w:tcW w:w="3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37.0%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79,385</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102,578</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38.7%</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114,842</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46.4%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6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26,428</w:t>
            </w:r>
          </w:p>
        </w:tc>
        <w:tc>
          <w:tcPr>
            <w:tcW w:w="3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10.0%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20,681</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Operating expense</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40,163</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15.2%</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31,522</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60"/>
              <w:spacing w:after="0"/>
              <w:rPr>
                <w:sz w:val="20"/>
                <w:szCs w:val="20"/>
                <w:color w:val="auto"/>
              </w:rPr>
            </w:pPr>
            <w:r>
              <w:rPr>
                <w:rFonts w:ascii="Arial" w:cs="Arial" w:eastAsia="Arial" w:hAnsi="Arial"/>
                <w:sz w:val="18"/>
                <w:szCs w:val="18"/>
                <w:color w:val="auto"/>
              </w:rPr>
              <w:t>Transaction related costs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7,035</w:t>
            </w:r>
          </w:p>
        </w:tc>
        <w:tc>
          <w:tcPr>
            <w:tcW w:w="3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2.7%</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3,789</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Gain on sale of real estate</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(28,790)</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(10.9%)</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6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(28,119)</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3,349</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217,024</w:t>
            </w:r>
          </w:p>
        </w:tc>
        <w:tc>
          <w:tcPr>
            <w:tcW w:w="3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82.1%</w:t>
            </w: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253,568</w:t>
            </w:r>
          </w:p>
        </w:tc>
        <w:tc>
          <w:tcPr>
            <w:tcW w:w="3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102.5%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47,390</w:t>
            </w:r>
          </w:p>
        </w:tc>
        <w:tc>
          <w:tcPr>
            <w:tcW w:w="3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17.9%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(6,239)</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7,843</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3.0%</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(2,646)</w:t>
            </w: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39,547</w:t>
            </w:r>
          </w:p>
        </w:tc>
        <w:tc>
          <w:tcPr>
            <w:tcW w:w="340" w:type="dxa"/>
            <w:vAlign w:val="bottom"/>
          </w:tcPr>
          <w:p>
            <w:pPr>
              <w:spacing w:after="0"/>
              <w:rPr>
                <w:sz w:val="19"/>
                <w:szCs w:val="19"/>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14.9%</w:t>
            </w: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(3,593)</w:t>
            </w:r>
          </w:p>
        </w:tc>
        <w:tc>
          <w:tcPr>
            <w:tcW w:w="32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0.3%</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(90)</w:t>
            </w: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Net income (loss) attributable to shareholders</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38,717</w:t>
            </w:r>
          </w:p>
        </w:tc>
        <w:tc>
          <w:tcPr>
            <w:tcW w:w="340" w:type="dxa"/>
            <w:vAlign w:val="bottom"/>
          </w:tcPr>
          <w:p>
            <w:pPr>
              <w:spacing w:after="0"/>
              <w:rPr>
                <w:sz w:val="19"/>
                <w:szCs w:val="19"/>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14.6%</w:t>
            </w: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(3,503)</w:t>
            </w:r>
          </w:p>
        </w:tc>
        <w:tc>
          <w:tcPr>
            <w:tcW w:w="32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Participating securities' share in earnings</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(223)</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0.0%</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(658)</w:t>
            </w: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60"/>
              <w:spacing w:after="0"/>
              <w:rPr>
                <w:sz w:val="20"/>
                <w:szCs w:val="20"/>
                <w:color w:val="auto"/>
              </w:rPr>
            </w:pPr>
            <w:r>
              <w:rPr>
                <w:rFonts w:ascii="Arial" w:cs="Arial" w:eastAsia="Arial" w:hAnsi="Arial"/>
                <w:sz w:val="18"/>
                <w:szCs w:val="18"/>
                <w:color w:val="auto"/>
              </w:rPr>
              <w:t>Dividends declared on convertible preferred stock</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(656)</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Amortization of discount on convertible preferred stock</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(248)</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(0.1%)</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(745)</w:t>
            </w: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38,246</w:t>
            </w:r>
          </w:p>
        </w:tc>
        <w:tc>
          <w:tcPr>
            <w:tcW w:w="3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14.5%</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(5,562)</w:t>
            </w:r>
          </w:p>
        </w:tc>
        <w:tc>
          <w:tcPr>
            <w:tcW w:w="3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for the three months ended June 30, 2019 and 2018, revenues, Adjusted EBITDA and net income of our reportable segments: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June 30, 2019</w:t>
            </w: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114"/>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Leasing</w:t>
            </w:r>
          </w:p>
        </w:tc>
        <w:tc>
          <w:tcPr>
            <w:tcW w:w="100" w:type="dxa"/>
            <w:vAlign w:val="bottom"/>
          </w:tcPr>
          <w:p>
            <w:pPr>
              <w:spacing w:after="0"/>
              <w:rPr>
                <w:sz w:val="12"/>
                <w:szCs w:val="12"/>
                <w:color w:val="auto"/>
              </w:rPr>
            </w:pPr>
          </w:p>
        </w:tc>
        <w:tc>
          <w:tcPr>
            <w:tcW w:w="13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5"/>
              </w:rPr>
              <w:t>Fiber Infrastructure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Towers</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Consumer CLEC</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177,042</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81,327</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3,146</w:t>
            </w:r>
          </w:p>
        </w:tc>
        <w:tc>
          <w:tcPr>
            <w:tcW w:w="2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2,899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264,414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4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175,881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37,036</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w:t>
            </w:r>
          </w:p>
        </w:tc>
        <w:tc>
          <w:tcPr>
            <w:tcW w:w="740" w:type="dxa"/>
            <w:vAlign w:val="bottom"/>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(6,576)</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Depreciation and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72,275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28,494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1,412</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346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102,578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restart"/>
          </w:tcPr>
          <w:p>
            <w:pPr>
              <w:ind w:left="12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(22,275)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Transaction related costs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Gain on sale of real estate</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(4,960)</w:t>
            </w: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(23,830)</w:t>
            </w:r>
          </w:p>
        </w:tc>
        <w:tc>
          <w:tcPr>
            <w:tcW w:w="7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(28,790)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w w:val="98"/>
              </w:rPr>
              <w:t>Stock-based compensation</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Three Months Ended June 30, 2018</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94"/>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Leasing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7"/>
              </w:rPr>
              <w:t>Fiber Infrastructure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Towers</w:t>
            </w:r>
          </w:p>
        </w:tc>
        <w:tc>
          <w:tcPr>
            <w:tcW w:w="100" w:type="dxa"/>
            <w:vAlign w:val="bottom"/>
          </w:tcPr>
          <w:p>
            <w:pPr>
              <w:spacing w:after="0"/>
              <w:rPr>
                <w:sz w:val="12"/>
                <w:szCs w:val="12"/>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Consumer CLEC</w:t>
            </w:r>
          </w:p>
        </w:tc>
        <w:tc>
          <w:tcPr>
            <w:tcW w:w="180" w:type="dxa"/>
            <w:vAlign w:val="bottom"/>
          </w:tcPr>
          <w:p>
            <w:pPr>
              <w:spacing w:after="0"/>
              <w:rPr>
                <w:sz w:val="12"/>
                <w:szCs w:val="12"/>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1"/>
        </w:trPr>
        <w:tc>
          <w:tcPr>
            <w:tcW w:w="246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173,885</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67,389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247,329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173,356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29,405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(1,167)</w:t>
            </w:r>
          </w:p>
        </w:tc>
        <w:tc>
          <w:tcPr>
            <w:tcW w:w="540" w:type="dxa"/>
            <w:vAlign w:val="bottom"/>
            <w:gridSpan w:val="2"/>
            <w:shd w:val="clear" w:color="auto" w:fill="CFF0FC"/>
          </w:tcPr>
          <w:p>
            <w:pPr>
              <w:jc w:val="right"/>
              <w:ind w:right="288"/>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(5,511)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Depreciation and</w:t>
            </w:r>
          </w:p>
        </w:tc>
        <w:tc>
          <w:tcPr>
            <w:tcW w:w="2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86,454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26,244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1,575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114,842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40" w:type="dxa"/>
            <w:vAlign w:val="bottom"/>
            <w:gridSpan w:val="2"/>
            <w:vMerge w:val="restart"/>
          </w:tcPr>
          <w:p>
            <w:pPr>
              <w:ind w:left="12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Other expense</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Transaction related costs</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i w:val="1"/>
          <w:iCs w:val="1"/>
          <w:u w:val="single" w:color="auto"/>
          <w:color w:val="auto"/>
        </w:rPr>
        <w:t>Leasing</w:t>
      </w:r>
      <w:r>
        <w:rPr>
          <w:rFonts w:ascii="Arial" w:cs="Arial" w:eastAsia="Arial" w:hAnsi="Arial"/>
          <w:sz w:val="16"/>
          <w:szCs w:val="16"/>
          <w:i w:val="1"/>
          <w:iCs w:val="1"/>
          <w:color w:val="auto"/>
        </w:rPr>
        <w:t xml:space="preserve"> </w:t>
      </w:r>
      <w:r>
        <w:rPr>
          <w:rFonts w:ascii="Arial" w:cs="Arial" w:eastAsia="Arial" w:hAnsi="Arial"/>
          <w:sz w:val="16"/>
          <w:szCs w:val="16"/>
          <w:color w:val="auto"/>
        </w:rPr>
        <w:t>- Leasing revenues are primarily attributable to rental revenue from leasing our Distribution Systems to Windstream Holdings pursuant to the Master</w:t>
      </w:r>
      <w:r>
        <w:rPr>
          <w:rFonts w:ascii="Arial" w:cs="Arial" w:eastAsia="Arial" w:hAnsi="Arial"/>
          <w:sz w:val="16"/>
          <w:szCs w:val="16"/>
          <w:i w:val="1"/>
          <w:iCs w:val="1"/>
          <w:color w:val="auto"/>
        </w:rPr>
        <w:t xml:space="preserve"> </w:t>
      </w:r>
      <w:r>
        <w:rPr>
          <w:rFonts w:ascii="Arial" w:cs="Arial" w:eastAsia="Arial" w:hAnsi="Arial"/>
          <w:sz w:val="16"/>
          <w:szCs w:val="16"/>
          <w:color w:val="auto"/>
        </w:rPr>
        <w:t>Lease. Under the Master Lease, Windstream Holdings is responsible for the costs related to operating the Distribution Systems, including property taxes, insurance, and maintenance and repair costs. As a result, we do not record an obligation related to the payment of property taxes, as Windstream makes direct payments to the taxing authorities. The Master Lease has an initial term of 15 years with four 5-year renewal options and encompasses properties located in 29 states. Annual cash rent under the Master Lease is currently $657 million and is subject to an annual escalation of 0.5% each May through the initial term.</w:t>
      </w:r>
    </w:p>
    <w:p>
      <w:pPr>
        <w:spacing w:after="0" w:line="15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We adopted Accounting Standards Update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as of January 1, 2019. This standard supersedes prior guidance regarding the evaluation of collectability of lease receivables, including straight-line revenue receivables. We have evaluated the collectability of our straight-line revenue receivable associated with the Master Lease in accordance with ASC 842, and in light of Windstream’s pending bankruptcy, we concluded that the receivable should be written-off. As a result, effective January 1, 2019, the Master Lease will be accounted for on a cash basis in accordance with ASC 842, until a time at which there is more certainty regarding Windstream’s decision to assume or reject the Master Lease.</w:t>
      </w:r>
    </w:p>
    <w:p>
      <w:pPr>
        <w:spacing w:after="0" w:line="17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Master Lease provides that tenant funded capital improvements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w:t>
      </w:r>
    </w:p>
    <w:p>
      <w:pPr>
        <w:spacing w:after="0" w:line="15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the three months ended June 30, 2019, we recognized $171.7 million of revenue from rents under the Master Lease, which included $7.0 million of TCI revenue. For the three months ended June 30, 2018, we recognized $173.3 million of revenue from rents under the Master Lease, which included $3.8 million of straight-line revenues and $5.6 million of TCI revenue. The increase in TCI revenue is attributable to continued investment by Windstream in TCIs. Windstream invested $51.5 million in TCIs during the three months ended June 30, 2019, an increase from $44.8 million it invested in TCIs during the three months ended June 30, 2018. Since the inception of the Master Lease, Windstream has invested a total of $688.3 million in such improvements.</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a substantial portion of our revenue and cash flows are derived from lease payments by Windstream pursuant to the Master Lease, there could be a material adverse impact on our consolidated results of operations, liquidity, financial condition and/or ability to maintain our status as a REIT and service debt if Windstream were to reject the Master Lease in bankruptcy, default under the Master Lease, succeed in its claims against us or otherwise experiences operating or liquidity difficulties and becomes unable to generate sufficient cash to make payments to us. In recent years, Windstream has experienced annual declines in its total revenue, sales and cash flow, has had its credit ratings downgraded by nationally recognized credit rating agencies multiple times over the past 12 months and, on February 25, 2019, filed voluntary petitions for relief under Chapter 11 of the Bankruptcy Code in the U.S. Bankruptcy Court for the Southern District of New York. See Part I, Item 1A "Risk Factors" in our Annual Report on Form 10-K for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year ended December 31, 2018 for additional information concerning the impact Windstream’s bankruptcy and related claims may have on our REIT status, operations and financial condition.</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Windstream is a publicly traded company and is subject to the periodic filing requirements of the Securities Exchange Act of 1934, as amended. Windstream filings can be found at www.sec.gov. Windstream filings are not incorporated by reference in this Quarterly Report on Form 10-Q.</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three months ended June 30, 2019, we recognized $5.3 million of leasing revenues from non-Windstream triple-net leasing and dark fiber indefeasible rights of use (“IRU”) arrangements. For the three months ended June 30, 2018, we recognized $0.6 million from non-Windstream triple-net leasing and dark fiber IRU arrangements.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Fiber Infrastructure</w:t>
      </w:r>
      <w:r>
        <w:rPr>
          <w:rFonts w:ascii="Arial" w:cs="Arial" w:eastAsia="Arial" w:hAnsi="Arial"/>
          <w:sz w:val="16"/>
          <w:szCs w:val="16"/>
          <w:i w:val="1"/>
          <w:iCs w:val="1"/>
          <w:color w:val="auto"/>
        </w:rPr>
        <w:t xml:space="preserve"> </w:t>
      </w:r>
      <w:r>
        <w:rPr>
          <w:rFonts w:ascii="Arial" w:cs="Arial" w:eastAsia="Arial" w:hAnsi="Arial"/>
          <w:sz w:val="16"/>
          <w:szCs w:val="16"/>
          <w:color w:val="auto"/>
        </w:rPr>
        <w:t>– For the three months ended June 30, 2019 and 2018, we recognized $81.3 million and $67.4 million of revenue, respectively, in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Fiber Infrastructure segment. Fiber Infrastructure revenues for the three months ended June 30, 2019 and 2018 consisted of the following: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2019</w:t>
            </w:r>
          </w:p>
        </w:tc>
        <w:tc>
          <w:tcPr>
            <w:tcW w:w="11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2018</w:t>
            </w:r>
          </w:p>
        </w:tc>
        <w:tc>
          <w:tcPr>
            <w:tcW w:w="1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 of Segment</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1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7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3"/>
        </w:trPr>
        <w:tc>
          <w:tcPr>
            <w:tcW w:w="5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Fiber Infrastructure revenues:</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60"/>
              <w:spacing w:after="0"/>
              <w:rPr>
                <w:sz w:val="20"/>
                <w:szCs w:val="20"/>
                <w:color w:val="auto"/>
              </w:rPr>
            </w:pPr>
            <w:r>
              <w:rPr>
                <w:rFonts w:ascii="Arial" w:cs="Arial" w:eastAsia="Arial" w:hAnsi="Arial"/>
                <w:sz w:val="18"/>
                <w:szCs w:val="18"/>
                <w:color w:val="auto"/>
              </w:rPr>
              <w:t>Lit backhaul services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33,401</w:t>
            </w:r>
          </w:p>
        </w:tc>
        <w:tc>
          <w:tcPr>
            <w:tcW w:w="1460" w:type="dxa"/>
            <w:vAlign w:val="bottom"/>
            <w:gridSpan w:val="2"/>
          </w:tcPr>
          <w:p>
            <w:pPr>
              <w:jc w:val="center"/>
              <w:ind w:left="213"/>
              <w:spacing w:after="0"/>
              <w:rPr>
                <w:sz w:val="20"/>
                <w:szCs w:val="20"/>
                <w:color w:val="auto"/>
              </w:rPr>
            </w:pPr>
            <w:r>
              <w:rPr>
                <w:rFonts w:ascii="Arial" w:cs="Arial" w:eastAsia="Arial" w:hAnsi="Arial"/>
                <w:sz w:val="18"/>
                <w:szCs w:val="18"/>
                <w:color w:val="auto"/>
                <w:w w:val="93"/>
              </w:rPr>
              <w:t>41.1%</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33,474</w:t>
            </w:r>
          </w:p>
        </w:tc>
        <w:tc>
          <w:tcPr>
            <w:tcW w:w="1480" w:type="dxa"/>
            <w:vAlign w:val="bottom"/>
            <w:gridSpan w:val="2"/>
          </w:tcPr>
          <w:p>
            <w:pPr>
              <w:jc w:val="center"/>
              <w:ind w:left="213"/>
              <w:spacing w:after="0"/>
              <w:rPr>
                <w:sz w:val="20"/>
                <w:szCs w:val="20"/>
                <w:color w:val="auto"/>
              </w:rPr>
            </w:pPr>
            <w:r>
              <w:rPr>
                <w:rFonts w:ascii="Arial" w:cs="Arial" w:eastAsia="Arial" w:hAnsi="Arial"/>
                <w:sz w:val="18"/>
                <w:szCs w:val="18"/>
                <w:color w:val="auto"/>
                <w:w w:val="90"/>
              </w:rPr>
              <w:t>49.7%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Enterprise and wholesale</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19,241</w:t>
            </w:r>
          </w:p>
        </w:tc>
        <w:tc>
          <w:tcPr>
            <w:tcW w:w="1460" w:type="dxa"/>
            <w:vAlign w:val="bottom"/>
            <w:gridSpan w:val="2"/>
            <w:shd w:val="clear" w:color="auto" w:fill="CFF0FC"/>
          </w:tcPr>
          <w:p>
            <w:pPr>
              <w:jc w:val="center"/>
              <w:ind w:left="213"/>
              <w:spacing w:after="0"/>
              <w:rPr>
                <w:sz w:val="20"/>
                <w:szCs w:val="20"/>
                <w:color w:val="auto"/>
              </w:rPr>
            </w:pPr>
            <w:r>
              <w:rPr>
                <w:rFonts w:ascii="Arial" w:cs="Arial" w:eastAsia="Arial" w:hAnsi="Arial"/>
                <w:sz w:val="18"/>
                <w:szCs w:val="18"/>
                <w:color w:val="auto"/>
                <w:w w:val="93"/>
              </w:rPr>
              <w:t>23.7%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15,562</w:t>
            </w:r>
          </w:p>
        </w:tc>
        <w:tc>
          <w:tcPr>
            <w:tcW w:w="1480" w:type="dxa"/>
            <w:vAlign w:val="bottom"/>
            <w:gridSpan w:val="2"/>
            <w:shd w:val="clear" w:color="auto" w:fill="CFF0FC"/>
          </w:tcPr>
          <w:p>
            <w:pPr>
              <w:jc w:val="center"/>
              <w:ind w:left="213"/>
              <w:spacing w:after="0"/>
              <w:rPr>
                <w:sz w:val="20"/>
                <w:szCs w:val="20"/>
                <w:color w:val="auto"/>
              </w:rPr>
            </w:pPr>
            <w:r>
              <w:rPr>
                <w:rFonts w:ascii="Arial" w:cs="Arial" w:eastAsia="Arial" w:hAnsi="Arial"/>
                <w:sz w:val="18"/>
                <w:szCs w:val="18"/>
                <w:color w:val="auto"/>
                <w:w w:val="90"/>
              </w:rPr>
              <w:t>23.1%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60"/>
              <w:spacing w:after="0"/>
              <w:rPr>
                <w:sz w:val="20"/>
                <w:szCs w:val="20"/>
                <w:color w:val="auto"/>
              </w:rPr>
            </w:pPr>
            <w:r>
              <w:rPr>
                <w:rFonts w:ascii="Arial" w:cs="Arial" w:eastAsia="Arial" w:hAnsi="Arial"/>
                <w:sz w:val="18"/>
                <w:szCs w:val="18"/>
                <w:color w:val="auto"/>
              </w:rPr>
              <w:t>E-Rate and government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22,533</w:t>
            </w:r>
          </w:p>
        </w:tc>
        <w:tc>
          <w:tcPr>
            <w:tcW w:w="1460" w:type="dxa"/>
            <w:vAlign w:val="bottom"/>
            <w:gridSpan w:val="2"/>
          </w:tcPr>
          <w:p>
            <w:pPr>
              <w:jc w:val="center"/>
              <w:ind w:left="213"/>
              <w:spacing w:after="0"/>
              <w:rPr>
                <w:sz w:val="20"/>
                <w:szCs w:val="20"/>
                <w:color w:val="auto"/>
              </w:rPr>
            </w:pPr>
            <w:r>
              <w:rPr>
                <w:rFonts w:ascii="Arial" w:cs="Arial" w:eastAsia="Arial" w:hAnsi="Arial"/>
                <w:sz w:val="18"/>
                <w:szCs w:val="18"/>
                <w:color w:val="auto"/>
                <w:w w:val="93"/>
              </w:rPr>
              <w:t>27.7%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14,157</w:t>
            </w:r>
          </w:p>
        </w:tc>
        <w:tc>
          <w:tcPr>
            <w:tcW w:w="1480" w:type="dxa"/>
            <w:vAlign w:val="bottom"/>
            <w:gridSpan w:val="2"/>
          </w:tcPr>
          <w:p>
            <w:pPr>
              <w:jc w:val="center"/>
              <w:ind w:left="213"/>
              <w:spacing w:after="0"/>
              <w:rPr>
                <w:sz w:val="20"/>
                <w:szCs w:val="20"/>
                <w:color w:val="auto"/>
              </w:rPr>
            </w:pPr>
            <w:r>
              <w:rPr>
                <w:rFonts w:ascii="Arial" w:cs="Arial" w:eastAsia="Arial" w:hAnsi="Arial"/>
                <w:sz w:val="18"/>
                <w:szCs w:val="18"/>
                <w:color w:val="auto"/>
                <w:w w:val="90"/>
              </w:rPr>
              <w:t>21.0%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Dark fiber and small cells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5,478</w:t>
            </w:r>
          </w:p>
        </w:tc>
        <w:tc>
          <w:tcPr>
            <w:tcW w:w="1460" w:type="dxa"/>
            <w:vAlign w:val="bottom"/>
            <w:gridSpan w:val="2"/>
            <w:shd w:val="clear" w:color="auto" w:fill="CFF0FC"/>
          </w:tcPr>
          <w:p>
            <w:pPr>
              <w:jc w:val="center"/>
              <w:ind w:left="213"/>
              <w:spacing w:after="0"/>
              <w:rPr>
                <w:sz w:val="20"/>
                <w:szCs w:val="20"/>
                <w:color w:val="auto"/>
              </w:rPr>
            </w:pPr>
            <w:r>
              <w:rPr>
                <w:rFonts w:ascii="Arial" w:cs="Arial" w:eastAsia="Arial" w:hAnsi="Arial"/>
                <w:sz w:val="18"/>
                <w:szCs w:val="18"/>
                <w:color w:val="auto"/>
                <w:w w:val="87"/>
              </w:rPr>
              <w:t>6.7%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3,318</w:t>
            </w:r>
          </w:p>
        </w:tc>
        <w:tc>
          <w:tcPr>
            <w:tcW w:w="1480" w:type="dxa"/>
            <w:vAlign w:val="bottom"/>
            <w:gridSpan w:val="2"/>
            <w:shd w:val="clear" w:color="auto" w:fill="CFF0FC"/>
          </w:tcPr>
          <w:p>
            <w:pPr>
              <w:jc w:val="center"/>
              <w:ind w:left="213"/>
              <w:spacing w:after="0"/>
              <w:rPr>
                <w:sz w:val="20"/>
                <w:szCs w:val="20"/>
                <w:color w:val="auto"/>
              </w:rPr>
            </w:pPr>
            <w:r>
              <w:rPr>
                <w:rFonts w:ascii="Arial" w:cs="Arial" w:eastAsia="Arial" w:hAnsi="Arial"/>
                <w:sz w:val="18"/>
                <w:szCs w:val="18"/>
                <w:color w:val="auto"/>
                <w:w w:val="92"/>
              </w:rPr>
              <w:t>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60"/>
              <w:spacing w:after="0"/>
              <w:rPr>
                <w:sz w:val="20"/>
                <w:szCs w:val="20"/>
                <w:color w:val="auto"/>
              </w:rPr>
            </w:pPr>
            <w:r>
              <w:rPr>
                <w:rFonts w:ascii="Arial" w:cs="Arial" w:eastAsia="Arial" w:hAnsi="Arial"/>
                <w:sz w:val="18"/>
                <w:szCs w:val="18"/>
                <w:color w:val="auto"/>
              </w:rPr>
              <w:t>Other services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674</w:t>
            </w:r>
          </w:p>
        </w:tc>
        <w:tc>
          <w:tcPr>
            <w:tcW w:w="1460" w:type="dxa"/>
            <w:vAlign w:val="bottom"/>
            <w:gridSpan w:val="2"/>
          </w:tcPr>
          <w:p>
            <w:pPr>
              <w:jc w:val="center"/>
              <w:ind w:left="213"/>
              <w:spacing w:after="0"/>
              <w:rPr>
                <w:sz w:val="20"/>
                <w:szCs w:val="20"/>
                <w:color w:val="auto"/>
              </w:rPr>
            </w:pPr>
            <w:r>
              <w:rPr>
                <w:rFonts w:ascii="Arial" w:cs="Arial" w:eastAsia="Arial" w:hAnsi="Arial"/>
                <w:sz w:val="18"/>
                <w:szCs w:val="18"/>
                <w:color w:val="auto"/>
                <w:w w:val="87"/>
              </w:rPr>
              <w:t>0.8%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878</w:t>
            </w:r>
          </w:p>
        </w:tc>
        <w:tc>
          <w:tcPr>
            <w:tcW w:w="1480" w:type="dxa"/>
            <w:vAlign w:val="bottom"/>
            <w:gridSpan w:val="2"/>
          </w:tcPr>
          <w:p>
            <w:pPr>
              <w:jc w:val="center"/>
              <w:ind w:left="213"/>
              <w:spacing w:after="0"/>
              <w:rPr>
                <w:sz w:val="20"/>
                <w:szCs w:val="20"/>
                <w:color w:val="auto"/>
              </w:rPr>
            </w:pPr>
            <w:r>
              <w:rPr>
                <w:rFonts w:ascii="Arial" w:cs="Arial" w:eastAsia="Arial" w:hAnsi="Arial"/>
                <w:sz w:val="18"/>
                <w:szCs w:val="18"/>
                <w:color w:val="auto"/>
                <w:w w:val="92"/>
              </w:rPr>
              <w:t>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Fiber Infrastructure revenues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81,327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67,389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June 30, 2019, we had approximately 19,707 customer connections, up from 17,559 customer connections at June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i w:val="1"/>
          <w:iCs w:val="1"/>
          <w:color w:val="auto"/>
        </w:rPr>
        <w:t xml:space="preserve"> </w:t>
      </w:r>
      <w:r>
        <w:rPr>
          <w:rFonts w:ascii="Arial" w:cs="Arial" w:eastAsia="Arial" w:hAnsi="Arial"/>
          <w:sz w:val="18"/>
          <w:szCs w:val="18"/>
          <w:color w:val="auto"/>
        </w:rPr>
        <w:t>– Towers revenues for the three months ended June 30, 2019 and 2018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5860" w:type="dxa"/>
            <w:vAlign w:val="bottom"/>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20"/>
                <w:szCs w:val="20"/>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 of Total</w:t>
            </w:r>
          </w:p>
        </w:tc>
        <w:tc>
          <w:tcPr>
            <w:tcW w:w="240" w:type="dxa"/>
            <w:vAlign w:val="bottom"/>
          </w:tcPr>
          <w:p>
            <w:pPr>
              <w:spacing w:after="0"/>
              <w:rPr>
                <w:sz w:val="20"/>
                <w:szCs w:val="20"/>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20"/>
                <w:szCs w:val="20"/>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 of Total</w:t>
            </w:r>
          </w:p>
        </w:tc>
      </w:tr>
      <w:tr>
        <w:trPr>
          <w:trHeight w:val="237"/>
        </w:trPr>
        <w:tc>
          <w:tcPr>
            <w:tcW w:w="5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Towers revenues:</w:t>
            </w:r>
          </w:p>
        </w:tc>
        <w:tc>
          <w:tcPr>
            <w:tcW w:w="22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CFF0FC"/>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3,118</w:t>
            </w:r>
          </w:p>
        </w:tc>
        <w:tc>
          <w:tcPr>
            <w:tcW w:w="3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99.1%</w:t>
            </w:r>
          </w:p>
        </w:tc>
        <w:tc>
          <w:tcPr>
            <w:tcW w:w="3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186</w:t>
            </w:r>
          </w:p>
        </w:tc>
        <w:tc>
          <w:tcPr>
            <w:tcW w:w="3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7.5%</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Latin America</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0.9%</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2,286</w:t>
            </w:r>
          </w:p>
        </w:tc>
        <w:tc>
          <w:tcPr>
            <w:tcW w:w="32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92.5%</w:t>
            </w:r>
          </w:p>
        </w:tc>
        <w:tc>
          <w:tcPr>
            <w:tcW w:w="100" w:type="dxa"/>
            <w:vAlign w:val="bottom"/>
            <w:shd w:val="clear" w:color="auto" w:fill="CFF0FC"/>
          </w:tcPr>
          <w:p>
            <w:pPr>
              <w:spacing w:after="0"/>
              <w:rPr>
                <w:sz w:val="19"/>
                <w:szCs w:val="19"/>
                <w:color w:val="auto"/>
              </w:rPr>
            </w:pPr>
          </w:p>
        </w:tc>
      </w:tr>
      <w:tr>
        <w:trPr>
          <w:trHeight w:val="223"/>
        </w:trPr>
        <w:tc>
          <w:tcPr>
            <w:tcW w:w="5860" w:type="dxa"/>
            <w:vAlign w:val="bottom"/>
          </w:tcPr>
          <w:p>
            <w:pPr>
              <w:ind w:left="50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w:t>
            </w:r>
          </w:p>
        </w:tc>
        <w:tc>
          <w:tcPr>
            <w:tcW w:w="30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w:t>
            </w:r>
          </w:p>
        </w:tc>
        <w:tc>
          <w:tcPr>
            <w:tcW w:w="32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increase in revenue for the three months ended June 30, 2019, compared to the three months ended June 30, 2018, is primarily driven by our development activities in the U.S., and the inclusion of a non-recurring charge of $1.1 million related to the accounting of straight line rents in our U.S. operations during the three months ended June 30, 2018. For three months ended June 30, 2019, we completed the construction of 69 towers in the U.S. At June 30, 2019, the Uniti Towers’ domestic portfolio consisted of 573 wireless communications towers located in 30 states across the eastern and central regions in the United States, an increase from 305 wireless communications towers at June 30, 2018. The decrease in revenues in Latin America compared to the three months ended June 30, 2018 is due to the April 2, 2019 sale of our Latin American tower portfolio.</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three months ended June 30, 2019, we recognized $2.9 million of revenue from the Consumer CLEC Business, compared to $3.6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June 30, 2018. The decrease is primarily attributable to a loss of customers during the period. We served 20,300 customers as of June 30, 2019, a 19.1% decrease from 25,100 customers served at June 30, 2018. The decrease in customers is due to the effects of competition and customer attrition.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Interest expense for the three months ended June 30, 2019 totaled $97.7 million, which includes non-cash interest expense of $10.8 million resulting from the amortization of our debt discounts and debt issuance costs, partially offset by $1.2 million of capitalized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interest. Interest expense for the three months ended June 30, 2018, totaled $79.4 million, which includes non-cash interest expense of $6.1 million resulting from the amortization of our debt discounts and debt issuance costs.</w:t>
      </w:r>
    </w:p>
    <w:p>
      <w:pPr>
        <w:spacing w:after="0" w:line="17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increase is primarily related to an increase of interest expense incurred on the Revolving Credit Facility of $3.6 million due to increased borrowings and higher LIBOR rates compared to the prior year. The increase is also attributed to an increase of interest expense of $10.3 million on the Term Loan Facility and an increase in non-cash interest expense from the amortization of our debt discounts and debt issuance costs of $4.7 million, both as a result from the Fourth Amendment. The Fourth Amendment increased the rate of term loans by 200 basis points effective March 18,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incur depreciation and amortization expense related to our property, plant and equipment, corporate assets and intangible assets. Charges for depreciation and amortization for the three months ended June 30, 2019 totaled $102.6 million, which included property, plant and equipment depreciation of $96.5 million and intangible asset amortization of $6.1 million. Charges for depreciation and amortization for the three months ended June 30, 2018 totaled $114.8 million, which included property, plant and equipment depreciation of $108.6 million and intangible asset amortization of $6.2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General and administrative expenses include compensation costs, including stock-based compensation awards, professional and legal services, corporate office costs and other costs associated with administrative activities. For the three months ended June 30, 2019, general and administrative costs totaled $26.4 million (10.0% of revenue), which includes $3.2 million of stock-based compensation and $1.3 million of general and administrative costs attributable to the timing of the Information Transport Solutions, Inc. (“ITS”) acquisition that occurred on October 19, 2018. For the three months ended June 30, 2018, general and administrative costs totaled $20.7 million (8.4% of revenue), which includes $1.9 million of stock-based compensation expense.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Operating expense for the three months ended June 30, 2019, totaled $40.2 million (15.2% of revenue) compared to $31.6 million (12.7% of revenue) for the three months ended June 30, 2018, which was attributable to the increase in Fiber Infrastructure operating expenses. Operating expense for our reportable segments for the three months ended June 30, 2019 and 2018 consisted of the following:</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2019</w:t>
            </w:r>
          </w:p>
        </w:tc>
        <w:tc>
          <w:tcPr>
            <w:tcW w:w="11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right"/>
              <w:ind w:right="120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5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 of Consolidated</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40" w:type="dxa"/>
            <w:vAlign w:val="bottom"/>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3"/>
        </w:trPr>
        <w:tc>
          <w:tcPr>
            <w:tcW w:w="5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Operating expenses by segment:</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Fiber Infrastructure</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35,518</w:t>
            </w:r>
          </w:p>
        </w:tc>
        <w:tc>
          <w:tcPr>
            <w:tcW w:w="1440" w:type="dxa"/>
            <w:vAlign w:val="bottom"/>
            <w:gridSpan w:val="2"/>
          </w:tcPr>
          <w:p>
            <w:pPr>
              <w:jc w:val="center"/>
              <w:ind w:left="214"/>
              <w:spacing w:after="0"/>
              <w:rPr>
                <w:sz w:val="20"/>
                <w:szCs w:val="20"/>
                <w:color w:val="auto"/>
              </w:rPr>
            </w:pPr>
            <w:r>
              <w:rPr>
                <w:rFonts w:ascii="Arial" w:cs="Arial" w:eastAsia="Arial" w:hAnsi="Arial"/>
                <w:sz w:val="18"/>
                <w:szCs w:val="18"/>
                <w:color w:val="auto"/>
                <w:w w:val="90"/>
              </w:rPr>
              <w:t>13.4%</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26,534</w:t>
            </w:r>
          </w:p>
        </w:tc>
        <w:tc>
          <w:tcPr>
            <w:tcW w:w="1680" w:type="dxa"/>
            <w:vAlign w:val="bottom"/>
            <w:gridSpan w:val="2"/>
          </w:tcPr>
          <w:p>
            <w:pPr>
              <w:jc w:val="center"/>
              <w:ind w:left="174"/>
              <w:spacing w:after="0"/>
              <w:rPr>
                <w:sz w:val="20"/>
                <w:szCs w:val="20"/>
                <w:color w:val="auto"/>
              </w:rPr>
            </w:pPr>
            <w:r>
              <w:rPr>
                <w:rFonts w:ascii="Arial" w:cs="Arial" w:eastAsia="Arial" w:hAnsi="Arial"/>
                <w:sz w:val="18"/>
                <w:szCs w:val="18"/>
                <w:color w:val="auto"/>
                <w:w w:val="90"/>
              </w:rPr>
              <w:t>10.6%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Towers</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w:t>
            </w:r>
          </w:p>
        </w:tc>
        <w:tc>
          <w:tcPr>
            <w:tcW w:w="144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92"/>
              </w:rPr>
              <w:t>0.7%</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2,167</w:t>
            </w:r>
          </w:p>
        </w:tc>
        <w:tc>
          <w:tcPr>
            <w:tcW w:w="1680" w:type="dxa"/>
            <w:vAlign w:val="bottom"/>
            <w:gridSpan w:val="2"/>
            <w:shd w:val="clear" w:color="auto" w:fill="CFF0FC"/>
          </w:tcPr>
          <w:p>
            <w:pPr>
              <w:jc w:val="center"/>
              <w:ind w:left="174"/>
              <w:spacing w:after="0"/>
              <w:rPr>
                <w:sz w:val="20"/>
                <w:szCs w:val="20"/>
                <w:color w:val="auto"/>
              </w:rPr>
            </w:pPr>
            <w:r>
              <w:rPr>
                <w:rFonts w:ascii="Arial" w:cs="Arial" w:eastAsia="Arial" w:hAnsi="Arial"/>
                <w:sz w:val="18"/>
                <w:szCs w:val="18"/>
                <w:color w:val="auto"/>
                <w:w w:val="92"/>
              </w:rPr>
              <w:t>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CLEC</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2,334</w:t>
            </w:r>
          </w:p>
        </w:tc>
        <w:tc>
          <w:tcPr>
            <w:tcW w:w="1440" w:type="dxa"/>
            <w:vAlign w:val="bottom"/>
            <w:gridSpan w:val="2"/>
          </w:tcPr>
          <w:p>
            <w:pPr>
              <w:jc w:val="center"/>
              <w:ind w:left="214"/>
              <w:spacing w:after="0"/>
              <w:rPr>
                <w:sz w:val="20"/>
                <w:szCs w:val="20"/>
                <w:color w:val="auto"/>
              </w:rPr>
            </w:pPr>
            <w:r>
              <w:rPr>
                <w:rFonts w:ascii="Arial" w:cs="Arial" w:eastAsia="Arial" w:hAnsi="Arial"/>
                <w:sz w:val="18"/>
                <w:szCs w:val="18"/>
                <w:color w:val="auto"/>
                <w:w w:val="92"/>
              </w:rPr>
              <w:t>0.9%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2,655</w:t>
            </w:r>
          </w:p>
        </w:tc>
        <w:tc>
          <w:tcPr>
            <w:tcW w:w="1680" w:type="dxa"/>
            <w:vAlign w:val="bottom"/>
            <w:gridSpan w:val="2"/>
          </w:tcPr>
          <w:p>
            <w:pPr>
              <w:jc w:val="center"/>
              <w:ind w:left="174"/>
              <w:spacing w:after="0"/>
              <w:rPr>
                <w:sz w:val="20"/>
                <w:szCs w:val="20"/>
                <w:color w:val="auto"/>
              </w:rPr>
            </w:pPr>
            <w:r>
              <w:rPr>
                <w:rFonts w:ascii="Arial" w:cs="Arial" w:eastAsia="Arial" w:hAnsi="Arial"/>
                <w:sz w:val="18"/>
                <w:szCs w:val="18"/>
                <w:color w:val="auto"/>
                <w:w w:val="92"/>
              </w:rPr>
              <w:t>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Leasing</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144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92"/>
              </w:rPr>
              <w:t>0.2%</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680" w:type="dxa"/>
            <w:vAlign w:val="bottom"/>
            <w:gridSpan w:val="2"/>
            <w:shd w:val="clear" w:color="auto" w:fill="CFF0FC"/>
          </w:tcPr>
          <w:p>
            <w:pPr>
              <w:jc w:val="center"/>
              <w:ind w:left="174"/>
              <w:spacing w:after="0"/>
              <w:rPr>
                <w:sz w:val="20"/>
                <w:szCs w:val="20"/>
                <w:color w:val="auto"/>
              </w:rPr>
            </w:pPr>
            <w:r>
              <w:rPr>
                <w:rFonts w:ascii="Arial" w:cs="Arial" w:eastAsia="Arial" w:hAnsi="Arial"/>
                <w:sz w:val="18"/>
                <w:szCs w:val="18"/>
                <w:color w:val="auto"/>
                <w:w w:val="92"/>
              </w:rPr>
              <w:t>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40,163</w:t>
            </w:r>
          </w:p>
        </w:tc>
        <w:tc>
          <w:tcPr>
            <w:tcW w:w="3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15.2%</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31,522</w:t>
            </w:r>
          </w:p>
        </w:tc>
        <w:tc>
          <w:tcPr>
            <w:tcW w:w="28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three months ended June 30, 2019, Fiber Infrastructure operating expenses totaled $35.5 million as compared to $26.5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June 30, 2018. Operating expense consists of network related costs, such as dark fiber and tower rents, and lit service and maintenance expense. In addition, costs associated with our construction activities are presented within operating expenses. The increase in operating expenses is primarily attributable to the timing of the ITS acquisition that occurred on October 19, 2018, which incurred operating expenses of $7.1 million for the three months ended June 30, 2019.</w:t>
      </w:r>
    </w:p>
    <w:p>
      <w:pPr>
        <w:spacing w:after="0" w:line="1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i w:val="1"/>
          <w:iCs w:val="1"/>
          <w:color w:val="auto"/>
        </w:rPr>
        <w:t xml:space="preserve"> </w:t>
      </w:r>
      <w:r>
        <w:rPr>
          <w:rFonts w:ascii="Arial" w:cs="Arial" w:eastAsia="Arial" w:hAnsi="Arial"/>
          <w:sz w:val="18"/>
          <w:szCs w:val="18"/>
          <w:color w:val="auto"/>
        </w:rPr>
        <w:t>– Our Towers segment operating expense primarily consists of ground rent, some or all of which may be passed to our tenants, as well as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fees and maintenance and repairs. For the three months ended June 30, 2019, Towers operating expense included $0.9 million of ground rent expense, compared to $1.2 million for the three months ended June 30, 2018. The change is attributable to the April 2, 2019 sale of the Latin American tower business, which incurred operating expenses of $0.9 million for the three months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ended June 30, 2018, partially offset by a $0.6 million increase in operating expenses attributable to the increase in completed towers at June 30, 2019 from June 30, 2018, driven by our development activity in the United States.</w:t>
      </w:r>
    </w:p>
    <w:p>
      <w:pPr>
        <w:spacing w:after="0" w:line="17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i w:val="1"/>
          <w:iCs w:val="1"/>
          <w:u w:val="single" w:color="auto"/>
          <w:color w:val="auto"/>
        </w:rPr>
        <w:t>Consumer CLEC</w:t>
      </w:r>
      <w:r>
        <w:rPr>
          <w:rFonts w:ascii="Arial" w:cs="Arial" w:eastAsia="Arial" w:hAnsi="Arial"/>
          <w:sz w:val="17"/>
          <w:szCs w:val="17"/>
          <w:i w:val="1"/>
          <w:iCs w:val="1"/>
          <w:color w:val="auto"/>
        </w:rPr>
        <w:t xml:space="preserve"> </w:t>
      </w:r>
      <w:r>
        <w:rPr>
          <w:rFonts w:ascii="Arial" w:cs="Arial" w:eastAsia="Arial" w:hAnsi="Arial"/>
          <w:sz w:val="17"/>
          <w:szCs w:val="17"/>
          <w:color w:val="auto"/>
        </w:rPr>
        <w:t>– Expense associated with the Consumer CLEC Business is primarily attributable to the Wholesale Agreement and the Master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entered into between us and Windstream in connection with the Spin-Off, and includes costs arising under the interconnection agreements with other telecommunication carriers. Expense associated with the Wholesale Agreement and Master Services Agreement for the three months ended June 30, 2019 totaled $1.6 million and $0.2 million, respectively, and expense associated with the Wholesale Agreement and Master Services Agreement for the three months ended June 30, 2018 totaled $2.0 million and $0.2 million,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Real Estate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the three months ended June 30, 2019, we recognized in other income realized pre-tax gains of $23.8 million and $5.0 million related to the April 2, 2019 sale of the Uniti Towers’ Latin American business and the May 23, 2019 sale of the U.S. ground lease business,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recognized in other income a $22.3 million unrealized gain for mark-to-market adjustments on our contingent consideration arrangements for the three months ended June 30, 2019, compared to a $3.4 million unrealized loss for mark-to-market adjustments on our contingent consideration arrangements for the three months ended June 30, 2018. The fair value of the contingent consideration arrangement in connection with the August 31, 2016 acquisition of Tower Cloud is determined using a discounted cash flow model and probability adjusted estimates of the future operational milestones.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recorded a $7.8 million income tax expense for the three months ended June 30, 2019. This is primarily driven by approximately $4.6 million of income tax expense related to capital gain from the sale of Uniti Towers’ Latin American business, $1.2 million of income tax expense resulting from the undistributed REIT taxable income and approximately $2.4 million income tax expense attributable to unrecognized tax benefit related to the sale of Uniti Towers’ Latin American business. Additionally, we recorded a $0.5 million income tax benefit related to our Fiber Infrastructure segment. We recorded a $2.6 million income tax benefit for the three months ended June 30, 2018, $1.3 million of which relates to the impact of the reduction in the corporate tax rate under the Tax Cuts and Jobs Act (the “Tax Bill”) on purchase price allocation adjustments recorded during the three months ended June 30, 2018 and the remainder of which is primarily driven by pre-tax loss in our Fiber Infrastructure segment.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2019 and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our results of operations expressed as dollars and as a percentage of total revenues: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Six Months Ended June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6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9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2"/>
              </w:rPr>
              <w:t>% of Revenues</w:t>
            </w:r>
          </w:p>
        </w:tc>
        <w:tc>
          <w:tcPr>
            <w:tcW w:w="0" w:type="dxa"/>
            <w:vAlign w:val="bottom"/>
          </w:tcPr>
          <w:p>
            <w:pPr>
              <w:spacing w:after="0"/>
              <w:rPr>
                <w:sz w:val="1"/>
                <w:szCs w:val="1"/>
                <w:color w:val="auto"/>
              </w:rPr>
            </w:pPr>
          </w:p>
        </w:tc>
      </w:tr>
      <w:tr>
        <w:trPr>
          <w:trHeight w:val="171"/>
        </w:trPr>
        <w:tc>
          <w:tcPr>
            <w:tcW w:w="62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Revenues</w:t>
            </w: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353,125</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67.2%</w:t>
            </w:r>
          </w:p>
        </w:tc>
        <w:tc>
          <w:tcPr>
            <w:tcW w:w="3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346,659</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158,160</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30.1%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134,356</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60"/>
              <w:spacing w:after="0"/>
              <w:rPr>
                <w:sz w:val="20"/>
                <w:szCs w:val="20"/>
                <w:color w:val="auto"/>
              </w:rPr>
            </w:pPr>
            <w:r>
              <w:rPr>
                <w:rFonts w:ascii="Arial" w:cs="Arial" w:eastAsia="Arial" w:hAnsi="Arial"/>
                <w:sz w:val="18"/>
                <w:szCs w:val="18"/>
                <w:color w:val="auto"/>
              </w:rPr>
              <w:t>Tower</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8,226</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1.6%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5,842</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5,934</w:t>
            </w:r>
          </w:p>
        </w:tc>
        <w:tc>
          <w:tcPr>
            <w:tcW w:w="3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1.1%</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7,387</w:t>
            </w:r>
          </w:p>
        </w:tc>
        <w:tc>
          <w:tcPr>
            <w:tcW w:w="3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ind w:left="50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525,445</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100.0%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494,244</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182,187</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34.7%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156,992</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206,405</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39.2%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229,563</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6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50,654</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9.6%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43,201</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Operating expense</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78,581</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15.0%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61,426</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60"/>
              <w:spacing w:after="0"/>
              <w:rPr>
                <w:sz w:val="20"/>
                <w:szCs w:val="20"/>
                <w:color w:val="auto"/>
              </w:rPr>
            </w:pPr>
            <w:r>
              <w:rPr>
                <w:rFonts w:ascii="Arial" w:cs="Arial" w:eastAsia="Arial" w:hAnsi="Arial"/>
                <w:sz w:val="18"/>
                <w:szCs w:val="18"/>
                <w:color w:val="auto"/>
              </w:rPr>
              <w:t>Transaction related costs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13,704</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2.6%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9,702</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Gain on sale of real estate</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(28,790)</w:t>
            </w: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(5.4%)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6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(31,232)</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(5.9%)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(536)</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471,509</w:t>
            </w:r>
          </w:p>
        </w:tc>
        <w:tc>
          <w:tcPr>
            <w:tcW w:w="3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89.8%</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500,348</w:t>
            </w:r>
          </w:p>
        </w:tc>
        <w:tc>
          <w:tcPr>
            <w:tcW w:w="3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101.2%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53,936</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10.2%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(6,104)</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11,897</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2.2%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(3,742)</w:t>
            </w: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42,039</w:t>
            </w:r>
          </w:p>
        </w:tc>
        <w:tc>
          <w:tcPr>
            <w:tcW w:w="32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8.0%</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(2,362)</w:t>
            </w:r>
          </w:p>
        </w:tc>
        <w:tc>
          <w:tcPr>
            <w:tcW w:w="320" w:type="dxa"/>
            <w:vAlign w:val="bottom"/>
          </w:tcPr>
          <w:p>
            <w:pPr>
              <w:spacing w:after="0"/>
              <w:rPr>
                <w:sz w:val="19"/>
                <w:szCs w:val="19"/>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0.2%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(69)</w:t>
            </w: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Net income (loss) attributable to shareholders</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41,159</w:t>
            </w:r>
          </w:p>
        </w:tc>
        <w:tc>
          <w:tcPr>
            <w:tcW w:w="32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7.8%</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(2,293)</w:t>
            </w:r>
          </w:p>
        </w:tc>
        <w:tc>
          <w:tcPr>
            <w:tcW w:w="320" w:type="dxa"/>
            <w:vAlign w:val="bottom"/>
          </w:tcPr>
          <w:p>
            <w:pPr>
              <w:spacing w:after="0"/>
              <w:rPr>
                <w:sz w:val="19"/>
                <w:szCs w:val="19"/>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Participating securities' share in earnings</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(251)</w:t>
            </w: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(1,337)</w:t>
            </w: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60"/>
              <w:spacing w:after="0"/>
              <w:rPr>
                <w:sz w:val="20"/>
                <w:szCs w:val="20"/>
                <w:color w:val="auto"/>
              </w:rPr>
            </w:pPr>
            <w:r>
              <w:rPr>
                <w:rFonts w:ascii="Arial" w:cs="Arial" w:eastAsia="Arial" w:hAnsi="Arial"/>
                <w:sz w:val="18"/>
                <w:szCs w:val="18"/>
                <w:color w:val="auto"/>
              </w:rPr>
              <w:t>Dividends declared on convertible preferred stock</w:t>
            </w:r>
          </w:p>
        </w:tc>
        <w:tc>
          <w:tcPr>
            <w:tcW w:w="2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(656)</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(1,312)</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Amortization of discount on convertible preferred stock</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(993)</w:t>
            </w: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(1,490)</w:t>
            </w: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39,259</w:t>
            </w:r>
          </w:p>
        </w:tc>
        <w:tc>
          <w:tcPr>
            <w:tcW w:w="3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7.5%</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(6,432)</w:t>
            </w:r>
          </w:p>
        </w:tc>
        <w:tc>
          <w:tcPr>
            <w:tcW w:w="3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4"/>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for the six months ended June 30, 2019 and 2018, revenues, Adjusted EBITDA and net income of our reportable segments: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6"/>
              <w:spacing w:after="0"/>
              <w:rPr>
                <w:sz w:val="20"/>
                <w:szCs w:val="20"/>
                <w:color w:val="auto"/>
              </w:rPr>
            </w:pPr>
            <w:r>
              <w:rPr>
                <w:rFonts w:ascii="Arial" w:cs="Arial" w:eastAsia="Arial" w:hAnsi="Arial"/>
                <w:sz w:val="14"/>
                <w:szCs w:val="14"/>
                <w:b w:val="1"/>
                <w:bCs w:val="1"/>
                <w:color w:val="auto"/>
                <w:w w:val="94"/>
              </w:rPr>
              <w:t>Six Months Ended June 30, 2019</w:t>
            </w: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114"/>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Leasing</w:t>
            </w:r>
          </w:p>
        </w:tc>
        <w:tc>
          <w:tcPr>
            <w:tcW w:w="100" w:type="dxa"/>
            <w:vAlign w:val="bottom"/>
          </w:tcPr>
          <w:p>
            <w:pPr>
              <w:spacing w:after="0"/>
              <w:rPr>
                <w:sz w:val="12"/>
                <w:szCs w:val="12"/>
                <w:color w:val="auto"/>
              </w:rPr>
            </w:pPr>
          </w:p>
        </w:tc>
        <w:tc>
          <w:tcPr>
            <w:tcW w:w="1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Fiber Infrastructure</w:t>
            </w:r>
          </w:p>
        </w:tc>
        <w:tc>
          <w:tcPr>
            <w:tcW w:w="240" w:type="dxa"/>
            <w:vAlign w:val="bottom"/>
          </w:tcPr>
          <w:p>
            <w:pPr>
              <w:spacing w:after="0"/>
              <w:rPr>
                <w:sz w:val="12"/>
                <w:szCs w:val="12"/>
                <w:color w:val="auto"/>
              </w:rPr>
            </w:pPr>
          </w:p>
        </w:tc>
        <w:tc>
          <w:tcPr>
            <w:tcW w:w="12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Towers</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Consumer CLEC</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353,125</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158,160</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8,226</w:t>
            </w:r>
          </w:p>
        </w:tc>
        <w:tc>
          <w:tcPr>
            <w:tcW w:w="2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5,934</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525,445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4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350,632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67,036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1,211</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(12,023)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407,139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Depreciation and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146,028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56,752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2,827</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692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206,405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restart"/>
          </w:tcPr>
          <w:p>
            <w:pPr>
              <w:ind w:left="12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(25,388)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Transaction related costs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Gain on sale of real estate</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(4,960)</w:t>
            </w: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(23,830)</w:t>
            </w:r>
          </w:p>
        </w:tc>
        <w:tc>
          <w:tcPr>
            <w:tcW w:w="7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(28,790)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w w:val="98"/>
              </w:rPr>
              <w:t>Stock-based compensation</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Six Months Ended June 30, 2018</w:t>
            </w: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94"/>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Leasing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7"/>
              </w:rPr>
              <w:t>Fiber Infrastructure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Towers</w:t>
            </w:r>
          </w:p>
        </w:tc>
        <w:tc>
          <w:tcPr>
            <w:tcW w:w="100" w:type="dxa"/>
            <w:vAlign w:val="bottom"/>
          </w:tcPr>
          <w:p>
            <w:pPr>
              <w:spacing w:after="0"/>
              <w:rPr>
                <w:sz w:val="12"/>
                <w:szCs w:val="12"/>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Consumer CLEC</w:t>
            </w:r>
          </w:p>
        </w:tc>
        <w:tc>
          <w:tcPr>
            <w:tcW w:w="180" w:type="dxa"/>
            <w:vAlign w:val="bottom"/>
          </w:tcPr>
          <w:p>
            <w:pPr>
              <w:spacing w:after="0"/>
              <w:rPr>
                <w:sz w:val="12"/>
                <w:szCs w:val="12"/>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1"/>
        </w:trPr>
        <w:tc>
          <w:tcPr>
            <w:tcW w:w="246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346,659</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134,356</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7,387</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494,244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345,725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58,600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(1,630)</w:t>
            </w:r>
          </w:p>
        </w:tc>
        <w:tc>
          <w:tcPr>
            <w:tcW w:w="860" w:type="dxa"/>
            <w:vAlign w:val="bottom"/>
            <w:gridSpan w:val="2"/>
            <w:shd w:val="clear" w:color="auto" w:fill="CFF0FC"/>
          </w:tcPr>
          <w:p>
            <w:pPr>
              <w:jc w:val="right"/>
              <w:ind w:right="60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1,841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(10,824)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393,712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Depreciation and</w:t>
            </w:r>
          </w:p>
        </w:tc>
        <w:tc>
          <w:tcPr>
            <w:tcW w:w="2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173,198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52,149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3,052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997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229,563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40" w:type="dxa"/>
            <w:vAlign w:val="bottom"/>
            <w:gridSpan w:val="2"/>
            <w:vMerge w:val="restart"/>
          </w:tcPr>
          <w:p>
            <w:pPr>
              <w:ind w:left="12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Other expense</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Transaction related costs</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(3,742)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u w:val="single" w:color="auto"/>
          <w:color w:val="auto"/>
        </w:rPr>
        <w:t>Leasing</w:t>
      </w:r>
      <w:r>
        <w:rPr>
          <w:rFonts w:ascii="Arial" w:cs="Arial" w:eastAsia="Arial" w:hAnsi="Arial"/>
          <w:sz w:val="16"/>
          <w:szCs w:val="16"/>
          <w:i w:val="1"/>
          <w:iCs w:val="1"/>
          <w:color w:val="auto"/>
        </w:rPr>
        <w:t xml:space="preserve"> </w:t>
      </w:r>
      <w:r>
        <w:rPr>
          <w:rFonts w:ascii="Arial" w:cs="Arial" w:eastAsia="Arial" w:hAnsi="Arial"/>
          <w:sz w:val="16"/>
          <w:szCs w:val="16"/>
          <w:color w:val="auto"/>
        </w:rPr>
        <w:t>– For the six months ended June 30, 2019, we recognized $342.5 million of revenue from rents under the Master Lease, which included $13.6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of TCI revenue. For the six months ended June 30, 2018, we recognized $346.1 million of revenue from rents under the Master Lease, which included $8.1 million of straight-line revenues and $10.7 million of TCI revenue. For the six months ended June 30, 2019, we recognized $10.6 million of leasing revenues from non-Windstream triple-net leasing and dark fiber IRU arrangements, compared to $0.6 million for the six months ended June 30, 2018.</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Fiber Infrastructure</w:t>
      </w:r>
      <w:r>
        <w:rPr>
          <w:rFonts w:ascii="Arial" w:cs="Arial" w:eastAsia="Arial" w:hAnsi="Arial"/>
          <w:sz w:val="16"/>
          <w:szCs w:val="16"/>
          <w:i w:val="1"/>
          <w:iCs w:val="1"/>
          <w:color w:val="auto"/>
        </w:rPr>
        <w:t xml:space="preserve"> </w:t>
      </w:r>
      <w:r>
        <w:rPr>
          <w:rFonts w:ascii="Arial" w:cs="Arial" w:eastAsia="Arial" w:hAnsi="Arial"/>
          <w:sz w:val="16"/>
          <w:szCs w:val="16"/>
          <w:color w:val="auto"/>
        </w:rPr>
        <w:t>– For the six months ended June 30, 2019 and 2018, we recognized $158.2 million and $134.4 million of revenue, respectively, in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Fiber Infrastructure segment. Fiber Infrastructure revenues for the six months ended June 30, 2019 and 2018 consisted of the following:</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2019</w:t>
            </w:r>
          </w:p>
        </w:tc>
        <w:tc>
          <w:tcPr>
            <w:tcW w:w="11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2018</w:t>
            </w:r>
          </w:p>
        </w:tc>
        <w:tc>
          <w:tcPr>
            <w:tcW w:w="1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 of Segment</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1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7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3"/>
        </w:trPr>
        <w:tc>
          <w:tcPr>
            <w:tcW w:w="5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Fiber Infrastructure revenues:</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60"/>
              <w:spacing w:after="0"/>
              <w:rPr>
                <w:sz w:val="20"/>
                <w:szCs w:val="20"/>
                <w:color w:val="auto"/>
              </w:rPr>
            </w:pPr>
            <w:r>
              <w:rPr>
                <w:rFonts w:ascii="Arial" w:cs="Arial" w:eastAsia="Arial" w:hAnsi="Arial"/>
                <w:sz w:val="18"/>
                <w:szCs w:val="18"/>
                <w:color w:val="auto"/>
              </w:rPr>
              <w:t>Lit backhaul services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65,606</w:t>
            </w:r>
          </w:p>
        </w:tc>
        <w:tc>
          <w:tcPr>
            <w:tcW w:w="1460" w:type="dxa"/>
            <w:vAlign w:val="bottom"/>
            <w:gridSpan w:val="2"/>
          </w:tcPr>
          <w:p>
            <w:pPr>
              <w:jc w:val="center"/>
              <w:ind w:left="213"/>
              <w:spacing w:after="0"/>
              <w:rPr>
                <w:sz w:val="20"/>
                <w:szCs w:val="20"/>
                <w:color w:val="auto"/>
              </w:rPr>
            </w:pPr>
            <w:r>
              <w:rPr>
                <w:rFonts w:ascii="Arial" w:cs="Arial" w:eastAsia="Arial" w:hAnsi="Arial"/>
                <w:sz w:val="18"/>
                <w:szCs w:val="18"/>
                <w:color w:val="auto"/>
                <w:w w:val="93"/>
              </w:rPr>
              <w:t>41.4%</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66,820</w:t>
            </w:r>
          </w:p>
        </w:tc>
        <w:tc>
          <w:tcPr>
            <w:tcW w:w="1480" w:type="dxa"/>
            <w:vAlign w:val="bottom"/>
            <w:gridSpan w:val="2"/>
          </w:tcPr>
          <w:p>
            <w:pPr>
              <w:jc w:val="center"/>
              <w:ind w:left="213"/>
              <w:spacing w:after="0"/>
              <w:rPr>
                <w:sz w:val="20"/>
                <w:szCs w:val="20"/>
                <w:color w:val="auto"/>
              </w:rPr>
            </w:pPr>
            <w:r>
              <w:rPr>
                <w:rFonts w:ascii="Arial" w:cs="Arial" w:eastAsia="Arial" w:hAnsi="Arial"/>
                <w:sz w:val="18"/>
                <w:szCs w:val="18"/>
                <w:color w:val="auto"/>
                <w:w w:val="90"/>
              </w:rPr>
              <w:t>49.7%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Enterprise and wholesale</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35,970</w:t>
            </w:r>
          </w:p>
        </w:tc>
        <w:tc>
          <w:tcPr>
            <w:tcW w:w="1460" w:type="dxa"/>
            <w:vAlign w:val="bottom"/>
            <w:gridSpan w:val="2"/>
            <w:shd w:val="clear" w:color="auto" w:fill="CFF0FC"/>
          </w:tcPr>
          <w:p>
            <w:pPr>
              <w:jc w:val="center"/>
              <w:ind w:left="213"/>
              <w:spacing w:after="0"/>
              <w:rPr>
                <w:sz w:val="20"/>
                <w:szCs w:val="20"/>
                <w:color w:val="auto"/>
              </w:rPr>
            </w:pPr>
            <w:r>
              <w:rPr>
                <w:rFonts w:ascii="Arial" w:cs="Arial" w:eastAsia="Arial" w:hAnsi="Arial"/>
                <w:sz w:val="18"/>
                <w:szCs w:val="18"/>
                <w:color w:val="auto"/>
                <w:w w:val="93"/>
              </w:rPr>
              <w:t>22.7%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30,980</w:t>
            </w:r>
          </w:p>
        </w:tc>
        <w:tc>
          <w:tcPr>
            <w:tcW w:w="1480" w:type="dxa"/>
            <w:vAlign w:val="bottom"/>
            <w:gridSpan w:val="2"/>
            <w:shd w:val="clear" w:color="auto" w:fill="CFF0FC"/>
          </w:tcPr>
          <w:p>
            <w:pPr>
              <w:jc w:val="center"/>
              <w:ind w:left="213"/>
              <w:spacing w:after="0"/>
              <w:rPr>
                <w:sz w:val="20"/>
                <w:szCs w:val="20"/>
                <w:color w:val="auto"/>
              </w:rPr>
            </w:pPr>
            <w:r>
              <w:rPr>
                <w:rFonts w:ascii="Arial" w:cs="Arial" w:eastAsia="Arial" w:hAnsi="Arial"/>
                <w:sz w:val="18"/>
                <w:szCs w:val="18"/>
                <w:color w:val="auto"/>
                <w:w w:val="90"/>
              </w:rPr>
              <w:t>23.1%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60"/>
              <w:spacing w:after="0"/>
              <w:rPr>
                <w:sz w:val="20"/>
                <w:szCs w:val="20"/>
                <w:color w:val="auto"/>
              </w:rPr>
            </w:pPr>
            <w:r>
              <w:rPr>
                <w:rFonts w:ascii="Arial" w:cs="Arial" w:eastAsia="Arial" w:hAnsi="Arial"/>
                <w:sz w:val="18"/>
                <w:szCs w:val="18"/>
                <w:color w:val="auto"/>
              </w:rPr>
              <w:t>E-Rate and government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44,528</w:t>
            </w:r>
          </w:p>
        </w:tc>
        <w:tc>
          <w:tcPr>
            <w:tcW w:w="1460" w:type="dxa"/>
            <w:vAlign w:val="bottom"/>
            <w:gridSpan w:val="2"/>
          </w:tcPr>
          <w:p>
            <w:pPr>
              <w:jc w:val="center"/>
              <w:ind w:left="213"/>
              <w:spacing w:after="0"/>
              <w:rPr>
                <w:sz w:val="20"/>
                <w:szCs w:val="20"/>
                <w:color w:val="auto"/>
              </w:rPr>
            </w:pPr>
            <w:r>
              <w:rPr>
                <w:rFonts w:ascii="Arial" w:cs="Arial" w:eastAsia="Arial" w:hAnsi="Arial"/>
                <w:sz w:val="18"/>
                <w:szCs w:val="18"/>
                <w:color w:val="auto"/>
                <w:w w:val="93"/>
              </w:rPr>
              <w:t>28.2%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28,387</w:t>
            </w:r>
          </w:p>
        </w:tc>
        <w:tc>
          <w:tcPr>
            <w:tcW w:w="1480" w:type="dxa"/>
            <w:vAlign w:val="bottom"/>
            <w:gridSpan w:val="2"/>
          </w:tcPr>
          <w:p>
            <w:pPr>
              <w:jc w:val="center"/>
              <w:ind w:left="213"/>
              <w:spacing w:after="0"/>
              <w:rPr>
                <w:sz w:val="20"/>
                <w:szCs w:val="20"/>
                <w:color w:val="auto"/>
              </w:rPr>
            </w:pPr>
            <w:r>
              <w:rPr>
                <w:rFonts w:ascii="Arial" w:cs="Arial" w:eastAsia="Arial" w:hAnsi="Arial"/>
                <w:sz w:val="18"/>
                <w:szCs w:val="18"/>
                <w:color w:val="auto"/>
                <w:w w:val="90"/>
              </w:rPr>
              <w:t>21.1%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Dark fiber and small cells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10,373</w:t>
            </w:r>
          </w:p>
        </w:tc>
        <w:tc>
          <w:tcPr>
            <w:tcW w:w="1460" w:type="dxa"/>
            <w:vAlign w:val="bottom"/>
            <w:gridSpan w:val="2"/>
            <w:shd w:val="clear" w:color="auto" w:fill="CFF0FC"/>
          </w:tcPr>
          <w:p>
            <w:pPr>
              <w:jc w:val="center"/>
              <w:ind w:left="213"/>
              <w:spacing w:after="0"/>
              <w:rPr>
                <w:sz w:val="20"/>
                <w:szCs w:val="20"/>
                <w:color w:val="auto"/>
              </w:rPr>
            </w:pPr>
            <w:r>
              <w:rPr>
                <w:rFonts w:ascii="Arial" w:cs="Arial" w:eastAsia="Arial" w:hAnsi="Arial"/>
                <w:sz w:val="18"/>
                <w:szCs w:val="18"/>
                <w:color w:val="auto"/>
                <w:w w:val="87"/>
              </w:rPr>
              <w:t>6.6%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6,301</w:t>
            </w:r>
          </w:p>
        </w:tc>
        <w:tc>
          <w:tcPr>
            <w:tcW w:w="1480" w:type="dxa"/>
            <w:vAlign w:val="bottom"/>
            <w:gridSpan w:val="2"/>
            <w:shd w:val="clear" w:color="auto" w:fill="CFF0FC"/>
          </w:tcPr>
          <w:p>
            <w:pPr>
              <w:jc w:val="center"/>
              <w:ind w:left="213"/>
              <w:spacing w:after="0"/>
              <w:rPr>
                <w:sz w:val="20"/>
                <w:szCs w:val="20"/>
                <w:color w:val="auto"/>
              </w:rPr>
            </w:pPr>
            <w:r>
              <w:rPr>
                <w:rFonts w:ascii="Arial" w:cs="Arial" w:eastAsia="Arial" w:hAnsi="Arial"/>
                <w:sz w:val="18"/>
                <w:szCs w:val="18"/>
                <w:color w:val="auto"/>
                <w:w w:val="92"/>
              </w:rPr>
              <w:t>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60"/>
              <w:spacing w:after="0"/>
              <w:rPr>
                <w:sz w:val="20"/>
                <w:szCs w:val="20"/>
                <w:color w:val="auto"/>
              </w:rPr>
            </w:pPr>
            <w:r>
              <w:rPr>
                <w:rFonts w:ascii="Arial" w:cs="Arial" w:eastAsia="Arial" w:hAnsi="Arial"/>
                <w:sz w:val="18"/>
                <w:szCs w:val="18"/>
                <w:color w:val="auto"/>
              </w:rPr>
              <w:t>Other services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1,683</w:t>
            </w:r>
          </w:p>
        </w:tc>
        <w:tc>
          <w:tcPr>
            <w:tcW w:w="1460" w:type="dxa"/>
            <w:vAlign w:val="bottom"/>
            <w:gridSpan w:val="2"/>
          </w:tcPr>
          <w:p>
            <w:pPr>
              <w:jc w:val="center"/>
              <w:ind w:left="213"/>
              <w:spacing w:after="0"/>
              <w:rPr>
                <w:sz w:val="20"/>
                <w:szCs w:val="20"/>
                <w:color w:val="auto"/>
              </w:rPr>
            </w:pPr>
            <w:r>
              <w:rPr>
                <w:rFonts w:ascii="Arial" w:cs="Arial" w:eastAsia="Arial" w:hAnsi="Arial"/>
                <w:sz w:val="18"/>
                <w:szCs w:val="18"/>
                <w:color w:val="auto"/>
                <w:w w:val="87"/>
              </w:rPr>
              <w:t>1.1%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1,868</w:t>
            </w:r>
          </w:p>
        </w:tc>
        <w:tc>
          <w:tcPr>
            <w:tcW w:w="1480" w:type="dxa"/>
            <w:vAlign w:val="bottom"/>
            <w:gridSpan w:val="2"/>
          </w:tcPr>
          <w:p>
            <w:pPr>
              <w:jc w:val="center"/>
              <w:ind w:left="213"/>
              <w:spacing w:after="0"/>
              <w:rPr>
                <w:sz w:val="20"/>
                <w:szCs w:val="20"/>
                <w:color w:val="auto"/>
              </w:rPr>
            </w:pPr>
            <w:r>
              <w:rPr>
                <w:rFonts w:ascii="Arial" w:cs="Arial" w:eastAsia="Arial" w:hAnsi="Arial"/>
                <w:sz w:val="18"/>
                <w:szCs w:val="18"/>
                <w:color w:val="auto"/>
                <w:w w:val="92"/>
              </w:rPr>
              <w:t>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Fiber Infrastructure revenues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158,160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134,356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June 30, 2019, we had approximately 19,707 customer connections, up from 17,559 customer connections at June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i w:val="1"/>
          <w:iCs w:val="1"/>
          <w:color w:val="auto"/>
        </w:rPr>
        <w:t xml:space="preserve"> </w:t>
      </w:r>
      <w:r>
        <w:rPr>
          <w:rFonts w:ascii="Arial" w:cs="Arial" w:eastAsia="Arial" w:hAnsi="Arial"/>
          <w:sz w:val="18"/>
          <w:szCs w:val="18"/>
          <w:color w:val="auto"/>
        </w:rPr>
        <w:t>– Towers revenues for the six months ended June 30, 2019 and 2018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Six Months Ended June 30,</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5860" w:type="dxa"/>
            <w:vAlign w:val="bottom"/>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20"/>
                <w:szCs w:val="20"/>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 of Total</w:t>
            </w:r>
          </w:p>
        </w:tc>
        <w:tc>
          <w:tcPr>
            <w:tcW w:w="240" w:type="dxa"/>
            <w:vAlign w:val="bottom"/>
          </w:tcPr>
          <w:p>
            <w:pPr>
              <w:spacing w:after="0"/>
              <w:rPr>
                <w:sz w:val="20"/>
                <w:szCs w:val="20"/>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20"/>
                <w:szCs w:val="20"/>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 of Total</w:t>
            </w:r>
          </w:p>
        </w:tc>
      </w:tr>
      <w:tr>
        <w:trPr>
          <w:trHeight w:val="237"/>
        </w:trPr>
        <w:tc>
          <w:tcPr>
            <w:tcW w:w="5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Towers revenues:</w:t>
            </w:r>
          </w:p>
        </w:tc>
        <w:tc>
          <w:tcPr>
            <w:tcW w:w="22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CFF0FC"/>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5,674</w:t>
            </w:r>
          </w:p>
        </w:tc>
        <w:tc>
          <w:tcPr>
            <w:tcW w:w="3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69.0%</w:t>
            </w:r>
          </w:p>
        </w:tc>
        <w:tc>
          <w:tcPr>
            <w:tcW w:w="3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1,256</w:t>
            </w:r>
          </w:p>
        </w:tc>
        <w:tc>
          <w:tcPr>
            <w:tcW w:w="3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21.5%</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Latin America</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2,552</w:t>
            </w:r>
          </w:p>
        </w:tc>
        <w:tc>
          <w:tcPr>
            <w:tcW w:w="3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31.0%</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4,586</w:t>
            </w:r>
          </w:p>
        </w:tc>
        <w:tc>
          <w:tcPr>
            <w:tcW w:w="32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78.5%</w:t>
            </w:r>
          </w:p>
        </w:tc>
        <w:tc>
          <w:tcPr>
            <w:tcW w:w="100" w:type="dxa"/>
            <w:vAlign w:val="bottom"/>
            <w:shd w:val="clear" w:color="auto" w:fill="CFF0FC"/>
          </w:tcPr>
          <w:p>
            <w:pPr>
              <w:spacing w:after="0"/>
              <w:rPr>
                <w:sz w:val="19"/>
                <w:szCs w:val="19"/>
                <w:color w:val="auto"/>
              </w:rPr>
            </w:pPr>
          </w:p>
        </w:tc>
      </w:tr>
      <w:tr>
        <w:trPr>
          <w:trHeight w:val="223"/>
        </w:trPr>
        <w:tc>
          <w:tcPr>
            <w:tcW w:w="5860" w:type="dxa"/>
            <w:vAlign w:val="bottom"/>
          </w:tcPr>
          <w:p>
            <w:pPr>
              <w:ind w:left="50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8,226</w:t>
            </w:r>
          </w:p>
        </w:tc>
        <w:tc>
          <w:tcPr>
            <w:tcW w:w="30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5,842</w:t>
            </w:r>
          </w:p>
        </w:tc>
        <w:tc>
          <w:tcPr>
            <w:tcW w:w="32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increase in revenue for the six months ended June 30, 2019, compared to the six months ended June 30, 2018, is primarily driven by our development activities in the U.S., and the inclusion of a non-recurring charge of $1.1 million related to the accounting 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straight line rents in our U.S. operations during the six months ended June 30, 2018. For six months ended June 30, 2019, we completed the construction of 143 towers in the U.S. At June 30, 2019, the Uniti Towers’ domestic portfolio consisted of 573 wireless communications towers located in 30 states across the eastern and central regions in the United States, an increase from 305 wireless communications towers at June 30, 2018. The decrease in revenues in Latin America compared to the six months ended June 30, 2018 is due to the April 2, 2019 sale of our Latin American tower portfolio.</w:t>
      </w:r>
    </w:p>
    <w:p>
      <w:pPr>
        <w:spacing w:after="0" w:line="15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six months ended June 30, 2019, we recognized $5.9 million of revenue from the Consumer CLEC Business, compared to $7.4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June 30, 2018. The decrease is primarily attributable to a loss of customers during the period. We served 20,300 customers as of June 30, 2019, a 19.1% decrease from 25,100 customers served at June 30, 2018. The decrease in customers is due to the effects of competition and customer attrition.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Interest expense for the six months ended June 30, 2019 totaled $182.2 million, which includes non-cash interest expense of $17.7 million resulting from the amortization of our debt discounts and debt issuance costs, partially offset by $2.6 million of capitalized interest. Interest expense for the six months ended June 30, 2018, totaled $157.0 million, which includes non-cash interest expense of $12.1 million resulting from the amortization of our debt discounts and debt issuance costs.</w:t>
      </w:r>
    </w:p>
    <w:p>
      <w:pPr>
        <w:spacing w:after="0" w:line="18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increase is primarily related to an increase of interest expense incurred on the Revolving Credit Facility of $8.4 million due to increased borrowings and higher LIBOR rates compared to the prior year. The increase is also attributed to an increase of interest expense of $11.5 million on the Term Loan Facility and an increase in non-cash interest expense from the amortization of our debt discounts and debt issuance costs of $5.5 million, both as a result from the Fourth Amendment. The Fourth Amendment increased the rate of term loans by 200 basis points effective March 18,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incur depreciation and amortization expense related to our property, plant and equipment, corporate assets and intangible assets. Charges for depreciation and amortization for the six months ended June 30, 2019 totaled $206.4 million (39.2% of revenue), which included property, plant and equipment depreciation of $194.0 million and intangible asset amortization of $12.4 million. Charges for depreciation and amortization for the six months ended June 30, 2018 totaled $229.6 million, which included property, plant and equipment depreciation of $216.9 million and intangible asset amortization of $12.7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General and administrative expenses include compensation costs, including stock-based compensation awards, professional and legal services, corporate office costs and other costs associated with administrative activities. For the six months ended June 30, 2019, general and administrative costs totaled $50.7 million (9.6% of revenue), which includes $2.8 million of costs attributable to the timing of the ITS acquisition that occurred on October 19, 2018, compared to $43.2 million (8.7% of revenue) for the six months ended June 30,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Operating expense for the six months ended June 30, 2019, totaled $78.6 million (15.0% of revenue) compared to $61.4 million (12.4% of revenue) for the six months ended June 30, 2018, which was attributable to the increase in Fiber Infrastructure operating expenses. Operating expense for our reportable segments for the six months ended June 30, 2019 and 2018 consisted of the following:</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2019</w:t>
            </w:r>
          </w:p>
        </w:tc>
        <w:tc>
          <w:tcPr>
            <w:tcW w:w="11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2018</w:t>
            </w:r>
          </w:p>
        </w:tc>
        <w:tc>
          <w:tcPr>
            <w:tcW w:w="1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 of Consolidated</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1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 of Consolidated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560" w:type="dxa"/>
            <w:vAlign w:val="bottom"/>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3"/>
        </w:trPr>
        <w:tc>
          <w:tcPr>
            <w:tcW w:w="5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Operating expenses by segment:</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60"/>
              <w:spacing w:after="0"/>
              <w:rPr>
                <w:sz w:val="20"/>
                <w:szCs w:val="20"/>
                <w:color w:val="auto"/>
              </w:rPr>
            </w:pPr>
            <w:r>
              <w:rPr>
                <w:rFonts w:ascii="Arial" w:cs="Arial" w:eastAsia="Arial" w:hAnsi="Arial"/>
                <w:sz w:val="18"/>
                <w:szCs w:val="18"/>
                <w:color w:val="auto"/>
              </w:rPr>
              <w:t>Fiber Infrastructure</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68,491</w:t>
            </w:r>
          </w:p>
        </w:tc>
        <w:tc>
          <w:tcPr>
            <w:tcW w:w="1460" w:type="dxa"/>
            <w:vAlign w:val="bottom"/>
            <w:gridSpan w:val="2"/>
          </w:tcPr>
          <w:p>
            <w:pPr>
              <w:jc w:val="center"/>
              <w:ind w:left="214"/>
              <w:spacing w:after="0"/>
              <w:rPr>
                <w:sz w:val="20"/>
                <w:szCs w:val="20"/>
                <w:color w:val="auto"/>
              </w:rPr>
            </w:pPr>
            <w:r>
              <w:rPr>
                <w:rFonts w:ascii="Arial" w:cs="Arial" w:eastAsia="Arial" w:hAnsi="Arial"/>
                <w:sz w:val="18"/>
                <w:szCs w:val="18"/>
                <w:color w:val="auto"/>
                <w:w w:val="93"/>
              </w:rPr>
              <w:t>13.0%</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51,495</w:t>
            </w:r>
          </w:p>
        </w:tc>
        <w:tc>
          <w:tcPr>
            <w:tcW w:w="1480" w:type="dxa"/>
            <w:vAlign w:val="bottom"/>
            <w:gridSpan w:val="2"/>
          </w:tcPr>
          <w:p>
            <w:pPr>
              <w:jc w:val="center"/>
              <w:ind w:left="214"/>
              <w:spacing w:after="0"/>
              <w:rPr>
                <w:sz w:val="20"/>
                <w:szCs w:val="20"/>
                <w:color w:val="auto"/>
              </w:rPr>
            </w:pPr>
            <w:r>
              <w:rPr>
                <w:rFonts w:ascii="Arial" w:cs="Arial" w:eastAsia="Arial" w:hAnsi="Arial"/>
                <w:sz w:val="18"/>
                <w:szCs w:val="18"/>
                <w:color w:val="auto"/>
                <w:w w:val="90"/>
              </w:rPr>
              <w:t>10.4%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Towers</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4,566</w:t>
            </w:r>
          </w:p>
        </w:tc>
        <w:tc>
          <w:tcPr>
            <w:tcW w:w="146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87"/>
              </w:rPr>
              <w:t>0.9%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4,220</w:t>
            </w:r>
          </w:p>
        </w:tc>
        <w:tc>
          <w:tcPr>
            <w:tcW w:w="148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92"/>
              </w:rPr>
              <w:t>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60"/>
              <w:spacing w:after="0"/>
              <w:rPr>
                <w:sz w:val="20"/>
                <w:szCs w:val="20"/>
                <w:color w:val="auto"/>
              </w:rPr>
            </w:pPr>
            <w:r>
              <w:rPr>
                <w:rFonts w:ascii="Arial" w:cs="Arial" w:eastAsia="Arial" w:hAnsi="Arial"/>
                <w:sz w:val="18"/>
                <w:szCs w:val="18"/>
                <w:color w:val="auto"/>
              </w:rPr>
              <w:t>CLEC</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4,723</w:t>
            </w:r>
          </w:p>
        </w:tc>
        <w:tc>
          <w:tcPr>
            <w:tcW w:w="1460" w:type="dxa"/>
            <w:vAlign w:val="bottom"/>
            <w:gridSpan w:val="2"/>
          </w:tcPr>
          <w:p>
            <w:pPr>
              <w:jc w:val="center"/>
              <w:ind w:left="214"/>
              <w:spacing w:after="0"/>
              <w:rPr>
                <w:sz w:val="20"/>
                <w:szCs w:val="20"/>
                <w:color w:val="auto"/>
              </w:rPr>
            </w:pPr>
            <w:r>
              <w:rPr>
                <w:rFonts w:ascii="Arial" w:cs="Arial" w:eastAsia="Arial" w:hAnsi="Arial"/>
                <w:sz w:val="18"/>
                <w:szCs w:val="18"/>
                <w:color w:val="auto"/>
                <w:w w:val="87"/>
              </w:rPr>
              <w:t>0.9%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5,545</w:t>
            </w:r>
          </w:p>
        </w:tc>
        <w:tc>
          <w:tcPr>
            <w:tcW w:w="1480" w:type="dxa"/>
            <w:vAlign w:val="bottom"/>
            <w:gridSpan w:val="2"/>
          </w:tcPr>
          <w:p>
            <w:pPr>
              <w:jc w:val="center"/>
              <w:ind w:left="214"/>
              <w:spacing w:after="0"/>
              <w:rPr>
                <w:sz w:val="20"/>
                <w:szCs w:val="20"/>
                <w:color w:val="auto"/>
              </w:rPr>
            </w:pPr>
            <w:r>
              <w:rPr>
                <w:rFonts w:ascii="Arial" w:cs="Arial" w:eastAsia="Arial" w:hAnsi="Arial"/>
                <w:sz w:val="18"/>
                <w:szCs w:val="18"/>
                <w:color w:val="auto"/>
                <w:w w:val="92"/>
              </w:rPr>
              <w:t>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Leasing</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w:t>
            </w:r>
          </w:p>
        </w:tc>
        <w:tc>
          <w:tcPr>
            <w:tcW w:w="146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87"/>
              </w:rPr>
              <w:t>0.2%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48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92"/>
              </w:rPr>
              <w:t>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78,581</w:t>
            </w:r>
          </w:p>
        </w:tc>
        <w:tc>
          <w:tcPr>
            <w:tcW w:w="3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15.0%</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61,426</w:t>
            </w:r>
          </w:p>
        </w:tc>
        <w:tc>
          <w:tcPr>
            <w:tcW w:w="3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560" w:type="dxa"/>
            <w:vAlign w:val="bottom"/>
          </w:tcPr>
          <w:p>
            <w:pPr>
              <w:spacing w:after="0"/>
              <w:rPr>
                <w:sz w:val="24"/>
                <w:szCs w:val="24"/>
                <w:color w:val="auto"/>
              </w:rPr>
            </w:pP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50</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six months ended June 30, 2019, Fiber Infrastructure operating expenses totaled $68.5 million as compared to $51.5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2018. Operating expense consists of network related costs, such as dark fiber and tower rents, and lit service and maintenance expense. In addition, costs associated with our construction activities are presented within operating expenses. The increase in operating expenses is primarily attributable to the timing of the ITS acquisition that occurred on October 19, 2018, which incurred operating expenses of $12.4 million for the six months ended June 30, 2019.</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i w:val="1"/>
          <w:iCs w:val="1"/>
          <w:color w:val="auto"/>
        </w:rPr>
        <w:t xml:space="preserve"> </w:t>
      </w:r>
      <w:r>
        <w:rPr>
          <w:rFonts w:ascii="Arial" w:cs="Arial" w:eastAsia="Arial" w:hAnsi="Arial"/>
          <w:sz w:val="18"/>
          <w:szCs w:val="18"/>
          <w:color w:val="auto"/>
        </w:rPr>
        <w:t>– Our Towers segment operating expense primarily consists of ground rent, some or all of which may be passed to our tenants, as well as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fees and maintenance and repairs. For the six months ended June 30, 2019, Towers operating expense included $2.5 million of ground rent expense, compared to $2.2 million for the six months ended June 30, 2018. The change is attributable to a $1.2 million increase in operating expenses attributable to our development activity in the United States and the increase in completed towers at June 30, 2019 from June 30, 2018, partially offset by the April 2, 2019 sale of the Latin American tower business, which incurred a $0.8 million decrease for the six months ended June 30, 2019 compared to the six months ended June 30, 2018.</w:t>
      </w:r>
    </w:p>
    <w:p>
      <w:pPr>
        <w:spacing w:after="0" w:line="19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u w:val="single" w:color="auto"/>
          <w:color w:val="auto"/>
        </w:rPr>
        <w:t>Consumer CLEC</w:t>
      </w:r>
      <w:r>
        <w:rPr>
          <w:rFonts w:ascii="Arial" w:cs="Arial" w:eastAsia="Arial" w:hAnsi="Arial"/>
          <w:sz w:val="16"/>
          <w:szCs w:val="16"/>
          <w:i w:val="1"/>
          <w:iCs w:val="1"/>
          <w:color w:val="auto"/>
        </w:rPr>
        <w:t xml:space="preserve"> </w:t>
      </w:r>
      <w:r>
        <w:rPr>
          <w:rFonts w:ascii="Arial" w:cs="Arial" w:eastAsia="Arial" w:hAnsi="Arial"/>
          <w:sz w:val="16"/>
          <w:szCs w:val="16"/>
          <w:color w:val="auto"/>
        </w:rPr>
        <w:t>– Expense associated with the Consumer CLEC Business is primarily attributable to the Wholesale Agreement and the Master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entered into between us and Windstream in connection with the Spin-Off, and includes costs arising under the interconnection agreements with other telecommunication carriers. Expense associated with the Wholesale Agreement and Master Services Agreement for the six months ended June 30, 2019 totaled $3.3 million (0.6% of revenue) and $0.3 million (0.1% of revenue), respectively, and expense associated with the Wholesale Agreement and Master Services Agreement for the six months ended June 30, 2018 totaled $4.1 million (0.8% of revenue) and $0.4 million (0.1% of revenue),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Real Estate</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For the six months ended June 30, 2019, we recognized in other income realized gains of $23.8 million (4.5% of revenue) and $5.0 million (0.9% of revenue) related to the April 2, 2019 sale of the Uniti Towers’ Latin American business and May 23, 2019 sale of U.S. ground lease business,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recognized in other income a $25.5 million unrealized gain for mark-to-market adjustments on our contingent consideration arrangements for the six months ended June 30, 2019, compared to a $0.5 million unrealized gain for mark-to-market adjustments on our contingent consideration arrangements for the six months ended June 30,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recorded a $11.9 million income tax expense for the six months ended June 30, 2019. Included in income tax expense is approximately (i) $4.6 million of income tax expense related to the cancellation of debt income that was recognized for federal income tax purposes as a result of the Fourth Amendment, (ii) approximately $4.6 million of income tax expense related to capital gain from the sale of Uniti Towers’ Latin American business, (iii) approximately $2.7 million of income tax expense related to undistributed income from operations and (iv) approximately $2.4 million of income tax expense attributable to unrecognized tax benefit related to the sale of Uniti Towers’ Latin American business. Additionally, we recorded a $2.6 million income tax benefit related to our Fiber Infrastructure segment. We recorded a $3.7 million income tax benefit for the six months ended June 30, 2018, $1.3 million of which relates to the impact of the reduction in the corporate tax rate under the Tax Bill on purchase price allocation adjustments recorded during the three months ended June 30, 2018 and the remainder of which is primarily driven by pre-tax loss in our Fiber Infrastructure segment.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refer to EBITDA, Adjusted EBITDA, Funds From Operations ("FFO") (as defined by the National Association of Real Estate Investment Trusts ("NAREIT"))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and AFFO are important non-GAAP supplemental measures of operating performance for a REIT.</w:t>
      </w:r>
    </w:p>
    <w:p>
      <w:pPr>
        <w:spacing w:after="0" w:line="18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define "EBITDA" as net income, as defined by GAAP, before interest expense, provision for income taxes and depreciation and amortization. We define "Adjusted EBITDA" as EBITDA before stock-based compensation expense and the impact, which may be recurring in nature, of transaction and integration related costs (collectively, "transaction related costs"), the write-off of unamortized deferred financing costs, costs incurred as a result of the early repayment of debt, changes in the fair value of contingent consideration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and financial instruments, and other similar items (although we may not have had such charges in the periods presented). We believe EBITDA and Adjusted EBITDA are important supplemental measures to net income because they provide additional information to evaluate our operating performance on an unleveraged basis. Since EBITDA and Adjusted EBITDA are not measures calculated in accordance with GAAP, they should not be considered as an alternative to net income determined in accordance with GAAP.</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attributable to common shareholders computed in accordance with GAAP, excluding gains or losses from real estate dispositions, plus real estate depreciation and amortization and impairment charges. We compute FFO in accordance with NAREIT's definition.</w:t>
      </w:r>
    </w:p>
    <w:p>
      <w:pPr>
        <w:spacing w:after="0" w:line="17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define AFFO as FFO excluding (i) transaction related costs; (ii) Windstream bankruptcy related expenses; (iii) certain non-cash revenues and expenses such as stock-based compensation expense, amortization of debt and equity discounts, amortization of deferred financing costs, depreciation and amortization of non-real estate assets, straight-line revenues, non-cash income taxes, and the amortization of other non-cash revenues to the extent that cash has not been received, such as revenue associated with the amortization of TCIs; and (iv) the impact, which may be recurring in nature, of the write-off of unamortized deferred financing fees, additional costs incurred as a result of the early repayment of debt, taxes associated with tax basis cancellation of debt, changes in the fair value of contingent consideration and financial instruments and similar items less maintenance capital expenditures. We believe that the use of 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related costs. The Company uses FFO and AFFO, and their respective per share amounts, only as performance measures, and FFO and AFFO do not purport to be indicative of cash available to fund our future cash requirements. While FFO and AFFO are relevant and widely used measures of operating performance of REITs, they do not represent cash flows from operations or net income as defined by GAAP and should not be considered an alternative to those measures in evaluating our liquidity or operating performance.</w:t>
      </w:r>
    </w:p>
    <w:p>
      <w:pPr>
        <w:spacing w:after="0" w:line="17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Further, 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reconciliation of our net income to EBITDA and Adjusted EBITDA and of our net income attributable to common shareholders to FFO and AFFO for the three and six months ended June 30, 2019 and 2018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vMerge w:val="restart"/>
          </w:tcPr>
          <w:p>
            <w:pPr>
              <w:spacing w:after="0"/>
              <w:rPr>
                <w:sz w:val="20"/>
                <w:szCs w:val="20"/>
                <w:color w:val="auto"/>
              </w:rPr>
            </w:pPr>
            <w:r>
              <w:rPr>
                <w:rFonts w:ascii="Arial" w:cs="Arial" w:eastAsia="Arial" w:hAnsi="Arial"/>
                <w:sz w:val="14"/>
                <w:szCs w:val="14"/>
                <w:color w:val="auto"/>
              </w:rPr>
              <w:t>(Thousands)</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2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4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420" w:type="dxa"/>
            <w:vAlign w:val="bottom"/>
            <w:tcBorders>
              <w:bottom w:val="single" w:sz="8" w:color="CFF0FC"/>
            </w:tcBorders>
            <w:vMerge w:val="continue"/>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top w:val="single" w:sz="8" w:color="auto"/>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39,547</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42,039</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102,578</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114,842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206,405</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229,563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97,729</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79,385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182,187</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7,843</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(2,646)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11,897</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(3,742)</w:t>
            </w: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EBITDA</w:t>
            </w:r>
          </w:p>
        </w:tc>
        <w:tc>
          <w:tcPr>
            <w:tcW w:w="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247,697</w:t>
            </w:r>
          </w:p>
        </w:tc>
        <w:tc>
          <w:tcPr>
            <w:tcW w:w="3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4"/>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187,988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442,528</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380,451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3,197</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5,085</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Transaction related costs</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7,035</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13,704</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(28,790)</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(28,790)</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(22,275)</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(25,388)</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206,864</w:t>
            </w:r>
          </w:p>
        </w:tc>
        <w:tc>
          <w:tcPr>
            <w:tcW w:w="3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197,011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407,139</w:t>
            </w:r>
          </w:p>
        </w:tc>
        <w:tc>
          <w:tcPr>
            <w:tcW w:w="3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4420" w:type="dxa"/>
            <w:vAlign w:val="bottom"/>
            <w:vMerge w:val="restart"/>
          </w:tcPr>
          <w:p>
            <w:pPr>
              <w:spacing w:after="0"/>
              <w:rPr>
                <w:sz w:val="20"/>
                <w:szCs w:val="20"/>
                <w:color w:val="auto"/>
              </w:rPr>
            </w:pPr>
            <w:r>
              <w:rPr>
                <w:rFonts w:ascii="Arial" w:cs="Arial" w:eastAsia="Arial" w:hAnsi="Arial"/>
                <w:sz w:val="14"/>
                <w:szCs w:val="14"/>
                <w:color w:val="auto"/>
              </w:rPr>
              <w:t>(Thousands)</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420" w:type="dxa"/>
            <w:vAlign w:val="bottom"/>
            <w:tcBorders>
              <w:bottom w:val="single" w:sz="8" w:color="CFF0FC"/>
            </w:tcBorders>
            <w:vMerge w:val="continue"/>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top w:val="single" w:sz="8" w:color="auto"/>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2"/>
              </w:rPr>
              <w:t>Net income (loss) attributable to common shareholders</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38,246</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39,259</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Real estate depreciation and amortization</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82,436</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95,399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166,162</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on sale of real estate assets, net of tax</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(24,215)</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(24,215)</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Participating securities share in earnings</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Participating securities share in FFO</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(541)</w:t>
            </w:r>
          </w:p>
        </w:tc>
        <w:tc>
          <w:tcPr>
            <w:tcW w:w="8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(658)</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(569)</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Adjustments for noncontrolling interests</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(1,181)</w:t>
            </w:r>
          </w:p>
        </w:tc>
        <w:tc>
          <w:tcPr>
            <w:tcW w:w="8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(2,200)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(3,034)</w:t>
            </w: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(4,405)</w:t>
            </w: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FFO attributable to common shareholders</w:t>
            </w:r>
          </w:p>
        </w:tc>
        <w:tc>
          <w:tcPr>
            <w:tcW w:w="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94,968</w:t>
            </w:r>
          </w:p>
        </w:tc>
        <w:tc>
          <w:tcPr>
            <w:tcW w:w="3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4"/>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87,637</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177,854</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180,139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Transaction related costs</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7,035</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3,789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13,704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(22,275)</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(25,531)</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w w:val="91"/>
              </w:rPr>
              <w:t>Amortization of deferred financing costs and debt discount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10,786</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17,659</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based compensation</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3,197</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5,085</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Non-real estate depreciation and amortization</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20,142</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40,243</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38,587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Straight-line revenues</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(693)</w:t>
            </w:r>
          </w:p>
        </w:tc>
        <w:tc>
          <w:tcPr>
            <w:tcW w:w="8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(2,808)</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(1,416)</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(7,400)</w:t>
            </w: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Maintenance capital expenditures</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(1,923)</w:t>
            </w:r>
          </w:p>
        </w:tc>
        <w:tc>
          <w:tcPr>
            <w:tcW w:w="8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(4,726)</w:t>
            </w: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8"/>
              </w:rPr>
              <w:t>Amortization of discount on convertible preferred stock</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Cash taxes on tax basis cancellation of debt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4,590</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non-cash items, net</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(5,967)</w:t>
            </w:r>
          </w:p>
        </w:tc>
        <w:tc>
          <w:tcPr>
            <w:tcW w:w="8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(9,678)</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(15,649)</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(17,260)</w:t>
            </w: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Adjustments for noncontrolling interests</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(219)</w:t>
            </w:r>
          </w:p>
        </w:tc>
        <w:tc>
          <w:tcPr>
            <w:tcW w:w="8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(735)</w:t>
            </w: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AFFO attributable to common shareholders</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105,299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694"/>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109,355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212,071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218,027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We make certain judgments and use certain estimates and assumptions when applying accounting principles in the preparation of our Condensed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revenue recognition, useful lives of assets, the impairment of property, plant and equipment, goodwill impairment and business combinations as critical accounting estimates, as they are the most important to our financial statement presentation and require difficult, subjective and complex judgments.</w:t>
      </w:r>
    </w:p>
    <w:p>
      <w:pPr>
        <w:spacing w:after="0" w:line="15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believe the current assumptions and other considerations used to estimate amounts reflected in our accompanying Condensed Consolidated Financial Statements are appropriate. However, if actual experience differs from the assumptions and other considerations used in estimating amounts reflected in our Condensed Consolidated Financial Statements, the resulting changes could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have a material adverse effect on our consolidated results of operations and, in certain situations, could have a material adverse effect on our financial condition.</w:t>
      </w:r>
    </w:p>
    <w:p>
      <w:pPr>
        <w:spacing w:after="0" w:line="1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For further information on our critical accounting estimates, see “Management’s Discussion and Analysis of Financial Condition and Results of Operations” and the notes to our audited financial statements included in our Annual Report on Form 10-K for the year ended December 31, 2018, filed with the SEC on March 18, 2019. As of June 30, 2019, there has been no material change to these estimates.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Our principal liquidity needs are to fund operating expenses, meet debt service requirements, fund investment activities, including capital expenditures, and make dividend distributions. Our primary sources of liquidity and capital resources are cash on hand, cash provided by operating activities (primarily arising under the Master Lease with Windstream), available borrowings under our credit agreement by and among the Operating Partnership, CSL Capital, LLC and Uniti Group Finance Inc., the guarantors and lenders party thereto and Bank of America, N.A., as administrative agent and collateral agent (the “Credit Agreement”), and proceeds from the issuance of debt and equity securities.</w:t>
      </w:r>
    </w:p>
    <w:p>
      <w:pPr>
        <w:spacing w:after="0" w:line="17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As of June 30, 2019, we had cash and cash equivalents of $299.4 million. There have been no material outlays of funds subsequent to June 30, 2019. Our Revolving Credit Facility is subject to various conditions, including a maximum secured leverage ratio of 5.0:1. In addition, if we incur debt under our Revolving Credit Facility or otherwise such that our total leverage ratio exceeds 6.5:1, our debt instruments would impose significant restrictions on our ability to pay dividends.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Cash provided by operating activities was $250.4 million and $231.0 million for the six months ended June 30, 2019 and 2018, respectively. Cash provided by operating activities is primarily attributable to our leasing activities.</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Cash used in investing activities was $57.2 million for the six months ended June 30, 2019, which was driven by capital expenditures ($180.5 million), primarily related to our Uniti Fiber and Uniti Towers businesses, partially offset by proceeds related to the sale of Uniti Towers’ Latin American and ground lease businesses ($127.5 million). Cash used in investing activities was $164.6 million for the six months ended June 30, 2018, which was driven by capital expenditures ($163.5 million), primarily related to our Uniti Fiber and Uniti Leasing businesses. The increase in capital expenditures is due to network deployments related to our Uniti Fiber and Uniti Towers businesses.</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Cash provided by financing activities was $68.2 million for the six months ended June 30, 2019, which primarily represents the proceeds from issuance of notes ($345.0 million), proceeds from sale of the Warrants ($50.8 million) and net proceeds under our ATM program ($21.6 million). This was partially offset by dividend payments ($120.2 million), payment for bond hedge option ($70.0 million), net repayments under the Revolving Credit Facility ($65.0 million), payments for financing costs ($49.5 million), contingent consideration payments ($28.2 million), principal payments related to the Term Loan Facility ($10.5 million) and distributions paid to noncontrolling interests ($2.7 million). Cash used in financing activities was $49.5 million for the six months ended June 30, 2018, which primarily represents the dividend payments ($212.0 million), contingent consideration payments ($12.7 million), principal payments related to the Term Loan Facility ($10.5 million), and distributions paid to noncontrolling interests ($5.0 million), partially offset by net borrowings under the Revolving Credit Facility ($195 million).</w:t>
      </w:r>
    </w:p>
    <w:p>
      <w:pPr>
        <w:spacing w:after="0" w:line="19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On June 28, 2019, Uniti Fiber issued $345 million aggregate principal amount of the Exchangeable Notes. The Exchangeable Notes are guaranteed by the Company and each of the Company’s subsidiaries (other than Uniti Fiber) that is an issuer, obligor or guarantor under the Company’s Notes. The Exchangeable Notes bear interest at a fixed rate of 4.00% per year, payable semiannually in arrears on June 15 and December 15 of each year, beginning on December 15, 2019. The Exchangeable Notes are exchangeable into cash, shares of the Company’s common stock, or a combination thereof, at Uniti Fiber’s election. The Exchangeable Notes will mature on June 15, 2024, unless earlier exchanged, redeemed or repurchased. The Exchangeable Notes were sold to qualified institutional buyers pursuant to Rule 144A under the Securities Act. See Note 11 to our accompanying Condensed Consolidated Financial Statements contained in Part I, Item 1 of this Quarterly Report on Form 10-Q for additional information.</w:t>
      </w:r>
    </w:p>
    <w:p>
      <w:pPr>
        <w:spacing w:after="0" w:line="17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The net proceeds from the sale of the Exchangeable Notes were approximately $334.7 million, after deducting discounts and commissions to the Initial Purchasers and other estimated fees and expenses. A portion of the net proceeds were used to repay outstanding borrowings under the Revolving Credit Facility, as described above, and to pay the approximately $70.0 million cost associated with the exchangeable note hedge transactions, as described in Note 9 to our accompanying Condensed Consolidated Financial Statements contained in Part I, Item 1 </w:t>
      </w:r>
      <w:r>
        <w:rPr>
          <w:rFonts w:ascii="Arial" w:cs="Arial" w:eastAsia="Arial" w:hAnsi="Arial"/>
          <w:sz w:val="16"/>
          <w:szCs w:val="16"/>
          <w:i w:val="1"/>
          <w:iCs w:val="1"/>
          <w:color w:val="auto"/>
        </w:rPr>
        <w:t>Financial Statements</w:t>
      </w:r>
      <w:r>
        <w:rPr>
          <w:rFonts w:ascii="Arial" w:cs="Arial" w:eastAsia="Arial" w:hAnsi="Arial"/>
          <w:sz w:val="16"/>
          <w:szCs w:val="16"/>
          <w:color w:val="auto"/>
        </w:rPr>
        <w:t>. The remaining net proceeds will be used for general corporate purposes, which may include funding acquisitions (including BlueBird) and the repayment of additional borrowings under the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Revolving Credit Facility. The Company also received approximately $50.8 million from the sale of warrants, as described in Note 9 to our accompany Condensed Consolidated Financial Statements contained in Part I, Item 1 of this Quarterly Report on Form 10-Q.</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established an at the market common stock offering program (the “ATM Program”) to sell shares of common stock having an aggregate offering price of up to $250 million. The ATM Program is currently suspended following the June 15, 2019 expiration of our shelf registration statement. As of June 30, 2019, we have approximately $117.1 million available for issuance under the ATM Program. This program provides additional financial flexibility and an alternative mechanism to access the capital markets at an efficient cost as and when we need financing, including for acquisitions. In addition, our UPREIT structure enables us to acquire properties by issuing to sellers, as a form of consideration, limited partnership interests in our operating partnership, (commonly called “OP Units”). We believe that this structure will facilitate our ability to acquire individual properties and portfolios of properties by enabling us to structure transactions which will defer taxes payable by a seller while preserving our available cash for other purposes, including the possible payment of dividends.</w:t>
      </w:r>
    </w:p>
    <w:p>
      <w:pPr>
        <w:spacing w:after="0" w:line="19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anticipate continuing to invest in our network infrastructure across our Uniti Leasing, Uniti Fiber and Uniti Towers portfolios. We have also committed to spend $175 million on our proposed acquisition of Bluebird, net of the collection of prepaid rent. We anticipate declaring dividends for the 2019 tax year to comply with our REIT distribution requirements, although such dividends are expected to be lower than in prior periods. We anticipate that we will partially finance these needs, together with operating expenses (including debt service) from our $299.4 million of cash on hand, including proceeds from the Exchangeable Notes offering, cash flows provided by operating activities, together with funds anticipated from announced divestures. However, we may need to access the capital markets to generate additional funds that will be sufficient to fund our business operations, announced investment activities, capital expenditures, debt service and distributions to our shareholders. We are closely monitoring the equity and debt markets and will seek to access them promptly when we determine market conditions are appropriate.</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or we are unable to access the capital markets as we anticipate, we could be subject to a shortfall in liquidity in the future which could lead to a reduction in our capital expenditures and/or dividends. If this shortfall occurs rapidly and with little or no notice, it could limit our ability to address the shortfall on a timely basis.</w:t>
      </w:r>
    </w:p>
    <w:p>
      <w:pPr>
        <w:spacing w:after="0" w:line="19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addition to exploring potential capital markets transactions, the Company regularly evaluates market conditions, its liquidity profile, and various financing alternatives for opportunities to enhance its capital structure. If opportunities are favorable, the Company may refinance or repurchase existing</w:t>
      </w:r>
    </w:p>
    <w:p>
      <w:pPr>
        <w:spacing w:after="0" w:line="261" w:lineRule="auto"/>
        <w:rPr>
          <w:sz w:val="20"/>
          <w:szCs w:val="20"/>
          <w:color w:val="auto"/>
        </w:rPr>
      </w:pPr>
      <w:r>
        <w:rPr>
          <w:rFonts w:ascii="Arial" w:cs="Arial" w:eastAsia="Arial" w:hAnsi="Arial"/>
          <w:sz w:val="18"/>
          <w:szCs w:val="18"/>
          <w:color w:val="auto"/>
        </w:rPr>
        <w:t>debt. However, there can be no assurances that any debt refinancing would be on similar or more favorable terms than our existing arrangements. This would include the risk that interest rates could increase and/or there may be changes to our existing covenants.</w:t>
      </w:r>
    </w:p>
    <w:p>
      <w:pPr>
        <w:spacing w:after="0" w:line="18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June 24, 2019, we entered into the Fifth Amendment to our Credit Agreement to extend the maturity date of $575.9 million of commitments under the Revolving Credit Facility to April 24, 2022, pay down approximately $101.6 million of outstanding revolving loans and terminate the related commitments. The maturity date of approximately $72.4 million of other commitments was not extended. On June 28, 2019, the Company repaid approximately $174.0 million in total borrowings, which consisted of the $101.6 million required repayment pursuant to the Fifth Amendment and $72.4 million of non-extended borrowings, thereby terminating the non-extended commitments. As a result, all remaining $575.9 million of commitments will terminate on April 24, 2022, at which time all outstanding borrowings must be repaid. The Company used a portion of the net proceeds from the offering of Exchangeable Notes described above to fund the repayments. The Fifth Amendment increased the applicable margin for base rate loans under the Revolving Credit Facility to a range of 2.75% to 3.25% and for Eurodollar rate loans under the Revolving Credit Facility to a range of 3.75% to 4.25%, calculated in a customary manner and determined based on our consolidated secured leverage ratio.</w:t>
      </w:r>
    </w:p>
    <w:p>
      <w:pPr>
        <w:spacing w:after="0" w:line="18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light of recent developments and uncertainty surrounding Windstream and the effect of substantial doubt about our ability to continue as a going concern, as discussed in Note 2 to our accompanying Condensed Consolidated Financial Statements contained in Part I, Item 1 of this Quarterly Report on Form 10-Q and in Part I, Item 1A "Risk Factors" in our Annual Report on Form 10-K for the year ended December 31, 2018, we have taken measures, and may take further measures to conserve cash as we anticipate that it may be more difficult for us to access the capital markets at attractive rates until such uncertainty is clarified. Windstream has the option to assume or reject the Master Lease. While we believe that the Master Lease is essential to Windstream’s operations, it is difficult to predict what could occur in a restructuring, and even a temporary disruption in payments to us may require us to fund certain expenses and obligations (e.g., real estate taxes, insurance and maintenance expenses) to preserve the value of our properties and avoid the imposition of liens on our properties and could impact our ability to fund other cash obligations, including dividends necessary to maintain REIT status, non-essential capital expenditures and, in an extreme case, our debt service obligations. Windstream has also</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filed claims that allege, among other things, that the Master Lease should be recharacterized as a financing transaction, which would impact its treatment in Windstream’s bankruptcy (including potentially through changing our status to that of a creditor that would share in creditor recoveries from the estate rather than receive rent payments) and could affect our status as a REIT, that the Master Lease is a lease of personal property, and that rent payments and tenant capital improvements made by Windstream under the Master Lease since at least the third quarter of 2017 constitute constructive fraudulent transfers. A rejection of the Master Lease, an adverse determination by a judge on Windstream’s claims, or even a temporary disruption in payments to us, may require us to fund certain expenses and obligations (e.g., real estate taxes, insurance and maintenance expenses) to preserve the value of our properties, and could materially adversely affect our consolidated results of operations, liquidity and financial condition, including our ability to service debt, comply with debt covenants and maintain our status as a REIT.</w:t>
      </w:r>
    </w:p>
    <w:p>
      <w:pPr>
        <w:spacing w:after="0" w:line="1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Although management has concluded the probability of a rejection of the Master Lease to be remote, and has noted the absence of any provision in the Master Lease that contemplates renegotiation of the lease and the lack of any ability of the bankruptcy court to unilaterally reset the rent or terms of the lease, it is difficult to predict what could occur in Windstream’s bankruptcy restructuring, including any judicial decisions in respect of claims against us by Windstream or its creditors. Accordingly, we may elect to suspend, delay or reduce success-based capital expenditures and further reduce dividend payments to conserve cash. However, because our Master Lease is essential to Windstream’s operations, we expect that any disruption in payments by Windstream would be limited. Based on our analysis, including consideration of the timing of petitioners’ requirements to make post-petition lease payments under U.S. bankruptcy law and absent any adverse determination in respect to Windstream’s claims or disruptions in rent payments under the Master Lease, we believe that we have adequate liquidity to continue to fund our operations for twelve months after the issuance of the accompanying Condensed Consolidated Financial Statements included in Part I, Item 1 of this Quarterly Report on Form 10-Q. If our assumptions are incorrect, we could need additional sources of liquidity to fund our cash needs and cannot assure that we will obtain them.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In order to maintain our REIT status, we intend to make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March 18, 2019, we received a limited waiver and amendment to our Credit Agreement (the “Fourth Amendment”). During the pendency of Windstream’s bankruptcy, or at such earlier time when certain conditions are specified, the Fourth Amendment generally limits our ability under the Credit Agreement to pay cash dividends in excess of 90% of our REIT taxable income, determined without regard to the dividends paid deduction and excluding any net capital gains.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below sets out details regarding our cash dividends on our common stock:</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Period</w:t>
            </w:r>
          </w:p>
        </w:tc>
        <w:tc>
          <w:tcPr>
            <w:tcW w:w="24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Payment Date</w:t>
            </w:r>
          </w:p>
        </w:tc>
        <w:tc>
          <w:tcPr>
            <w:tcW w:w="120" w:type="dxa"/>
            <w:vAlign w:val="bottom"/>
          </w:tcPr>
          <w:p>
            <w:pPr>
              <w:spacing w:after="0"/>
              <w:rPr>
                <w:sz w:val="20"/>
                <w:szCs w:val="20"/>
                <w:color w:val="auto"/>
              </w:rPr>
            </w:pPr>
          </w:p>
        </w:tc>
        <w:tc>
          <w:tcPr>
            <w:tcW w:w="2300" w:type="dxa"/>
            <w:vAlign w:val="bottom"/>
            <w:gridSpan w:val="2"/>
          </w:tcPr>
          <w:p>
            <w:pPr>
              <w:ind w:left="40"/>
              <w:spacing w:after="0"/>
              <w:rPr>
                <w:sz w:val="20"/>
                <w:szCs w:val="20"/>
                <w:color w:val="auto"/>
              </w:rPr>
            </w:pPr>
            <w:r>
              <w:rPr>
                <w:rFonts w:ascii="Arial" w:cs="Arial" w:eastAsia="Arial" w:hAnsi="Arial"/>
                <w:sz w:val="18"/>
                <w:szCs w:val="18"/>
                <w:color w:val="auto"/>
              </w:rPr>
              <w:t>Cash Dividend Per Share</w:t>
            </w:r>
          </w:p>
        </w:tc>
        <w:tc>
          <w:tcPr>
            <w:tcW w:w="2300" w:type="dxa"/>
            <w:vAlign w:val="bottom"/>
          </w:tcPr>
          <w:p>
            <w:pPr>
              <w:jc w:val="center"/>
              <w:spacing w:after="0"/>
              <w:rPr>
                <w:sz w:val="20"/>
                <w:szCs w:val="20"/>
                <w:color w:val="auto"/>
              </w:rPr>
            </w:pPr>
            <w:r>
              <w:rPr>
                <w:rFonts w:ascii="Arial" w:cs="Arial" w:eastAsia="Arial" w:hAnsi="Arial"/>
                <w:sz w:val="18"/>
                <w:szCs w:val="18"/>
                <w:color w:val="auto"/>
                <w:w w:val="91"/>
              </w:rPr>
              <w:t>Record Date</w:t>
            </w:r>
          </w:p>
        </w:tc>
      </w:tr>
      <w:tr>
        <w:trPr>
          <w:trHeight w:val="223"/>
        </w:trPr>
        <w:tc>
          <w:tcPr>
            <w:tcW w:w="4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October 1, 2018 - December 31, 2018</w:t>
            </w:r>
          </w:p>
        </w:tc>
        <w:tc>
          <w:tcPr>
            <w:tcW w:w="140" w:type="dxa"/>
            <w:vAlign w:val="bottom"/>
            <w:tcBorders>
              <w:top w:val="single" w:sz="8" w:color="CFF0FC"/>
            </w:tcBorders>
            <w:shd w:val="clear" w:color="auto" w:fill="CFF0FC"/>
          </w:tcPr>
          <w:p>
            <w:pPr>
              <w:spacing w:after="0"/>
              <w:rPr>
                <w:sz w:val="19"/>
                <w:szCs w:val="19"/>
                <w:color w:val="auto"/>
              </w:rPr>
            </w:pPr>
          </w:p>
        </w:tc>
        <w:tc>
          <w:tcPr>
            <w:tcW w:w="22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January 15, 2019</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0.60</w:t>
            </w:r>
          </w:p>
        </w:tc>
        <w:tc>
          <w:tcPr>
            <w:tcW w:w="260" w:type="dxa"/>
            <w:vAlign w:val="bottom"/>
            <w:tcBorders>
              <w:top w:val="single" w:sz="8" w:color="CFF0FC"/>
            </w:tcBorders>
            <w:shd w:val="clear" w:color="auto" w:fill="CFF0FC"/>
          </w:tcPr>
          <w:p>
            <w:pPr>
              <w:spacing w:after="0"/>
              <w:rPr>
                <w:sz w:val="19"/>
                <w:szCs w:val="19"/>
                <w:color w:val="auto"/>
              </w:rPr>
            </w:pPr>
          </w:p>
        </w:tc>
        <w:tc>
          <w:tcPr>
            <w:tcW w:w="23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December 31, 2018</w:t>
            </w: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January 1, 2019 - March 31, 2019</w:t>
            </w:r>
          </w:p>
        </w:tc>
        <w:tc>
          <w:tcPr>
            <w:tcW w:w="242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April 15, 2019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0.05</w:t>
            </w:r>
          </w:p>
        </w:tc>
        <w:tc>
          <w:tcPr>
            <w:tcW w:w="26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4"/>
              </w:rPr>
              <w:t>April 1, 2019</w:t>
            </w:r>
          </w:p>
        </w:tc>
      </w:tr>
      <w:tr>
        <w:trPr>
          <w:trHeight w:val="230"/>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April 1, 2019 - June 30, 2019</w:t>
            </w:r>
          </w:p>
        </w:tc>
        <w:tc>
          <w:tcPr>
            <w:tcW w:w="24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July 15, 2019</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CFF0FC"/>
          </w:tcPr>
          <w:p>
            <w:pPr>
              <w:spacing w:after="0"/>
              <w:rPr>
                <w:sz w:val="19"/>
                <w:szCs w:val="19"/>
                <w:color w:val="auto"/>
              </w:rPr>
            </w:pPr>
          </w:p>
        </w:tc>
        <w:tc>
          <w:tcPr>
            <w:tcW w:w="2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June 28, 2019</w:t>
            </w:r>
          </w:p>
        </w:tc>
      </w:tr>
      <w:tr>
        <w:trPr>
          <w:trHeight w:val="675"/>
        </w:trPr>
        <w:tc>
          <w:tcPr>
            <w:tcW w:w="4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tcPr>
          <w:p>
            <w:pPr>
              <w:jc w:val="right"/>
              <w:ind w:right="67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Any dividends must be declared by our Board of Directors, which will take into account various factors including our current and anticipated operating results, our financial position, REIT requirements, conditions prevailing in the market, restrictions in our debt documents and additional factors they deem appropriate. Dividend payments are not guaranteed and our Board of Directors may decide, in its absolute discretion, at any time and for any reason, not to pay dividends or to change the amount paid as dividends. In light of recent developments with Windstream, we may take measures to conserve cash, which may include a suspension, delay or reduction in our dividend.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categorize our capital expenditures as either (i) success-based, (ii) maintenance, (iii) integration or (iv) corporate and non-network. We define success-based capital expenditures as those related to installing existing or anticipated contractual customer service orders. Maintenance capital expenditures are those necessary to keep existing network elements fully operational. Integration capital expenditures are those made specifically with respect to recent acquisitions that are essential to integrating acquired companies in our business. We anticipate continuing to invest in our network infrastructure across our Uniti Leasing, Uniti Fiber and Uniti Towers portfolios, and expect that cash on hand and cash flows provided by operating activities will be sufficient to support these investments.</w:t>
      </w:r>
    </w:p>
    <w:p>
      <w:pPr>
        <w:spacing w:after="0" w:line="19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light of recent developments with Windstream, we may need to take measures to conserve cash, which may include a suspension, delay or reduction in success-based capital expenditures. We are closely monitoring developments of the Windstream bankruptcy and continually assess our capital expenditure plans in light of such developments.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New accounting rules and disclosures can impact our reported results and comparability of our financial statements. These matters are described in our Annual Report on Form 10-K for the year ended December 31, 2018, filed with the SEC on March 18, 2019.</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January 1, 2019, we account for leases in accordance with ASC 842. The standard requires lessees to apply a dual approach, classifying leases as either finance or operating leases based on the principle of whether or not the lease is effectively a financed purchase by the lessee. This classification will determine whether lease expense is comprised of amortization on the right-of-use asset (“ROU”) and interest expense recognized based on an effective interest method, or as a single lease cost recognized on a straight-line basis over the term of the lease, respectively. A lessee is also required to record a right-of-use asset and a lease liability for all leases with a term of greater than 12 months regardless of their classification. The accounting for lessors remains largely unchanged. Leases with a term of 12 months or less will be accounted for similar to existing guidance for operating leases today.</w:t>
      </w:r>
    </w:p>
    <w:p>
      <w:pPr>
        <w:spacing w:after="0" w:line="16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determine if an arrangement is a lease at contract inception. A lease exists when a contract conveys to the customer the right to control the use of identified property, plant, or equipment for a period of time in exchange for consideration. The definition of a lease embodies two conditions: (i) there is an identified asset in the contract that is land or a depreciable asset (i.e., property, plant, and equipment), and (ii) the customer has the right to control the use of the identified asset.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enter into lease contracts including ground, towers, equipment, office, colocation and fiber lease arrangements, in which we are the lessee, and service contracts that may include embedded leases. Operating leases where we are the lessor are included in Leasing, Fiber Infrastructure and Tower revenues on our Condensed Consolidated Statements of Income.</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From time to time we enter into direct financing lease arrangements that include (i) a lessee obligation to purchase the leased equipment at the end of the lease term, (ii) a bargain purchase option, (iii) a lease term having a duration that is for the major part of the remaining economic life of the leased equipment or</w:t>
      </w:r>
    </w:p>
    <w:p>
      <w:pPr>
        <w:ind w:firstLine="8"/>
        <w:spacing w:after="0" w:line="261" w:lineRule="auto"/>
        <w:tabs>
          <w:tab w:leader="none" w:pos="318"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provides for minimum lease payments with a present value amounting to substantially all of the fair value of the leased equipment at the date of lease inception.</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ROU assets and lease liabilities related to operating leases where we are the lessee are included in other assets and accounts payable, accrued expenses and other liabilities, respectively, on our Condensed Consolidated Balance Sheets. The lease liabilities are initially and subsequently measured at the present value of the unpaid lease payments at the lease commencement date.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ROU assets and lease liabilities related to finance leases where we are the lessee are included in property, plant and equipment, net and finance lease obligations, respectively, on our Condensed Consolidated Balance Sheets. The lease liabilities are initially measured in the same manner as operating leases and are subsequently measured at amortized cost using the effective interest method. ROU assets for finance leases are amortized on a straight-line basis over the remaining lease term.</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Key estimates and judgments include how we determined (i) the discount rate we use to discount the unpaid lease payments to present value, (ii) lease term and (iii) lease payments.</w:t>
      </w:r>
    </w:p>
    <w:p>
      <w:pPr>
        <w:spacing w:after="0" w:line="170" w:lineRule="exact"/>
        <w:rPr>
          <w:sz w:val="20"/>
          <w:szCs w:val="20"/>
          <w:color w:val="auto"/>
        </w:rPr>
      </w:pPr>
    </w:p>
    <w:p>
      <w:pPr>
        <w:jc w:val="both"/>
        <w:ind w:left="760" w:hanging="374"/>
        <w:spacing w:after="0" w:line="276" w:lineRule="auto"/>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ASC 842 requires a lessor to discount its unpaid lease payments using the interest rate implicit in the lease and a lessee to discount its unpaid lease payments using the interest rate implicit in the lease or, if that rate cannot be readily determined, its incremental borrowing rate. As we generally do not know the implicit rate for our leases where we are the lessee, we use our incremental borrowing rate based on the information available at commencement date in determining the present value of lease payments. Our incremental borrowing rate for a lease is the rate of interest we would have to pay on a collateralized basis to borrow an amount equal to the lease payments under similar terms.</w:t>
      </w:r>
    </w:p>
    <w:p>
      <w:pPr>
        <w:spacing w:after="0" w:line="172" w:lineRule="exact"/>
        <w:rPr>
          <w:rFonts w:ascii="Arial" w:cs="Arial" w:eastAsia="Arial" w:hAnsi="Arial"/>
          <w:sz w:val="17"/>
          <w:szCs w:val="17"/>
          <w:color w:val="auto"/>
        </w:rPr>
      </w:pPr>
    </w:p>
    <w:p>
      <w:pPr>
        <w:jc w:val="both"/>
        <w:ind w:left="760" w:hanging="374"/>
        <w:spacing w:after="0" w:line="264"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lease term for all of our leases includes the noncancellable period of the lease plus any additional periods covered by either a lessee option to extend (or not to terminate) the lease that the lessee is reasonably certain to exercise, or an option to extend (or not to terminate) the lease controlled by the lessor.</w:t>
      </w:r>
    </w:p>
    <w:p>
      <w:pPr>
        <w:spacing w:after="0" w:line="181" w:lineRule="exact"/>
        <w:rPr>
          <w:rFonts w:ascii="Arial" w:cs="Arial" w:eastAsia="Arial" w:hAnsi="Arial"/>
          <w:sz w:val="18"/>
          <w:szCs w:val="18"/>
          <w:color w:val="auto"/>
        </w:rPr>
      </w:pPr>
    </w:p>
    <w:p>
      <w:pPr>
        <w:jc w:val="both"/>
        <w:ind w:left="760" w:hanging="374"/>
        <w:spacing w:after="0" w:line="264"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Lease payments included in the measurement of the lease asset or liability comprise the following: (i) fixed payments (including in-substance fixed payments), (ii) variable payments that depend on index or rate based on the index or rate at lease commencement, and (iii) the exercise price of a lessee option to purchase the underlying asset if the lessee is reasonably certain to exercise.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operating leases where we are the lessor, we continue recognizing the underlying asset and depreciating it over its estimated useful life. Lease income is recognized on a straight-line basis over the lease term. Leasing revenue is not recognized when collection of all contractual rents over the term of the agreement is not probable. When collection is probable, the lessee is placed on non-accrual status and Leasing revenue is recognized when cash payments are received.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ROU asset is initially measured at cost, which comprises the initial amount of the lease liability adjusted for lease payments made at or before the lease commencement date, plus any initial direct costs incurred less any lease incentives received.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operating leases, the ROU asset is subsequently measured 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finance leases, the ROU asset is subsequently amortized using the straight-line method from the lease commencement date to the earlier of the end of its useful life or the end of the lease term unless the lease transfers ownership of the underlying asset to us, or we are reasonably certain to exercise an option to purchase the underlying asset. In those cases, the ROU asset is amortized over the useful life of the underlying asset. Amortization of the ROU asset is recognized and presented separately from interest expense on the lease liability.</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Variable lease payments associated with our leases are recognized when the event, activity, or circumstance in the lease agreement on which those payments are assessed occurs. Variable lease payments are presented within Leasing, Fiber Infrastructure and Tower revenues and general and administrative expense and operating expense in our Condensed Consolidated Statements of Income in the same line item as revenue arising from fixed lease payments (operating leases where we are the lessor) and expense arising from fixed lease payments (operating leases where we are the lessee) or amortization of the ROU asset (finance leases), respectively.</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monitor for events or changes in circumstances that require a reassessment of a lease. When a reassessment results in the remeasurement of a lease liability, a corresponding adjustment is made to the carrying amount of the corresponding ROU asset unless doing so would reduce the carrying amount of the ROU asset to an amount less than zero. In that case, the amount of the adjustment that would result in a negative ROU asset balance is recorded in profit or loss.</w:t>
      </w:r>
    </w:p>
    <w:p>
      <w:pPr>
        <w:spacing w:after="0" w:line="13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lease agreements which include lease and nonlease components. For both leases where we are a lessor and leases where we are a lessee, we have elected to combine lease and nonlease components for all lease contracts. Nonlease components that are combined with lease components are primarily maintenance services related to the leased asset. Where we are the lessor, we determine whether the lease or nonlease component is the predominant component on a case-by-case basis. For all existing leases where we are the lessor, ASC Topic 842 has been applied to all combined components.</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elected not to recognize ROU assets and lease liabilities for all short-term leases that have a lease term of 12 months or less. We recognize the lease payments associated with our short-term leases as an expense on a straight-line basis over the lease term. We have elected to exclude sales taxes from lease payments in arrangements where we are a lessor.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20"/>
        <w:spacing w:after="0" w:line="284" w:lineRule="auto"/>
        <w:rPr>
          <w:sz w:val="20"/>
          <w:szCs w:val="20"/>
          <w:color w:val="auto"/>
        </w:rPr>
      </w:pPr>
      <w:r>
        <w:rPr>
          <w:rFonts w:ascii="Arial" w:cs="Arial" w:eastAsia="Arial" w:hAnsi="Arial"/>
          <w:sz w:val="16"/>
          <w:szCs w:val="16"/>
          <w:color w:val="auto"/>
        </w:rPr>
        <w:t xml:space="preserve">We adopted ASC 842 using a modified retrospective transition approach as of the effective date as permitted by the amendments in ASU 2018-11,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 Target Improvements</w:t>
      </w:r>
      <w:r>
        <w:rPr>
          <w:rFonts w:ascii="Arial" w:cs="Arial" w:eastAsia="Arial" w:hAnsi="Arial"/>
          <w:sz w:val="16"/>
          <w:szCs w:val="16"/>
          <w:color w:val="auto"/>
        </w:rPr>
        <w:t>, which provides an alternative modified retrospective transition method. As a result, we were not required to adjust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comparative period financial information for effects of the standard or make the new required lease disclosures for periods before the date of adoption (i.e. January 1, 2019). We have elected to adopt the package of transition practical expedients and, therefore, have not reassessed (i) whether existing or expired contracts contain a lease, (ii) lease classification for existing or expired leases or (iii) the accounting for initial direct costs that were previously capitalized. We elected the practical expedient to use hindsight for leases existing at the adoption date. Further, we elected to adopt the amendments in ASU 2018-01:</w:t>
      </w:r>
    </w:p>
    <w:p>
      <w:pPr>
        <w:spacing w:after="0" w:line="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Land Easement Practical Expedient for Transition to Topic 842</w:t>
      </w:r>
      <w:r>
        <w:rPr>
          <w:rFonts w:ascii="Arial" w:cs="Arial" w:eastAsia="Arial" w:hAnsi="Arial"/>
          <w:sz w:val="18"/>
          <w:szCs w:val="18"/>
          <w:color w:val="auto"/>
        </w:rPr>
        <w:t>, which permits an entity to elect an optional transaction practical expedient to not evaluate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land easements that exist or expire before the Company’s adoption of ASC 842 and that were not previously accounted for as leases under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840”).</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this Quarterly Report on Form 10-Q, we do not have any off-balance sheet arrangements.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There have been no material changes from the information reported under Item 7A of our Annual Report on Form 10-K for the year ended December 31, 2018, filed with the SEC on March 18,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established disclosure controls and procedures, as such term is defined in Rule 13a-15(e) under the Securities Exchange Act of 1934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of June 30, 2019. Based on this evaluation, our principal executive officer and principal financial officer concluded that our disclosure controls and procedures were effective as of June 30, 2019.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 13a-15(f) under the Exchange Act, that occurred during the quarter ended June 30, 2019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4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Pursuant to the Master Lease, Windstream has agreed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are subject to the indemnities provided by Windstream to us. If Windstream assumes the Master Lease, it would be obligated to honor all indemnification claims. If Windstream were to reject the Master Lease, any indemnification claims would be treated as unsecured claims, and, if that were to occur, there can be no assurance we would receive any indemnification payments from Windstream. While these actions and proceedings are not believed to be material, individually or in the aggregate, the ultimate outcome of these matters cannot be predicted. The resolution of any such legal proceedings, either individually or in the aggregate, could have a material adverse effect on Windstream’s business, financial position or results of operations, which, in turn, could have a material adverse effect on our business, financial position or results of operations if Windstream is unable to meet its indemnification obligations.</w:t>
      </w:r>
    </w:p>
    <w:p>
      <w:pPr>
        <w:spacing w:after="0" w:line="18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Windstream was involved in litigation with an entity who acquired certain Windstream debt securities and thereafter issued a notice of default as to such securities relating to the Spin-Off. Windstream challenged the matter in federal court and a trial was held in July 2018. On February 15, 2019, the federal court judge issued a ruling against Windstream, finding that Windstream’s attempts to waive such default were not valid; that an “event of default” occurred with respect to such debt securities; and that the holder’s acceleration of such debt in December 2017 was effective.</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response to the adverse outcome, on February 25, 2019, Windstream and all of its subsidiaries filed voluntary petitions for relief under Chapter 11 of the Bankruptcy Code in the U.S. Bankruptcy Court for the Southern District of New York.</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bankruptcy, Windstream has the option to assume or reject the Master Lease. While we believe that the Master Lease is essential to Windstream’s operations, it is difficult to predict what could occur in a restructuring, and even a temporary disruption in payments to us may require us to fund certain expenses and obligations (e.g., real estate taxes, insurance and maintenance expenses) to preserve the value of our properties and avoid the imposition of liens on our properties and could impact our ability to fund other cash obligations, including dividends necessary to maintain REIT status, non-essential capital expenditures and, in an extreme case, our debt service obligations. See Item 1A Risk Factors of our Annual Report on Form 10-K for the year ended December 31, 2018 for additional information concerning the impact Windstream’s bankruptcy may have on our operations and financial conditions. A rejection by Windstream of the Master Lease or its inability or unwillingness to meet its rent and other obligations under the Master Lease could materially adversely affect our consolidated results of operations, liquidity, and financial condition, including our ability to service debt, comply with debt covenants and pay dividends to our stockholders as required to maintain our status as a REIT. A rejection of the Master Lease by Windstream would result in an “event of default” under our Credit Agreement if we are unable to enter into a replacement lease that satisfies certain criteria set forth in the Credit Agreement within ninety (90) calendar days and we do not maintain pro forma compliance with a consolidated secured leverage ratio, as defined in the Credit Agreement, of 5.00 to 1.00.</w:t>
      </w:r>
    </w:p>
    <w:p>
      <w:pPr>
        <w:spacing w:after="0" w:line="1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Master Lease contains no provision that contemplates renegotiation of the lease and the bankruptcy court has no ability to unilaterally reset the rent or terms of the lease. In addition, our Credit Agreement prohibits the Company from amending the Master Lease in a manner that, among other provisions, pro forma for any such amendment, would result in our consolidated secured leverage ratio to exceed 5.0 to 1.0, and management has no intention to enter into a lease amendment that would violate our debt covenants.</w:t>
      </w:r>
    </w:p>
    <w:p>
      <w:pPr>
        <w:spacing w:after="0" w:line="18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On July 25, 2019, in connection with Windstream’s bankruptcy, Windstream Holdings and Windstream Services, LLC filed a complaint with the U.S. Bankruptcy Court for the Southern District of New York alleging¸ among other things, that the Master Lease should be recharacterized as a financing arrangement, that the Master Lease is a lease of personal property, and that rent payments and tenant capital improvements made by Windstream under the Master Lease since at least the third quarter of 2017 constitute constructive fraudulent transfers. If the Master Lease is recharacterized as a financing arrangement, Windstream would be deemed the true owner of the property subject to the Master Lease, and Uniti would be treated as a creditor of Windstream rather than as a landlord, which could significantly affect current payments to us under the Master Lease, the ultimate treatment of our claims (including potentially through changing our status to that of a creditor that would share in creditor recoveries from the estate rather than receive rent payments) and our status as a REIT. If the Master Lease is determined to be a lease of personal property, the deadline for Windstream Holdings to assume or reject the Master Lease would be the confirmation of its plan by the bankruptcy court, and</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Windstream may seek from the bankruptcy court relief from its current performance obligations during the bankruptcy case. If the constructive fraudulent transfer claim is successful, Uniti may be required to repay Windstream the amount of rent payments and tenant capital improvements since at least the third quarter of 2017. In parallel with this filing, Windstream Holdings also filed a motion to stay the deadline under which Windstream must assume or reject the Master Lease pending the resolution of issues raised in the complaint. mediation of these claims is ongoing in Windstream’s bankruptcy. In connection with the mediation, Uniti has agreed to an extension of the assumption deadline for the master lease to December 7, 2019. In exchange, Windstream has provided certain assurances regarding the continued payment of rent pursuant to the Master Lease during the extension period and following the expiration of the extension period, Windstream will continue to make payments under the Master Lease as they come due, unless and until Windstream obtains an order from the bankruptcy court permitting cessation of such payments.</w:t>
      </w:r>
    </w:p>
    <w:p>
      <w:pPr>
        <w:spacing w:after="0" w:line="1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It is difficult to predict what could occur in Windstream’s bankruptcy restructuring, including any judicial decisions in respect of claims against us by Windstream or its creditors. Any adverse determination or judicial decision could have a material adverse effect on our business, financial position or results of operations.</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July 3, 2019, SLF Holdings, LLC (“SLF”) filed a complaint against the Company, Uniti Fiber Holdings Inc. (“Uniti Fiber”), and certain current and former officers of the Company (collectively, the “Defendants”) in the United States District Court for the Southern District of Alabama, in connection with Uniti Fiber’s purchase of Southern Light, LLC from SLF in July 2017. The complaint asserts claims for fraud and conspiracy, as well as claims under federal and Alabama securities laws, alleging that Defendants improperly failed to disclose to SLF the risk that the 2015 spin-off of Uniti from Windstream Holdings violated certain debt covenants of Windstream Holdings’ subsidiary, Windstream Services, LLC. SLF seeks compensatory and punitive damages, as well as reformation of the purchase agreement for the sale. We intend to defend this matter vigorously, and, because it is still in its preliminary stages, have not yet determined what effect this lawsuit will have, if any, on our financial position or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have been no material changes to the risk factors affecting our business that were discussed in Part I, “Item 1A. Risk Factors” in our Annual Report on Form 10-K for the year ended December 31, 2018 filed with the SEC on March 18,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June 25, 2019 and on June 27, 2019, in connection with the sale of the Exchangeable Notes, the Company sold warrants (the “Warrants”) to certain of the initial purchasers or their respective affiliates involved in the offering of Exchangeable Notes (the “Counterparties”). The Warrants enable the Counterparties to acquire, subject to anti-dilution adjustments, up to approximately 27.8 million shares of the Company’s common stock in the aggregate at an exercise price of approximately $16.42 per share. The maximum number of shares of the Company’s common stock that could be issued pursuant to the Warrants is approximately 55.5 million. The Company offered and sold the Warrants in reliance on the exemption from registration provided by Section 4(a)(2) of the Securities Act. If the market value per share of the Company’s common stock, as measured under the Warrants, at the time of exercise exceeds the strike price of the Warrants, the Warrants will have a dilutive effect on the Company’s common stock unless, subject to the terms of the Warrants, the Company elects to cash settle the Warrants. The Warrants will expire over a period beginning in September 2024.</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received approximately $50.8 million from the sale of the Warrants. See Note 9 to our condensed consolidated financial statements contained in Part I, Item 1 of this Quarterly Report on Form 10-Q for additional information.</w:t>
      </w:r>
    </w:p>
    <w:p>
      <w:pPr>
        <w:spacing w:after="0" w:line="170"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On July 2, 2019, the Company issued 8,677,163 shares of its common stock in connection with the conversion by PEG Bandwidth Holdings, LLC of 87,500 shares of the Series A Shares. The Company issued common stock with a total value of $87,500,000 based on the five-day volume weighted average price of its common stock ending on June 27, 2019. Upon conversion, all outstanding Series A Shares were cancelled and no longer remain outstanding.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below provides information regarding shares withheld from Uniti employees to satisfy minimum statutory tax withholding obligations arising from the vesting of restricted stock granted under the Uniti Group Inc. 2015 Equity Incentive Plan. The shares of common stock withheld to satisfy tax withholding obligations may be deemed purchases of such shares required to be disclosed pursuant to this Item 2.</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00" w:type="dxa"/>
            <w:vAlign w:val="bottom"/>
          </w:tcPr>
          <w:p>
            <w:pPr>
              <w:spacing w:after="0"/>
              <w:rPr>
                <w:sz w:val="14"/>
                <w:szCs w:val="14"/>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Maximum Number of</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 Price Paid per</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00" w:type="dxa"/>
            <w:vAlign w:val="bottom"/>
          </w:tcPr>
          <w:p>
            <w:pPr>
              <w:spacing w:after="0"/>
              <w:rPr>
                <w:sz w:val="12"/>
                <w:szCs w:val="12"/>
                <w:color w:val="auto"/>
              </w:rPr>
            </w:pPr>
          </w:p>
        </w:tc>
        <w:tc>
          <w:tcPr>
            <w:tcW w:w="1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1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00" w:type="dxa"/>
            <w:vAlign w:val="bottom"/>
          </w:tcPr>
          <w:p>
            <w:pPr>
              <w:spacing w:after="0"/>
              <w:rPr>
                <w:sz w:val="12"/>
                <w:szCs w:val="12"/>
                <w:color w:val="auto"/>
              </w:rPr>
            </w:pPr>
          </w:p>
        </w:tc>
        <w:tc>
          <w:tcPr>
            <w:tcW w:w="1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Purchased Under the Plans</w:t>
            </w:r>
          </w:p>
        </w:tc>
        <w:tc>
          <w:tcPr>
            <w:tcW w:w="0" w:type="dxa"/>
            <w:vAlign w:val="bottom"/>
          </w:tcPr>
          <w:p>
            <w:pPr>
              <w:spacing w:after="0"/>
              <w:rPr>
                <w:sz w:val="1"/>
                <w:szCs w:val="1"/>
                <w:color w:val="auto"/>
              </w:rPr>
            </w:pPr>
          </w:p>
        </w:tc>
      </w:tr>
      <w:tr>
        <w:trPr>
          <w:trHeight w:val="171"/>
        </w:trPr>
        <w:tc>
          <w:tcPr>
            <w:tcW w:w="5140" w:type="dxa"/>
            <w:vAlign w:val="bottom"/>
            <w:gridSpan w:val="2"/>
          </w:tcPr>
          <w:p>
            <w:pPr>
              <w:spacing w:after="0"/>
              <w:rPr>
                <w:sz w:val="20"/>
                <w:szCs w:val="20"/>
                <w:color w:val="auto"/>
              </w:rPr>
            </w:pPr>
            <w:r>
              <w:rPr>
                <w:rFonts w:ascii="Arial" w:cs="Arial" w:eastAsia="Arial" w:hAnsi="Arial"/>
                <w:sz w:val="14"/>
                <w:szCs w:val="14"/>
                <w:color w:val="auto"/>
              </w:rPr>
              <w:t>Period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12"/>
                <w:szCs w:val="12"/>
                <w:b w:val="1"/>
                <w:bCs w:val="1"/>
                <w:color w:val="auto"/>
              </w:rPr>
              <w:t>(1)</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00" w:type="dxa"/>
            <w:vAlign w:val="bottom"/>
          </w:tcPr>
          <w:p>
            <w:pPr>
              <w:spacing w:after="0"/>
              <w:rPr>
                <w:sz w:val="14"/>
                <w:szCs w:val="14"/>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or Programs</w:t>
            </w:r>
          </w:p>
        </w:tc>
        <w:tc>
          <w:tcPr>
            <w:tcW w:w="0" w:type="dxa"/>
            <w:vAlign w:val="bottom"/>
          </w:tcPr>
          <w:p>
            <w:pPr>
              <w:spacing w:after="0"/>
              <w:rPr>
                <w:sz w:val="1"/>
                <w:szCs w:val="1"/>
                <w:color w:val="auto"/>
              </w:rPr>
            </w:pPr>
          </w:p>
        </w:tc>
      </w:tr>
      <w:tr>
        <w:trPr>
          <w:trHeight w:val="223"/>
        </w:trPr>
        <w:tc>
          <w:tcPr>
            <w:tcW w:w="4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April 1, 2019 to April 30, 2019</w:t>
            </w:r>
          </w:p>
        </w:tc>
        <w:tc>
          <w:tcPr>
            <w:tcW w:w="1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4,975</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w:t>
            </w:r>
          </w:p>
        </w:tc>
        <w:tc>
          <w:tcPr>
            <w:tcW w:w="12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ind w:left="14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ind w:left="15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May 1, 2019 to May 31, 2019</w:t>
            </w:r>
          </w:p>
        </w:tc>
        <w:tc>
          <w:tcPr>
            <w:tcW w:w="960" w:type="dxa"/>
            <w:vAlign w:val="bottom"/>
          </w:tcPr>
          <w:p>
            <w:pPr>
              <w:jc w:val="right"/>
              <w:spacing w:after="0"/>
              <w:rPr>
                <w:sz w:val="20"/>
                <w:szCs w:val="20"/>
                <w:color w:val="auto"/>
              </w:rPr>
            </w:pPr>
            <w:r>
              <w:rPr>
                <w:rFonts w:ascii="Arial" w:cs="Arial" w:eastAsia="Arial" w:hAnsi="Arial"/>
                <w:sz w:val="18"/>
                <w:szCs w:val="18"/>
                <w:color w:val="auto"/>
              </w:rPr>
              <w:t>18,134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19"/>
                <w:szCs w:val="19"/>
                <w:color w:val="auto"/>
              </w:rPr>
            </w:pPr>
          </w:p>
        </w:tc>
        <w:tc>
          <w:tcPr>
            <w:tcW w:w="1660" w:type="dxa"/>
            <w:vAlign w:val="bottom"/>
          </w:tcPr>
          <w:p>
            <w:pPr>
              <w:ind w:left="14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88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June 1, 2019 to June 30, 2019</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w:t>
            </w:r>
          </w:p>
        </w:tc>
        <w:tc>
          <w:tcPr>
            <w:tcW w:w="120" w:type="dxa"/>
            <w:vAlign w:val="bottom"/>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ind w:left="14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24,113</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19"/>
                <w:szCs w:val="19"/>
                <w:color w:val="auto"/>
              </w:rPr>
            </w:pPr>
          </w:p>
        </w:tc>
        <w:tc>
          <w:tcPr>
            <w:tcW w:w="166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88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540" w:firstLine="8"/>
        <w:spacing w:after="0" w:line="252" w:lineRule="auto"/>
        <w:tabs>
          <w:tab w:leader="none" w:pos="193"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The average price paid per share is the weighted-average of the fair market prices at which we calculated the number of shares withheld to cover tax withholdings for the employees.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4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500" w:type="dxa"/>
            <w:vAlign w:val="bottom"/>
            <w:gridSpan w:val="13"/>
          </w:tcPr>
          <w:p>
            <w:pPr>
              <w:ind w:left="380"/>
              <w:spacing w:after="0"/>
              <w:rPr>
                <w:sz w:val="20"/>
                <w:szCs w:val="20"/>
                <w:color w:val="auto"/>
              </w:rPr>
            </w:pPr>
            <w:r>
              <w:rPr>
                <w:rFonts w:ascii="Arial" w:cs="Arial" w:eastAsia="Arial" w:hAnsi="Arial"/>
                <w:sz w:val="14"/>
                <w:szCs w:val="14"/>
                <w:b w:val="1"/>
                <w:bCs w:val="1"/>
                <w:color w:val="auto"/>
              </w:rPr>
              <w:t>Description</w:t>
            </w:r>
          </w:p>
        </w:tc>
      </w:tr>
      <w:tr>
        <w:trPr>
          <w:trHeight w:val="186"/>
        </w:trPr>
        <w:tc>
          <w:tcPr>
            <w:tcW w:w="1240" w:type="dxa"/>
            <w:vAlign w:val="bottom"/>
          </w:tcPr>
          <w:p>
            <w:pPr>
              <w:ind w:left="240"/>
              <w:spacing w:after="0"/>
              <w:rPr>
                <w:sz w:val="20"/>
                <w:szCs w:val="20"/>
                <w:color w:val="auto"/>
              </w:rPr>
            </w:pPr>
            <w:r>
              <w:rPr>
                <w:rFonts w:ascii="Arial" w:cs="Arial" w:eastAsia="Arial" w:hAnsi="Arial"/>
                <w:sz w:val="14"/>
                <w:szCs w:val="14"/>
                <w:b w:val="1"/>
                <w:bCs w:val="1"/>
                <w:color w:val="auto"/>
              </w:rPr>
              <w:t>Number</w:t>
            </w: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55"/>
        </w:trPr>
        <w:tc>
          <w:tcPr>
            <w:tcW w:w="1240" w:type="dxa"/>
            <w:vAlign w:val="bottom"/>
          </w:tcPr>
          <w:p>
            <w:pPr>
              <w:spacing w:after="0"/>
              <w:rPr>
                <w:sz w:val="20"/>
                <w:szCs w:val="20"/>
                <w:color w:val="auto"/>
              </w:rPr>
            </w:pPr>
            <w:r>
              <w:rPr>
                <w:rFonts w:ascii="Arial" w:cs="Arial" w:eastAsia="Arial" w:hAnsi="Arial"/>
                <w:sz w:val="18"/>
                <w:szCs w:val="18"/>
                <w:color w:val="auto"/>
              </w:rPr>
              <w:t>4.1</w:t>
            </w:r>
          </w:p>
        </w:tc>
        <w:tc>
          <w:tcPr>
            <w:tcW w:w="9680" w:type="dxa"/>
            <w:vAlign w:val="bottom"/>
            <w:gridSpan w:val="18"/>
          </w:tcPr>
          <w:p>
            <w:pPr>
              <w:spacing w:after="0"/>
              <w:rPr>
                <w:rFonts w:ascii="Arial" w:cs="Arial" w:eastAsia="Arial" w:hAnsi="Arial"/>
                <w:sz w:val="18"/>
                <w:szCs w:val="18"/>
                <w:color w:val="0000EE"/>
                <w:w w:val="92"/>
              </w:rPr>
            </w:pPr>
            <w:hyperlink r:id="rId103">
              <w:r>
                <w:rPr>
                  <w:rFonts w:ascii="Arial" w:cs="Arial" w:eastAsia="Arial" w:hAnsi="Arial"/>
                  <w:sz w:val="18"/>
                  <w:szCs w:val="18"/>
                  <w:color w:val="0000EE"/>
                  <w:w w:val="92"/>
                </w:rPr>
                <w:t>Indenture, dated June 28, 2019, among Uniti Fiber Holdings Inc., Uniti Group Inc., the other guarantors party thereto and Deutsche</w:t>
              </w:r>
            </w:hyperlink>
          </w:p>
        </w:tc>
      </w:tr>
      <w:tr>
        <w:trPr>
          <w:trHeight w:val="20"/>
        </w:trPr>
        <w:tc>
          <w:tcPr>
            <w:tcW w:w="12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6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Bank Trust Company Americas (incorporated by reference to Exhibit 4.1 to the Company’s Current Report on Form 8-K filed with the</w:t>
              </w:r>
            </w:hyperlink>
          </w:p>
        </w:tc>
      </w:tr>
      <w:tr>
        <w:trPr>
          <w:trHeight w:val="196"/>
        </w:trPr>
        <w:tc>
          <w:tcPr>
            <w:tcW w:w="1240" w:type="dxa"/>
            <w:vAlign w:val="bottom"/>
          </w:tcPr>
          <w:p>
            <w:pPr>
              <w:spacing w:after="0"/>
              <w:rPr>
                <w:sz w:val="17"/>
                <w:szCs w:val="17"/>
                <w:color w:val="auto"/>
              </w:rPr>
            </w:pPr>
          </w:p>
        </w:tc>
        <w:tc>
          <w:tcPr>
            <w:tcW w:w="166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r:id="rId103">
              <w:r>
                <w:rPr>
                  <w:rFonts w:ascii="Arial" w:cs="Arial" w:eastAsia="Arial" w:hAnsi="Arial"/>
                  <w:sz w:val="18"/>
                  <w:szCs w:val="18"/>
                  <w:color w:val="0000EE"/>
                  <w:w w:val="87"/>
                </w:rPr>
                <w:t>SEC on June 28, 2019)</w:t>
              </w:r>
            </w:hyperlink>
          </w:p>
        </w:tc>
        <w:tc>
          <w:tcPr>
            <w:tcW w:w="8020" w:type="dxa"/>
            <w:vAlign w:val="bottom"/>
            <w:gridSpan w:val="15"/>
          </w:tcPr>
          <w:p>
            <w:pPr>
              <w:spacing w:after="0"/>
              <w:rPr>
                <w:sz w:val="17"/>
                <w:szCs w:val="17"/>
                <w:color w:val="auto"/>
              </w:rPr>
            </w:pPr>
          </w:p>
        </w:tc>
      </w:tr>
      <w:tr>
        <w:trPr>
          <w:trHeight w:val="345"/>
        </w:trPr>
        <w:tc>
          <w:tcPr>
            <w:tcW w:w="1240" w:type="dxa"/>
            <w:vAlign w:val="bottom"/>
          </w:tcPr>
          <w:p>
            <w:pPr>
              <w:spacing w:after="0"/>
              <w:rPr>
                <w:sz w:val="20"/>
                <w:szCs w:val="20"/>
                <w:color w:val="auto"/>
              </w:rPr>
            </w:pPr>
            <w:r>
              <w:rPr>
                <w:rFonts w:ascii="Arial" w:cs="Arial" w:eastAsia="Arial" w:hAnsi="Arial"/>
                <w:sz w:val="18"/>
                <w:szCs w:val="18"/>
                <w:color w:val="auto"/>
              </w:rPr>
              <w:t>4.2</w:t>
            </w:r>
          </w:p>
        </w:tc>
        <w:tc>
          <w:tcPr>
            <w:tcW w:w="9080" w:type="dxa"/>
            <w:vAlign w:val="bottom"/>
            <w:tcBorders>
              <w:bottom w:val="single" w:sz="8" w:color="0000EE"/>
            </w:tcBorders>
            <w:gridSpan w:val="9"/>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Form of 4.00% Exchangeable Senior Notes due 2024 (included in Exhibit 4.1) (incorporated by reference to Exhibit 4.2 to the</w:t>
              </w:r>
            </w:hyperlink>
          </w:p>
        </w:tc>
        <w:tc>
          <w:tcPr>
            <w:tcW w:w="600" w:type="dxa"/>
            <w:vAlign w:val="bottom"/>
            <w:gridSpan w:val="9"/>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680" w:type="dxa"/>
            <w:vAlign w:val="bottom"/>
            <w:gridSpan w:val="18"/>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Company’s Current Report on Form 8-K filed with the SEC on June 28, 2019)</w:t>
              </w:r>
            </w:hyperlink>
          </w:p>
        </w:tc>
      </w:tr>
      <w:tr>
        <w:trPr>
          <w:trHeight w:val="20"/>
        </w:trPr>
        <w:tc>
          <w:tcPr>
            <w:tcW w:w="12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10.1</w:t>
            </w:r>
          </w:p>
        </w:tc>
        <w:tc>
          <w:tcPr>
            <w:tcW w:w="9680" w:type="dxa"/>
            <w:vAlign w:val="bottom"/>
            <w:gridSpan w:val="18"/>
          </w:tcPr>
          <w:p>
            <w:pPr>
              <w:spacing w:after="0"/>
              <w:rPr>
                <w:rFonts w:ascii="Arial" w:cs="Arial" w:eastAsia="Arial" w:hAnsi="Arial"/>
                <w:sz w:val="18"/>
                <w:szCs w:val="18"/>
                <w:color w:val="0000EE"/>
                <w:w w:val="94"/>
              </w:rPr>
            </w:pPr>
            <w:hyperlink r:id="rId104">
              <w:r>
                <w:rPr>
                  <w:rFonts w:ascii="Arial" w:cs="Arial" w:eastAsia="Arial" w:hAnsi="Arial"/>
                  <w:sz w:val="18"/>
                  <w:szCs w:val="18"/>
                  <w:color w:val="0000EE"/>
                  <w:w w:val="94"/>
                </w:rPr>
                <w:t>Amendment No. 5 to the Credit Agreement, dated as of June 24, 2019, among Uniti Group LP, Uniti Group Finance Inc. and CSL</w:t>
              </w:r>
            </w:hyperlink>
          </w:p>
        </w:tc>
      </w:tr>
      <w:tr>
        <w:trPr>
          <w:trHeight w:val="20"/>
        </w:trPr>
        <w:tc>
          <w:tcPr>
            <w:tcW w:w="12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3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6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04">
              <w:r>
                <w:rPr>
                  <w:rFonts w:ascii="Arial" w:cs="Arial" w:eastAsia="Arial" w:hAnsi="Arial"/>
                  <w:sz w:val="18"/>
                  <w:szCs w:val="18"/>
                  <w:color w:val="0000EE"/>
                  <w:w w:val="90"/>
                </w:rPr>
                <w:t>Capital, LLC, as borrowers, the guarantors party thereto, the lenders party thereto, and Bank of America, N.A., as administrative agent</w:t>
              </w:r>
            </w:hyperlink>
          </w:p>
        </w:tc>
      </w:tr>
      <w:tr>
        <w:trPr>
          <w:trHeight w:val="196"/>
        </w:trPr>
        <w:tc>
          <w:tcPr>
            <w:tcW w:w="1240" w:type="dxa"/>
            <w:vAlign w:val="bottom"/>
          </w:tcPr>
          <w:p>
            <w:pPr>
              <w:spacing w:after="0"/>
              <w:rPr>
                <w:sz w:val="17"/>
                <w:szCs w:val="17"/>
                <w:color w:val="auto"/>
              </w:rPr>
            </w:pPr>
          </w:p>
        </w:tc>
        <w:tc>
          <w:tcPr>
            <w:tcW w:w="9680" w:type="dxa"/>
            <w:vAlign w:val="bottom"/>
            <w:gridSpan w:val="18"/>
          </w:tcPr>
          <w:p>
            <w:pPr>
              <w:spacing w:after="0" w:line="196" w:lineRule="exact"/>
              <w:rPr>
                <w:rFonts w:ascii="Arial" w:cs="Arial" w:eastAsia="Arial" w:hAnsi="Arial"/>
                <w:sz w:val="18"/>
                <w:szCs w:val="18"/>
                <w:color w:val="0000EE"/>
                <w:w w:val="93"/>
              </w:rPr>
            </w:pPr>
            <w:hyperlink r:id="rId104">
              <w:r>
                <w:rPr>
                  <w:rFonts w:ascii="Arial" w:cs="Arial" w:eastAsia="Arial" w:hAnsi="Arial"/>
                  <w:sz w:val="18"/>
                  <w:szCs w:val="18"/>
                  <w:color w:val="0000EE"/>
                  <w:w w:val="93"/>
                </w:rPr>
                <w:t>and collateral agent (incorporated by reference to Exhibit 10.1 to the Company’s Current Report on Form 8-K filed with the SEC on</w:t>
              </w:r>
            </w:hyperlink>
          </w:p>
        </w:tc>
      </w:tr>
      <w:tr>
        <w:trPr>
          <w:trHeight w:val="196"/>
        </w:trPr>
        <w:tc>
          <w:tcPr>
            <w:tcW w:w="1240" w:type="dxa"/>
            <w:vAlign w:val="bottom"/>
          </w:tcPr>
          <w:p>
            <w:pPr>
              <w:spacing w:after="0"/>
              <w:rPr>
                <w:sz w:val="17"/>
                <w:szCs w:val="17"/>
                <w:color w:val="auto"/>
              </w:rPr>
            </w:pPr>
          </w:p>
        </w:tc>
        <w:tc>
          <w:tcPr>
            <w:tcW w:w="10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04">
              <w:r>
                <w:rPr>
                  <w:rFonts w:ascii="Arial" w:cs="Arial" w:eastAsia="Arial" w:hAnsi="Arial"/>
                  <w:sz w:val="18"/>
                  <w:szCs w:val="18"/>
                  <w:color w:val="0000EE"/>
                  <w:w w:val="86"/>
                </w:rPr>
                <w:t>June 24, 2019)</w:t>
              </w:r>
            </w:hyperlink>
          </w:p>
        </w:tc>
        <w:tc>
          <w:tcPr>
            <w:tcW w:w="8440" w:type="dxa"/>
            <w:vAlign w:val="bottom"/>
            <w:tcBorders>
              <w:top w:val="single" w:sz="8" w:color="0000EE"/>
            </w:tcBorders>
            <w:gridSpan w:val="11"/>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10.2</w:t>
            </w:r>
          </w:p>
        </w:tc>
        <w:tc>
          <w:tcPr>
            <w:tcW w:w="9680" w:type="dxa"/>
            <w:vAlign w:val="bottom"/>
            <w:gridSpan w:val="18"/>
          </w:tcPr>
          <w:p>
            <w:pPr>
              <w:spacing w:after="0"/>
              <w:rPr>
                <w:rFonts w:ascii="Arial" w:cs="Arial" w:eastAsia="Arial" w:hAnsi="Arial"/>
                <w:sz w:val="18"/>
                <w:szCs w:val="18"/>
                <w:color w:val="0000EE"/>
                <w:w w:val="93"/>
              </w:rPr>
            </w:pPr>
            <w:hyperlink r:id="rId105">
              <w:r>
                <w:rPr>
                  <w:rFonts w:ascii="Arial" w:cs="Arial" w:eastAsia="Arial" w:hAnsi="Arial"/>
                  <w:sz w:val="18"/>
                  <w:szCs w:val="18"/>
                  <w:color w:val="0000EE"/>
                  <w:w w:val="93"/>
                </w:rPr>
                <w:t>Form of Exchangeable Note Hedge Transaction Confirmation (incorporated by reference to Exhibit 10.1 to the Company’s Current</w:t>
              </w:r>
            </w:hyperlink>
          </w:p>
        </w:tc>
      </w:tr>
      <w:tr>
        <w:trPr>
          <w:trHeight w:val="196"/>
        </w:trPr>
        <w:tc>
          <w:tcPr>
            <w:tcW w:w="1240" w:type="dxa"/>
            <w:vAlign w:val="bottom"/>
          </w:tcPr>
          <w:p>
            <w:pPr>
              <w:spacing w:after="0"/>
              <w:rPr>
                <w:sz w:val="17"/>
                <w:szCs w:val="17"/>
                <w:color w:val="auto"/>
              </w:rPr>
            </w:pPr>
          </w:p>
        </w:tc>
        <w:tc>
          <w:tcPr>
            <w:tcW w:w="94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Report on Form 8-K filed with the SEC on June 28, 2019)</w:t>
              </w:r>
            </w:hyperlink>
          </w:p>
        </w:tc>
        <w:tc>
          <w:tcPr>
            <w:tcW w:w="240" w:type="dxa"/>
            <w:vAlign w:val="bottom"/>
            <w:gridSpan w:val="7"/>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10.3</w:t>
            </w:r>
          </w:p>
        </w:tc>
        <w:tc>
          <w:tcPr>
            <w:tcW w:w="9620" w:type="dxa"/>
            <w:vAlign w:val="bottom"/>
            <w:tcBorders>
              <w:bottom w:val="single" w:sz="8" w:color="0000EE"/>
            </w:tcBorders>
            <w:gridSpan w:val="16"/>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Form of Warrant Transaction Confirmation (incorporated by reference to Exhibit 10.2 to the Company’s Current Report on Form 8-K</w:t>
              </w:r>
            </w:hyperlink>
          </w:p>
        </w:tc>
        <w:tc>
          <w:tcPr>
            <w:tcW w:w="60" w:type="dxa"/>
            <w:vAlign w:val="bottom"/>
            <w:gridSpan w:val="2"/>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680" w:type="dxa"/>
            <w:vAlign w:val="bottom"/>
            <w:gridSpan w:val="18"/>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filed with the SEC on June 28, 2019)</w:t>
              </w:r>
            </w:hyperlink>
          </w:p>
        </w:tc>
      </w:tr>
      <w:tr>
        <w:trPr>
          <w:trHeight w:val="20"/>
        </w:trPr>
        <w:tc>
          <w:tcPr>
            <w:tcW w:w="12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10.4*</w:t>
            </w:r>
          </w:p>
        </w:tc>
        <w:tc>
          <w:tcPr>
            <w:tcW w:w="96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Tri-Party Agreement, dated, June 26, 2019, among Deutsche Bank Trust Company, Wells Fargo Bank, N.A. and Uniti Group LP, CSL</w:t>
              </w:r>
            </w:hyperlink>
          </w:p>
        </w:tc>
        <w:tc>
          <w:tcPr>
            <w:tcW w:w="4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502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65">
              <w:r>
                <w:rPr>
                  <w:rFonts w:ascii="Arial" w:cs="Arial" w:eastAsia="Arial" w:hAnsi="Arial"/>
                  <w:sz w:val="18"/>
                  <w:szCs w:val="18"/>
                  <w:color w:val="0000EE"/>
                  <w:w w:val="93"/>
                </w:rPr>
                <w:t>Capital, LLC, Uniti Group Finance Inc. and Uniti Fiber Holdings Inc.</w:t>
              </w:r>
            </w:hyperlink>
          </w:p>
        </w:tc>
        <w:tc>
          <w:tcPr>
            <w:tcW w:w="4660" w:type="dxa"/>
            <w:vAlign w:val="bottom"/>
            <w:gridSpan w:val="11"/>
          </w:tcPr>
          <w:p>
            <w:pPr>
              <w:spacing w:after="0"/>
              <w:rPr>
                <w:sz w:val="17"/>
                <w:szCs w:val="17"/>
                <w:color w:val="auto"/>
              </w:rPr>
            </w:pPr>
          </w:p>
        </w:tc>
      </w:tr>
      <w:tr>
        <w:trPr>
          <w:trHeight w:val="345"/>
        </w:trPr>
        <w:tc>
          <w:tcPr>
            <w:tcW w:w="1240" w:type="dxa"/>
            <w:vAlign w:val="bottom"/>
          </w:tcPr>
          <w:p>
            <w:pPr>
              <w:spacing w:after="0"/>
              <w:rPr>
                <w:sz w:val="20"/>
                <w:szCs w:val="20"/>
                <w:color w:val="auto"/>
              </w:rPr>
            </w:pPr>
            <w:r>
              <w:rPr>
                <w:rFonts w:ascii="Arial" w:cs="Arial" w:eastAsia="Arial" w:hAnsi="Arial"/>
                <w:sz w:val="18"/>
                <w:szCs w:val="18"/>
                <w:color w:val="auto"/>
              </w:rPr>
              <w:t>31.1*</w:t>
            </w:r>
          </w:p>
        </w:tc>
        <w:tc>
          <w:tcPr>
            <w:tcW w:w="962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81">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60" w:type="dxa"/>
            <w:vAlign w:val="bottom"/>
            <w:gridSpan w:val="2"/>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49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Adopted Pursuant to Section 302 of the Sarbanes-Oxley Act of 2002.</w:t>
              </w:r>
            </w:hyperlink>
          </w:p>
        </w:tc>
        <w:tc>
          <w:tcPr>
            <w:tcW w:w="4700" w:type="dxa"/>
            <w:vAlign w:val="bottom"/>
            <w:gridSpan w:val="12"/>
          </w:tcPr>
          <w:p>
            <w:pPr>
              <w:spacing w:after="0"/>
              <w:rPr>
                <w:sz w:val="17"/>
                <w:szCs w:val="17"/>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31.2*</w:t>
            </w:r>
          </w:p>
        </w:tc>
        <w:tc>
          <w:tcPr>
            <w:tcW w:w="958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82">
              <w:r>
                <w:rPr>
                  <w:rFonts w:ascii="Arial" w:cs="Arial" w:eastAsia="Arial" w:hAnsi="Arial"/>
                  <w:sz w:val="18"/>
                  <w:szCs w:val="18"/>
                  <w:color w:val="0000EE"/>
                  <w:w w:val="91"/>
                </w:rPr>
                <w:t>Certification of Principal Financial Officer Pursuant to Rules 13a-14(a) and 15d-14(a) under the Securities Exchange Act of 1934, as</w:t>
              </w:r>
            </w:hyperlink>
          </w:p>
        </w:tc>
        <w:tc>
          <w:tcPr>
            <w:tcW w:w="100" w:type="dxa"/>
            <w:vAlign w:val="bottom"/>
            <w:gridSpan w:val="4"/>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49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Adopted Pursuant to Section 302 of the Sarbanes-Oxley Act of 2002.</w:t>
              </w:r>
            </w:hyperlink>
          </w:p>
        </w:tc>
        <w:tc>
          <w:tcPr>
            <w:tcW w:w="4700" w:type="dxa"/>
            <w:vAlign w:val="bottom"/>
            <w:gridSpan w:val="12"/>
          </w:tcPr>
          <w:p>
            <w:pPr>
              <w:spacing w:after="0"/>
              <w:rPr>
                <w:sz w:val="17"/>
                <w:szCs w:val="17"/>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32.1*</w:t>
            </w:r>
          </w:p>
        </w:tc>
        <w:tc>
          <w:tcPr>
            <w:tcW w:w="9680" w:type="dxa"/>
            <w:vAlign w:val="bottom"/>
            <w:gridSpan w:val="18"/>
          </w:tcPr>
          <w:p>
            <w:pPr>
              <w:spacing w:after="0"/>
              <w:rPr>
                <w:rFonts w:ascii="Arial" w:cs="Arial" w:eastAsia="Arial" w:hAnsi="Arial"/>
                <w:sz w:val="18"/>
                <w:szCs w:val="18"/>
                <w:color w:val="0000EE"/>
                <w:w w:val="91"/>
              </w:rPr>
            </w:pPr>
            <w:hyperlink w:anchor="page83">
              <w:r>
                <w:rPr>
                  <w:rFonts w:ascii="Arial" w:cs="Arial" w:eastAsia="Arial" w:hAnsi="Arial"/>
                  <w:sz w:val="18"/>
                  <w:szCs w:val="18"/>
                  <w:color w:val="0000EE"/>
                  <w:w w:val="91"/>
                </w:rPr>
                <w:t>Certification of Principal Executive Officer Pursuant to 18 U.S.C. Section 1350, as Adopted Pursuant to Section 906 of the Sarbanes-</w:t>
              </w:r>
            </w:hyperlink>
          </w:p>
        </w:tc>
      </w:tr>
      <w:tr>
        <w:trPr>
          <w:trHeight w:val="196"/>
        </w:trPr>
        <w:tc>
          <w:tcPr>
            <w:tcW w:w="1240" w:type="dxa"/>
            <w:vAlign w:val="bottom"/>
          </w:tcPr>
          <w:p>
            <w:pPr>
              <w:spacing w:after="0"/>
              <w:rPr>
                <w:sz w:val="17"/>
                <w:szCs w:val="17"/>
                <w:color w:val="auto"/>
              </w:rPr>
            </w:pPr>
          </w:p>
        </w:tc>
        <w:tc>
          <w:tcPr>
            <w:tcW w:w="96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Oxley Act of 2002.</w:t>
              </w:r>
            </w:hyperlink>
          </w:p>
        </w:tc>
        <w:tc>
          <w:tcPr>
            <w:tcW w:w="80" w:type="dxa"/>
            <w:vAlign w:val="bottom"/>
            <w:gridSpan w:val="3"/>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180" w:type="dxa"/>
            <w:vAlign w:val="bottom"/>
            <w:gridSpan w:val="11"/>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32.2*</w:t>
            </w:r>
          </w:p>
        </w:tc>
        <w:tc>
          <w:tcPr>
            <w:tcW w:w="95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84">
              <w:r>
                <w:rPr>
                  <w:rFonts w:ascii="Arial" w:cs="Arial" w:eastAsia="Arial" w:hAnsi="Arial"/>
                  <w:sz w:val="18"/>
                  <w:szCs w:val="18"/>
                  <w:color w:val="0000EE"/>
                  <w:w w:val="90"/>
                </w:rPr>
                <w:t>Certification of Principal Financial Officer Pursuant to 18 U.S.C. Section 1350, as Adopted Pursuant to Section 906 of the Sarbanes-</w:t>
              </w:r>
            </w:hyperlink>
          </w:p>
        </w:tc>
        <w:tc>
          <w:tcPr>
            <w:tcW w:w="120" w:type="dxa"/>
            <w:vAlign w:val="bottom"/>
            <w:gridSpan w:val="5"/>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680" w:type="dxa"/>
            <w:vAlign w:val="bottom"/>
            <w:gridSpan w:val="18"/>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Oxley Act of 2002.</w:t>
              </w:r>
            </w:hyperlink>
          </w:p>
        </w:tc>
      </w:tr>
      <w:tr>
        <w:trPr>
          <w:trHeight w:val="20"/>
        </w:trPr>
        <w:tc>
          <w:tcPr>
            <w:tcW w:w="12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300" w:type="dxa"/>
            <w:vAlign w:val="bottom"/>
            <w:gridSpan w:val="16"/>
          </w:tcPr>
          <w:p>
            <w:pPr>
              <w:spacing w:after="0" w:line="20" w:lineRule="exact"/>
              <w:rPr>
                <w:sz w:val="1"/>
                <w:szCs w:val="1"/>
                <w:color w:val="auto"/>
              </w:rPr>
            </w:pPr>
          </w:p>
        </w:tc>
      </w:tr>
      <w:tr>
        <w:trPr>
          <w:trHeight w:val="344"/>
        </w:trPr>
        <w:tc>
          <w:tcPr>
            <w:tcW w:w="1240" w:type="dxa"/>
            <w:vAlign w:val="bottom"/>
          </w:tcPr>
          <w:p>
            <w:pPr>
              <w:spacing w:after="0"/>
              <w:rPr>
                <w:sz w:val="20"/>
                <w:szCs w:val="20"/>
                <w:color w:val="auto"/>
              </w:rPr>
            </w:pPr>
            <w:r>
              <w:rPr>
                <w:rFonts w:ascii="Arial" w:cs="Arial" w:eastAsia="Arial" w:hAnsi="Arial"/>
                <w:sz w:val="18"/>
                <w:szCs w:val="18"/>
                <w:color w:val="auto"/>
              </w:rPr>
              <w:t>101.INS</w:t>
            </w:r>
          </w:p>
        </w:tc>
        <w:tc>
          <w:tcPr>
            <w:tcW w:w="9680" w:type="dxa"/>
            <w:vAlign w:val="bottom"/>
            <w:gridSpan w:val="18"/>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w:t>
            </w:r>
          </w:p>
        </w:tc>
      </w:tr>
      <w:tr>
        <w:trPr>
          <w:trHeight w:val="230"/>
        </w:trPr>
        <w:tc>
          <w:tcPr>
            <w:tcW w:w="1240" w:type="dxa"/>
            <w:vAlign w:val="bottom"/>
          </w:tcPr>
          <w:p>
            <w:pPr>
              <w:spacing w:after="0"/>
              <w:rPr>
                <w:sz w:val="20"/>
                <w:szCs w:val="20"/>
                <w:color w:val="auto"/>
              </w:rPr>
            </w:pPr>
          </w:p>
        </w:tc>
        <w:tc>
          <w:tcPr>
            <w:tcW w:w="9680" w:type="dxa"/>
            <w:vAlign w:val="bottom"/>
            <w:gridSpan w:val="18"/>
          </w:tcPr>
          <w:p>
            <w:pPr>
              <w:spacing w:after="0"/>
              <w:rPr>
                <w:sz w:val="20"/>
                <w:szCs w:val="20"/>
                <w:color w:val="auto"/>
              </w:rPr>
            </w:pPr>
            <w:r>
              <w:rPr>
                <w:rFonts w:ascii="Arial" w:cs="Arial" w:eastAsia="Arial" w:hAnsi="Arial"/>
                <w:sz w:val="18"/>
                <w:szCs w:val="18"/>
                <w:color w:val="auto"/>
              </w:rPr>
              <w:t>within the Inline XBRL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101.SCH</w:t>
            </w:r>
          </w:p>
        </w:tc>
        <w:tc>
          <w:tcPr>
            <w:tcW w:w="9680" w:type="dxa"/>
            <w:vAlign w:val="bottom"/>
            <w:gridSpan w:val="18"/>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9680" w:type="dxa"/>
            <w:vAlign w:val="bottom"/>
            <w:gridSpan w:val="1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101.DEF</w:t>
            </w:r>
          </w:p>
        </w:tc>
        <w:tc>
          <w:tcPr>
            <w:tcW w:w="9680" w:type="dxa"/>
            <w:vAlign w:val="bottom"/>
            <w:gridSpan w:val="1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101.LAB</w:t>
            </w:r>
          </w:p>
        </w:tc>
        <w:tc>
          <w:tcPr>
            <w:tcW w:w="9680" w:type="dxa"/>
            <w:vAlign w:val="bottom"/>
            <w:gridSpan w:val="1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101.PRE</w:t>
            </w:r>
          </w:p>
        </w:tc>
        <w:tc>
          <w:tcPr>
            <w:tcW w:w="9680" w:type="dxa"/>
            <w:vAlign w:val="bottom"/>
            <w:gridSpan w:val="18"/>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07" w:lineRule="exact"/>
        <w:rPr>
          <w:sz w:val="20"/>
          <w:szCs w:val="20"/>
          <w:color w:val="auto"/>
        </w:rPr>
      </w:pPr>
    </w:p>
    <w:p>
      <w:pPr>
        <w:ind w:left="1360" w:right="160" w:hanging="1238"/>
        <w:spacing w:after="0" w:line="277" w:lineRule="auto"/>
        <w:tabs>
          <w:tab w:leader="none" w:pos="13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14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96901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40"/>
          </w:cols>
          <w:pgMar w:left="240" w:top="125" w:right="61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UNITI GROUP INC.</w:t>
            </w:r>
          </w:p>
        </w:tc>
      </w:tr>
      <w:tr>
        <w:trPr>
          <w:trHeight w:val="473"/>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900" w:type="dxa"/>
            <w:vAlign w:val="bottom"/>
          </w:tcPr>
          <w:p>
            <w:pPr>
              <w:ind w:left="280"/>
              <w:spacing w:after="0"/>
              <w:rPr>
                <w:sz w:val="20"/>
                <w:szCs w:val="20"/>
                <w:color w:val="auto"/>
              </w:rPr>
            </w:pPr>
            <w:r>
              <w:rPr>
                <w:rFonts w:ascii="Arial" w:cs="Arial" w:eastAsia="Arial" w:hAnsi="Arial"/>
                <w:sz w:val="18"/>
                <w:szCs w:val="18"/>
                <w:color w:val="auto"/>
              </w:rPr>
              <w:t>August 8, 2019</w:t>
            </w:r>
          </w:p>
        </w:tc>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A. Wallace</w:t>
            </w:r>
          </w:p>
        </w:tc>
      </w:tr>
      <w:tr>
        <w:trPr>
          <w:trHeight w:val="205"/>
        </w:trPr>
        <w:tc>
          <w:tcPr>
            <w:tcW w:w="68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5800" w:type="dxa"/>
            <w:vAlign w:val="bottom"/>
          </w:tcPr>
          <w:p>
            <w:pPr>
              <w:spacing w:after="0" w:line="205" w:lineRule="exact"/>
              <w:rPr>
                <w:sz w:val="20"/>
                <w:szCs w:val="20"/>
                <w:color w:val="auto"/>
              </w:rPr>
            </w:pPr>
            <w:r>
              <w:rPr>
                <w:rFonts w:ascii="Arial" w:cs="Arial" w:eastAsia="Arial" w:hAnsi="Arial"/>
                <w:sz w:val="18"/>
                <w:szCs w:val="18"/>
                <w:b w:val="1"/>
                <w:bCs w:val="1"/>
                <w:color w:val="auto"/>
              </w:rPr>
              <w:t>Mark A. Wallace</w:t>
            </w:r>
          </w:p>
        </w:tc>
      </w:tr>
      <w:tr>
        <w:trPr>
          <w:trHeight w:val="216"/>
        </w:trPr>
        <w:tc>
          <w:tcPr>
            <w:tcW w:w="6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Executive Vice President – Chief Financial Officer and Treasurer</w:t>
            </w:r>
          </w:p>
        </w:tc>
      </w:tr>
      <w:tr>
        <w:trPr>
          <w:trHeight w:val="234"/>
        </w:trPr>
        <w:tc>
          <w:tcPr>
            <w:tcW w:w="6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(Principal Financial Officer)</w:t>
            </w: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900" w:type="dxa"/>
            <w:vAlign w:val="bottom"/>
          </w:tcPr>
          <w:p>
            <w:pPr>
              <w:ind w:left="280"/>
              <w:spacing w:after="0"/>
              <w:rPr>
                <w:sz w:val="20"/>
                <w:szCs w:val="20"/>
                <w:color w:val="auto"/>
              </w:rPr>
            </w:pPr>
            <w:r>
              <w:rPr>
                <w:rFonts w:ascii="Arial" w:cs="Arial" w:eastAsia="Arial" w:hAnsi="Arial"/>
                <w:sz w:val="18"/>
                <w:szCs w:val="18"/>
                <w:color w:val="auto"/>
              </w:rPr>
              <w:t>August 8, 2019</w:t>
            </w:r>
          </w:p>
        </w:tc>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Blake Schuhmacher</w:t>
            </w:r>
          </w:p>
        </w:tc>
      </w:tr>
      <w:tr>
        <w:trPr>
          <w:trHeight w:val="191"/>
        </w:trPr>
        <w:tc>
          <w:tcPr>
            <w:tcW w:w="6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5800" w:type="dxa"/>
            <w:vAlign w:val="bottom"/>
          </w:tcPr>
          <w:p>
            <w:pPr>
              <w:spacing w:after="0" w:line="191" w:lineRule="exact"/>
              <w:rPr>
                <w:sz w:val="20"/>
                <w:szCs w:val="20"/>
                <w:color w:val="auto"/>
              </w:rPr>
            </w:pPr>
            <w:r>
              <w:rPr>
                <w:rFonts w:ascii="Arial" w:cs="Arial" w:eastAsia="Arial" w:hAnsi="Arial"/>
                <w:sz w:val="18"/>
                <w:szCs w:val="18"/>
                <w:b w:val="1"/>
                <w:bCs w:val="1"/>
                <w:color w:val="auto"/>
              </w:rPr>
              <w:t>Blake Schuhmacher</w:t>
            </w:r>
          </w:p>
        </w:tc>
      </w:tr>
      <w:tr>
        <w:trPr>
          <w:trHeight w:val="216"/>
        </w:trPr>
        <w:tc>
          <w:tcPr>
            <w:tcW w:w="6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Senior Vice President – Chief Accounting Officer</w:t>
            </w:r>
          </w:p>
        </w:tc>
      </w:tr>
      <w:tr>
        <w:trPr>
          <w:trHeight w:val="234"/>
        </w:trPr>
        <w:tc>
          <w:tcPr>
            <w:tcW w:w="6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125" w:right="279" w:bottom="1440" w:gutter="0" w:footer="0" w:header="0"/>
        </w:sectPr>
      </w:pPr>
    </w:p>
    <w:bookmarkStart w:id="64" w:name="page65"/>
    <w:bookmarkEnd w:id="64"/>
    <w:p>
      <w:pPr>
        <w:ind w:left="10300"/>
        <w:spacing w:after="0"/>
        <w:rPr>
          <w:sz w:val="20"/>
          <w:szCs w:val="20"/>
          <w:color w:val="auto"/>
        </w:rPr>
      </w:pPr>
      <w:r>
        <w:rPr>
          <w:rFonts w:ascii="Arial" w:cs="Arial" w:eastAsia="Arial" w:hAnsi="Arial"/>
          <w:sz w:val="19"/>
          <w:szCs w:val="19"/>
          <w:b w:val="1"/>
          <w:bCs w:val="1"/>
          <w:color w:val="auto"/>
        </w:rPr>
        <w:t>Exhibit 10.4</w:t>
      </w:r>
    </w:p>
    <w:p>
      <w:pPr>
        <w:spacing w:after="0" w:line="247"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1"/>
          <w:szCs w:val="21"/>
          <w:color w:val="auto"/>
        </w:rPr>
        <w:t>AGREEMENT OF RESIGNATION, APPOINTMENT AND ACCEPTANCE (the “Agreement”), dated as of June 26, 2019 by and among Uniti Group LP (“Uniti”), CSL Capital, LLC (“CSL”), Uniti Group Finance Inc. (“UGFI” and, together with Uniti and CSL, the “2023 Issuers”) and Uniti Fiber Holdings Inc. (“UFHI” and, together with Uniti and CSL, the “2024 Issuers”; the 2023 Issuers and the 2024 Issuers are collectively referred to herein as the “Issuers”), each a limited partnership, limited liability company or corporation, as applicable, duly organized and existing under the laws Delaware and having its principal offices at 10802 Executive Center Dr., Benton Building, Suite 300, Little Rock, AR 72211-4354, Deutsche Bank Trust Company Americas, a New York State banking institution and having a corporate trust office at 60 Wall Street, 16</w:t>
      </w:r>
      <w:r>
        <w:rPr>
          <w:rFonts w:ascii="Arial" w:cs="Arial" w:eastAsia="Arial" w:hAnsi="Arial"/>
          <w:sz w:val="17"/>
          <w:szCs w:val="17"/>
          <w:color w:val="auto"/>
        </w:rPr>
        <w:t>th</w:t>
      </w:r>
      <w:r>
        <w:rPr>
          <w:rFonts w:ascii="Arial" w:cs="Arial" w:eastAsia="Arial" w:hAnsi="Arial"/>
          <w:sz w:val="21"/>
          <w:szCs w:val="21"/>
          <w:color w:val="auto"/>
        </w:rPr>
        <w:t xml:space="preserve"> Floor, MS NYC60-1630, New York, New York 10005 (“Successor Trustee”) and Wells Fargo Bank, N.A., a national banking association duly organized and existing under the laws of United States of America and having a corporate trust office at 150 East 42nd Street, 40th Floor, New York, New York 10017 (“Resigning Trustee”).</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314" w:lineRule="exact"/>
        <w:rPr>
          <w:sz w:val="20"/>
          <w:szCs w:val="20"/>
          <w:color w:val="auto"/>
        </w:rPr>
      </w:pPr>
    </w:p>
    <w:p>
      <w:pPr>
        <w:jc w:val="both"/>
        <w:ind w:firstLine="877"/>
        <w:spacing w:after="0" w:line="275" w:lineRule="auto"/>
        <w:rPr>
          <w:sz w:val="20"/>
          <w:szCs w:val="20"/>
          <w:color w:val="auto"/>
        </w:rPr>
      </w:pPr>
      <w:r>
        <w:rPr>
          <w:rFonts w:ascii="Arial" w:cs="Arial" w:eastAsia="Arial" w:hAnsi="Arial"/>
          <w:sz w:val="19"/>
          <w:szCs w:val="19"/>
          <w:color w:val="auto"/>
        </w:rPr>
        <w:t>WHEREAS, there are currently $550,000,000.00 and $1,110,000,000.00 aggregate principal amount of the 2023 Issuers’ 6.000% Senior Secured Notes due 2023 (the “6.000% Notes”) and 8.250% Senior Notes due 2023 (the “8.250% Notes”) outstanding under indentures dated as of April 24, 2015, as amended and supplemented as of the date hereof, among the 2023 Issuers, the guarantors party thereto and the Resigning Trustee, as trustee and collateral agent, as applicable (the “2023 Indentures”), and $600,000,000.00 aggregate principal amount of the 2024 Issuers’ 7.125% Senior Notes due 2024 (the “7.125% Notes” and together with the 6.000% Notes and 8.250% Notes, the “Securities”) outstanding under the indenture dated as of December 15, 2016, as amended and supplemented as of the date hereof (the “2024 Indenture” and, together with the 2023 Indentures, the “Indentures”) among 2024 Issuers, the guarantors party thereto and the Resigning Trustee, as trustee;</w:t>
      </w:r>
    </w:p>
    <w:p>
      <w:pPr>
        <w:spacing w:after="0" w:line="50" w:lineRule="exact"/>
        <w:rPr>
          <w:sz w:val="20"/>
          <w:szCs w:val="20"/>
          <w:color w:val="auto"/>
        </w:rPr>
      </w:pPr>
    </w:p>
    <w:p>
      <w:pPr>
        <w:jc w:val="both"/>
        <w:ind w:firstLine="877"/>
        <w:spacing w:after="0" w:line="328" w:lineRule="auto"/>
        <w:rPr>
          <w:sz w:val="20"/>
          <w:szCs w:val="20"/>
          <w:color w:val="auto"/>
        </w:rPr>
      </w:pPr>
      <w:r>
        <w:rPr>
          <w:rFonts w:ascii="Arial" w:cs="Arial" w:eastAsia="Arial" w:hAnsi="Arial"/>
          <w:sz w:val="19"/>
          <w:szCs w:val="19"/>
          <w:color w:val="auto"/>
        </w:rPr>
        <w:t>WHEREAS, the Issuers appointed Resigning Trustee as the trustee (the “Trustee”), registrar (the “Registrar”), paying agent (the “Paying Agent”) and, with respect to the 6.000% Notes, collateral agent (the “Collateral Agent”) under the Indentures;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5" w:name="page66"/>
    <w:bookmarkEnd w:id="65"/>
    <w:p>
      <w:pPr>
        <w:jc w:val="both"/>
        <w:ind w:right="20" w:firstLine="877"/>
        <w:spacing w:after="0"/>
        <w:rPr>
          <w:sz w:val="20"/>
          <w:szCs w:val="20"/>
          <w:color w:val="auto"/>
        </w:rPr>
      </w:pPr>
      <w:r>
        <w:rPr>
          <w:rFonts w:ascii="Arial" w:cs="Arial" w:eastAsia="Arial" w:hAnsi="Arial"/>
          <w:sz w:val="22"/>
          <w:szCs w:val="22"/>
          <w:color w:val="auto"/>
        </w:rPr>
        <w:t>WHEREAS, Section 7.08 of the Indentures provide that the Trustee may at any time resign with respect to the Securities by giving written notice of such resignation to the Issuers, effective upon the acceptance by a successor Trustee of its appointment as a successor Trustee;</w:t>
      </w:r>
    </w:p>
    <w:p>
      <w:pPr>
        <w:spacing w:after="0" w:line="78"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WHEREAS, Section 7.08 of the Indentures provides that, if the Trustee shall resign, the Issuers shall promptly appoint a successor Trustee;</w:t>
      </w:r>
    </w:p>
    <w:p>
      <w:pPr>
        <w:spacing w:after="0" w:line="65"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WHEREAS, Section 10.03(g) of the Indenture governing the 6.000% Notes (the “Secured Notes Indenture”) provides that the Collateral Agent may resign at any time by notice to the Trustee and the 2023 Issuers, effective upon the acceptance of a successor agent to its appointment as Collateral Agent;</w:t>
      </w:r>
    </w:p>
    <w:p>
      <w:pPr>
        <w:spacing w:after="0" w:line="78"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WHEREAS, Section 10.03(g) of the Secured Notes Indenture provides that if the Collateral Agent shall resign, the 2023 Issuers shall appoint a successor Collateral Agent;</w:t>
      </w:r>
    </w:p>
    <w:p>
      <w:pPr>
        <w:spacing w:after="0" w:line="65"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WHEREAS, Section 7.08 of the Indentures provide that any successor Trustee appointed in accordance with the Indentures shall execute, acknowledge and deliver to the Issuers and to their predecessor Trustee an instrument accepting such appointment under each Indenture, and thereupon the resignation of the predecessor Trustee shall become effective and such successor Trustee, without any further act, deed or conveyance, shall become vested with all rights, powers, duties and obligations of the predecessor Trustee;</w:t>
      </w:r>
    </w:p>
    <w:p>
      <w:pPr>
        <w:spacing w:after="0" w:line="80"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WHEREAS, Section 10.03(g) of the Secured Notes Indenture provides that upon the acceptance of its appointment as successor Collateral Agent under the Secured Notes Indenture, such successor Collateral Agent shall succeed to all the rights, powers and duties of the retiring Collateral Agent, and the term “Collateral Agent” shall mean such successor collateral agent, and the retiring Collateral Agent’s appointment, powers and duties as the Collateral Agent shall be terminated;</w:t>
      </w:r>
    </w:p>
    <w:p>
      <w:pPr>
        <w:spacing w:after="0" w:line="35" w:lineRule="exact"/>
        <w:rPr>
          <w:sz w:val="20"/>
          <w:szCs w:val="20"/>
          <w:color w:val="auto"/>
        </w:rPr>
      </w:pPr>
    </w:p>
    <w:p>
      <w:pPr>
        <w:jc w:val="both"/>
        <w:ind w:right="20" w:firstLine="877"/>
        <w:spacing w:after="0" w:line="251" w:lineRule="auto"/>
        <w:rPr>
          <w:sz w:val="20"/>
          <w:szCs w:val="20"/>
          <w:color w:val="auto"/>
        </w:rPr>
      </w:pPr>
      <w:r>
        <w:rPr>
          <w:rFonts w:ascii="Arial" w:cs="Arial" w:eastAsia="Arial" w:hAnsi="Arial"/>
          <w:sz w:val="22"/>
          <w:szCs w:val="22"/>
          <w:color w:val="auto"/>
        </w:rPr>
        <w:t>WHEREAS, the Resigning Trustee has given written notice to the Issuers that it is resigning as Trustee, Registrar, Paying Agent and Collateral Agent, as applicable, under the Indentures;</w:t>
      </w:r>
    </w:p>
    <w:p>
      <w:pPr>
        <w:spacing w:after="0" w:line="65" w:lineRule="exact"/>
        <w:rPr>
          <w:sz w:val="20"/>
          <w:szCs w:val="20"/>
          <w:color w:val="auto"/>
        </w:rPr>
      </w:pPr>
    </w:p>
    <w:p>
      <w:pPr>
        <w:jc w:val="both"/>
        <w:ind w:right="20" w:firstLine="877"/>
        <w:spacing w:after="0" w:line="274" w:lineRule="auto"/>
        <w:rPr>
          <w:sz w:val="20"/>
          <w:szCs w:val="20"/>
          <w:color w:val="auto"/>
        </w:rPr>
      </w:pPr>
      <w:r>
        <w:rPr>
          <w:rFonts w:ascii="Arial" w:cs="Arial" w:eastAsia="Arial" w:hAnsi="Arial"/>
          <w:sz w:val="21"/>
          <w:szCs w:val="21"/>
          <w:color w:val="auto"/>
        </w:rPr>
        <w:t>WHEREAS, the Issuers desire to appoint Successor Trustee as successor Trustee, Registrar, Paying Agent and Collateral Agent, as applicable, to succeed Resigning Trustee in such capacities, as applicable, under the Indentures; and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6" w:name="page67"/>
    <w:bookmarkEnd w:id="66"/>
    <w:p>
      <w:pPr>
        <w:jc w:val="both"/>
        <w:ind w:right="20" w:firstLine="877"/>
        <w:spacing w:after="0" w:line="251" w:lineRule="auto"/>
        <w:rPr>
          <w:sz w:val="20"/>
          <w:szCs w:val="20"/>
          <w:color w:val="auto"/>
        </w:rPr>
      </w:pPr>
      <w:r>
        <w:rPr>
          <w:rFonts w:ascii="Arial" w:cs="Arial" w:eastAsia="Arial" w:hAnsi="Arial"/>
          <w:sz w:val="22"/>
          <w:szCs w:val="22"/>
          <w:color w:val="auto"/>
        </w:rPr>
        <w:t>WHEREAS, Successor Trustee is willing to accept such appointment as successor Trustee, Registrar, Paying Agent and Collateral Agent, as applicable, under the Indentures;</w:t>
      </w:r>
    </w:p>
    <w:p>
      <w:pPr>
        <w:spacing w:after="0" w:line="65"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NOW, THEREFORE, the Issuers, Resigning Trustee and Successor Trustee, for and in consideration of the premises and of other good and valuable consideration, the receipt and sufficiency of which are hereby acknowledged, hereby consent and agree as follows: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THE RESIGNING TRUSTEE</w:t>
      </w:r>
    </w:p>
    <w:p>
      <w:pPr>
        <w:spacing w:after="0" w:line="206"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21"/>
          <w:szCs w:val="21"/>
          <w:color w:val="auto"/>
        </w:rPr>
        <w:t>1.1 Pursuant to Section 7.08 of the Indentures, Resigning Trustee has by letter notified the Issuers that Resigning Trustee is resigning as Trustee, Registrar, Paying Agent and Collateral Agent, as applicable, under the Indentures.</w:t>
      </w:r>
    </w:p>
    <w:p>
      <w:pPr>
        <w:spacing w:after="0" w:line="43"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Resigning Trustee hereby represents and warrants to Successor Trustee that:</w:t>
      </w:r>
    </w:p>
    <w:p>
      <w:pPr>
        <w:spacing w:after="0" w:line="98" w:lineRule="exact"/>
        <w:rPr>
          <w:sz w:val="20"/>
          <w:szCs w:val="20"/>
          <w:color w:val="auto"/>
        </w:rPr>
      </w:pPr>
    </w:p>
    <w:p>
      <w:pPr>
        <w:ind w:left="2620" w:hanging="870"/>
        <w:spacing w:after="0" w:line="274" w:lineRule="auto"/>
        <w:tabs>
          <w:tab w:leader="none" w:pos="2620" w:val="left"/>
        </w:tabs>
        <w:numPr>
          <w:ilvl w:val="0"/>
          <w:numId w:val="19"/>
        </w:numPr>
        <w:rPr>
          <w:rFonts w:ascii="Arial" w:cs="Arial" w:eastAsia="Arial" w:hAnsi="Arial"/>
          <w:sz w:val="21"/>
          <w:szCs w:val="21"/>
          <w:color w:val="auto"/>
        </w:rPr>
      </w:pPr>
      <w:r>
        <w:rPr>
          <w:rFonts w:ascii="Arial" w:cs="Arial" w:eastAsia="Arial" w:hAnsi="Arial"/>
          <w:sz w:val="21"/>
          <w:szCs w:val="21"/>
          <w:color w:val="auto"/>
        </w:rPr>
        <w:t>Each Indenture, and each amendment and supplemental indenture thereto, if any, was validly and lawfully executed and delivered by the Resigning Trustee and is in full force and effect.</w:t>
      </w:r>
    </w:p>
    <w:p>
      <w:pPr>
        <w:spacing w:after="0" w:line="42" w:lineRule="exact"/>
        <w:rPr>
          <w:rFonts w:ascii="Arial" w:cs="Arial" w:eastAsia="Arial" w:hAnsi="Arial"/>
          <w:sz w:val="21"/>
          <w:szCs w:val="21"/>
          <w:color w:val="auto"/>
        </w:rPr>
      </w:pPr>
    </w:p>
    <w:p>
      <w:pPr>
        <w:jc w:val="both"/>
        <w:ind w:left="2620" w:hanging="870"/>
        <w:spacing w:after="0" w:line="238" w:lineRule="auto"/>
        <w:tabs>
          <w:tab w:leader="none" w:pos="26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No covenant or condition contained in any Indenture has been waived by Resigning Trustee or, to the best knowledge of responsible officers of Resigning Trustee’s corporate trust department, by the Holders of the percentage in aggregate principal amount of the Securities required by the Indentures to effect any such waiver.</w:t>
      </w:r>
    </w:p>
    <w:p>
      <w:pPr>
        <w:spacing w:after="0" w:line="76" w:lineRule="exact"/>
        <w:rPr>
          <w:rFonts w:ascii="Arial" w:cs="Arial" w:eastAsia="Arial" w:hAnsi="Arial"/>
          <w:sz w:val="22"/>
          <w:szCs w:val="22"/>
          <w:color w:val="auto"/>
        </w:rPr>
      </w:pPr>
    </w:p>
    <w:p>
      <w:pPr>
        <w:jc w:val="both"/>
        <w:ind w:left="2620" w:hanging="870"/>
        <w:spacing w:after="0" w:line="238" w:lineRule="auto"/>
        <w:tabs>
          <w:tab w:leader="none" w:pos="26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To the best knowledge of responsible officers of Resigning Trustee’s corporate trust department, there is no action, suit or proceeding pending or threatened against Resigning Trustee before any court or any governmental authority arising out of any act or omission of Resigning Trustee as Trustee under the Indentures.</w:t>
      </w:r>
    </w:p>
    <w:p>
      <w:pPr>
        <w:spacing w:after="0" w:line="76" w:lineRule="exact"/>
        <w:rPr>
          <w:rFonts w:ascii="Arial" w:cs="Arial" w:eastAsia="Arial" w:hAnsi="Arial"/>
          <w:sz w:val="22"/>
          <w:szCs w:val="22"/>
          <w:color w:val="auto"/>
        </w:rPr>
      </w:pPr>
    </w:p>
    <w:p>
      <w:pPr>
        <w:ind w:left="2620" w:hanging="870"/>
        <w:spacing w:after="0" w:line="251" w:lineRule="auto"/>
        <w:tabs>
          <w:tab w:leader="none" w:pos="26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As of the effective date of this Agreement, Resigning Trustee will hold no moneys or property under any Indenture.</w:t>
      </w:r>
    </w:p>
    <w:p>
      <w:pPr>
        <w:spacing w:after="0" w:line="65" w:lineRule="exact"/>
        <w:rPr>
          <w:rFonts w:ascii="Arial" w:cs="Arial" w:eastAsia="Arial" w:hAnsi="Arial"/>
          <w:sz w:val="22"/>
          <w:szCs w:val="22"/>
          <w:color w:val="auto"/>
        </w:rPr>
      </w:pPr>
    </w:p>
    <w:p>
      <w:pPr>
        <w:ind w:left="2620" w:hanging="870"/>
        <w:spacing w:after="0" w:line="251" w:lineRule="auto"/>
        <w:tabs>
          <w:tab w:leader="none" w:pos="26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Pursuant to Section 2.02 of the Indentures, Resigning Trustee has duly authenticated and delivered $2,260,000,000.00 aggregate principal amount</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7" w:name="page68"/>
    <w:bookmarkEnd w:id="67"/>
    <w:p>
      <w:pPr>
        <w:jc w:val="both"/>
        <w:ind w:left="2620"/>
        <w:spacing w:after="0"/>
        <w:rPr>
          <w:sz w:val="20"/>
          <w:szCs w:val="20"/>
          <w:color w:val="auto"/>
        </w:rPr>
      </w:pPr>
      <w:r>
        <w:rPr>
          <w:rFonts w:ascii="Arial" w:cs="Arial" w:eastAsia="Arial" w:hAnsi="Arial"/>
          <w:sz w:val="22"/>
          <w:szCs w:val="22"/>
          <w:color w:val="auto"/>
        </w:rPr>
        <w:t>of Securities, $2,260,000,000.00 of which are outstanding as of the effective date hereof and interest has been paid through the most recent date on which interest is required to be paid in accordance with the terms of such Securities.</w:t>
      </w:r>
    </w:p>
    <w:p>
      <w:pPr>
        <w:spacing w:after="0" w:line="78" w:lineRule="exact"/>
        <w:rPr>
          <w:sz w:val="20"/>
          <w:szCs w:val="20"/>
          <w:color w:val="auto"/>
        </w:rPr>
      </w:pPr>
    </w:p>
    <w:p>
      <w:pPr>
        <w:ind w:left="2620" w:hanging="870"/>
        <w:spacing w:after="0" w:line="251" w:lineRule="auto"/>
        <w:tabs>
          <w:tab w:leader="none" w:pos="26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registers in which it has registered and transferred registered Securities accurately reflect the amount of Securities issued and outstanding and the amounts payable thereon.</w:t>
      </w:r>
    </w:p>
    <w:p>
      <w:pPr>
        <w:spacing w:after="0" w:line="65" w:lineRule="exact"/>
        <w:rPr>
          <w:rFonts w:ascii="Arial" w:cs="Arial" w:eastAsia="Arial" w:hAnsi="Arial"/>
          <w:sz w:val="22"/>
          <w:szCs w:val="22"/>
          <w:color w:val="auto"/>
        </w:rPr>
      </w:pPr>
    </w:p>
    <w:p>
      <w:pPr>
        <w:jc w:val="both"/>
        <w:ind w:left="2620" w:hanging="870"/>
        <w:spacing w:after="0" w:line="238" w:lineRule="auto"/>
        <w:tabs>
          <w:tab w:leader="none" w:pos="26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Each person who so authenticated the Securities was duly elected, qualified and acting as an officer or authorized signatory of Resigning Trustee and empowered to authenticate the Securities at the respective times of such authentication and the signature of such person or persons appearing on such Securities is each such person’s genuine signature.</w:t>
      </w:r>
    </w:p>
    <w:p>
      <w:pPr>
        <w:spacing w:after="0" w:line="76" w:lineRule="exact"/>
        <w:rPr>
          <w:rFonts w:ascii="Arial" w:cs="Arial" w:eastAsia="Arial" w:hAnsi="Arial"/>
          <w:sz w:val="22"/>
          <w:szCs w:val="22"/>
          <w:color w:val="auto"/>
        </w:rPr>
      </w:pPr>
    </w:p>
    <w:p>
      <w:pPr>
        <w:ind w:left="2620" w:right="20" w:hanging="870"/>
        <w:spacing w:after="0" w:line="326" w:lineRule="auto"/>
        <w:tabs>
          <w:tab w:leader="none" w:pos="26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This Agreement has been duly authorized, executed and delivered on behalf of Resigning Trustee and constitutes its legal, valid and binding obligation, enforceable in accordance with its terms.</w:t>
      </w:r>
    </w:p>
    <w:p>
      <w:pPr>
        <w:jc w:val="both"/>
        <w:ind w:left="2620" w:hanging="870"/>
        <w:spacing w:after="0" w:line="236" w:lineRule="auto"/>
        <w:tabs>
          <w:tab w:leader="none" w:pos="26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To its best knowledge, no responsible officer of the Resigning Trustee’s corporate trust department has received notice from the Issuers or any Holder that a default or Event of Default has occurred and is continuing, and no responsible officer of the Resigning Trustee’s corporate trust department has actual knowledge that a default or Event of Default has occurred and is continuing under any Indenture.</w:t>
      </w:r>
    </w:p>
    <w:p>
      <w:pPr>
        <w:spacing w:after="0" w:line="80"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9"/>
          <w:szCs w:val="19"/>
          <w:color w:val="auto"/>
        </w:rPr>
        <w:t>1.3 Resigning Trustee hereby assigns, transfers, delivers and confirms to Successor Trustee all right, title and interest of Resigning Trustee in and to the trust under the Indentures and all the rights, powers, trusts, privileges, immunities, duties and obligations of the Trustee under the Indentures, including, without limitation, all of its rights to, and all of its security interests in and liens upon, the collateral, if any, and all other rights of Resigning Trustee with respect to the collateral, if any, pursuant to the transaction documents. Resigning Trustee shall execute and deliver such further instruments and shall do such other things as Successor Trustee may reasonably require so as to more fully and certainly vest and confirm in Successor Trustee all the rights, powers, trusts, privileges, immunities, duties and obligations hereby assigned, transferred,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8" w:name="page69"/>
    <w:bookmarkEnd w:id="68"/>
    <w:p>
      <w:pPr>
        <w:spacing w:after="0"/>
        <w:rPr>
          <w:sz w:val="20"/>
          <w:szCs w:val="20"/>
          <w:color w:val="auto"/>
        </w:rPr>
      </w:pPr>
      <w:r>
        <w:rPr>
          <w:rFonts w:ascii="Arial" w:cs="Arial" w:eastAsia="Arial" w:hAnsi="Arial"/>
          <w:sz w:val="21"/>
          <w:szCs w:val="21"/>
          <w:color w:val="auto"/>
        </w:rPr>
        <w:t>delivered and confirmed to Successor Trustee as Trustee, Registrar, Paying Agent and Collateral Agent, as applicable.</w:t>
      </w:r>
    </w:p>
    <w:p>
      <w:pPr>
        <w:spacing w:after="0" w:line="110" w:lineRule="exact"/>
        <w:rPr>
          <w:sz w:val="20"/>
          <w:szCs w:val="20"/>
          <w:color w:val="auto"/>
        </w:rPr>
      </w:pPr>
    </w:p>
    <w:p>
      <w:pPr>
        <w:jc w:val="both"/>
        <w:ind w:firstLine="877"/>
        <w:spacing w:after="0" w:line="326" w:lineRule="auto"/>
        <w:rPr>
          <w:sz w:val="20"/>
          <w:szCs w:val="20"/>
          <w:color w:val="auto"/>
        </w:rPr>
      </w:pPr>
      <w:r>
        <w:rPr>
          <w:rFonts w:ascii="Arial" w:cs="Arial" w:eastAsia="Arial" w:hAnsi="Arial"/>
          <w:sz w:val="19"/>
          <w:szCs w:val="19"/>
          <w:color w:val="auto"/>
        </w:rPr>
        <w:t>1.4 Resigning Trustee shall deliver to Successor Trustee, as of or promptly after the effective date hereof, all of the documents listed on Exhibit A hereto, to the extent that such documents exist and are in the Resigning Trustee’s possession.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THE ISSUERS</w:t>
      </w:r>
    </w:p>
    <w:p>
      <w:pPr>
        <w:spacing w:after="0" w:line="206"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2.1 The Issuers hereby accept the resignation of Resigning Trustee as Trustee, Registrar, Paying Agent and Collateral Agent, as applicable, under the Indentures.</w:t>
      </w:r>
    </w:p>
    <w:p>
      <w:pPr>
        <w:spacing w:after="0" w:line="65" w:lineRule="exact"/>
        <w:rPr>
          <w:sz w:val="20"/>
          <w:szCs w:val="20"/>
          <w:color w:val="auto"/>
        </w:rPr>
      </w:pPr>
    </w:p>
    <w:p>
      <w:pPr>
        <w:jc w:val="both"/>
        <w:ind w:firstLine="877"/>
        <w:spacing w:after="0" w:line="252" w:lineRule="auto"/>
        <w:rPr>
          <w:sz w:val="20"/>
          <w:szCs w:val="20"/>
          <w:color w:val="auto"/>
        </w:rPr>
      </w:pPr>
      <w:r>
        <w:rPr>
          <w:rFonts w:ascii="Arial" w:cs="Arial" w:eastAsia="Arial" w:hAnsi="Arial"/>
          <w:sz w:val="21"/>
          <w:szCs w:val="21"/>
          <w:color w:val="auto"/>
        </w:rPr>
        <w:t>2.2 Each Issuer hereby appoints Successor Trustee as Trustee, Registrar, Paying Agent and Collateral Agent, as applicable, under the Indenture(s) to which it is a party to succeed to, and hereby vests Successor Trustee with, all the rights, powers, trusts, privileges, immunities, duties and obligations of Resigning Trustee under such Indenture(s) with like effect as if originally named as Trustee, Registrar, Paying Agent and Collateral Agent, as applicable, in such Indenture(s).</w:t>
      </w:r>
    </w:p>
    <w:p>
      <w:pPr>
        <w:spacing w:after="0" w:line="66"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2.3 The Issuers, severally and not jointly, hereby represent and warrant to Resigning Trustee and Successor Trustee that:</w:t>
      </w:r>
    </w:p>
    <w:p>
      <w:pPr>
        <w:spacing w:after="0" w:line="65" w:lineRule="exact"/>
        <w:rPr>
          <w:sz w:val="20"/>
          <w:szCs w:val="20"/>
          <w:color w:val="auto"/>
        </w:rPr>
      </w:pPr>
    </w:p>
    <w:p>
      <w:pPr>
        <w:ind w:left="2620" w:hanging="870"/>
        <w:spacing w:after="0" w:line="251" w:lineRule="auto"/>
        <w:tabs>
          <w:tab w:leader="none" w:pos="26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Each Issuer is a limited partnership, limited liability company or corporation, as applicable, duly and validly organized and existing pursuant to the laws of the State of Delaware.</w:t>
      </w:r>
    </w:p>
    <w:p>
      <w:pPr>
        <w:spacing w:after="0" w:line="65" w:lineRule="exact"/>
        <w:rPr>
          <w:rFonts w:ascii="Arial" w:cs="Arial" w:eastAsia="Arial" w:hAnsi="Arial"/>
          <w:sz w:val="22"/>
          <w:szCs w:val="22"/>
          <w:color w:val="auto"/>
        </w:rPr>
      </w:pPr>
    </w:p>
    <w:p>
      <w:pPr>
        <w:jc w:val="both"/>
        <w:ind w:left="2620" w:hanging="870"/>
        <w:spacing w:after="0"/>
        <w:tabs>
          <w:tab w:leader="none" w:pos="26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Each Indenture, and each amendment or supplemental indenture thereto, was validly and lawfully executed and delivered by the Issuers party thereto and is in full force and effect and the Securities were validly issued by the applicable Issuers.</w:t>
      </w:r>
    </w:p>
    <w:p>
      <w:pPr>
        <w:spacing w:after="0" w:line="78" w:lineRule="exact"/>
        <w:rPr>
          <w:rFonts w:ascii="Arial" w:cs="Arial" w:eastAsia="Arial" w:hAnsi="Arial"/>
          <w:sz w:val="22"/>
          <w:szCs w:val="22"/>
          <w:color w:val="auto"/>
        </w:rPr>
      </w:pPr>
    </w:p>
    <w:p>
      <w:pPr>
        <w:jc w:val="both"/>
        <w:ind w:left="2620" w:hanging="870"/>
        <w:spacing w:after="0"/>
        <w:tabs>
          <w:tab w:leader="none" w:pos="26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Each Issuer has performed or fulfilled prior to the date hereof, and will continue to perform and fulfill after the date hereof, each covenant, agreement, condition, obligation and responsibility under the applicable Indenture(s).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9" w:name="page70"/>
    <w:bookmarkEnd w:id="69"/>
    <w:p>
      <w:pPr>
        <w:ind w:left="1740" w:right="20" w:hanging="870"/>
        <w:spacing w:after="0" w:line="251" w:lineRule="auto"/>
        <w:tabs>
          <w:tab w:leader="none" w:pos="17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No event has occurred and is continuing which is, or after notice or lapse of time would become, an Event of Default under the Indenture(s) to which it is a party.</w:t>
      </w:r>
    </w:p>
    <w:p>
      <w:pPr>
        <w:spacing w:after="0" w:line="65" w:lineRule="exact"/>
        <w:rPr>
          <w:rFonts w:ascii="Arial" w:cs="Arial" w:eastAsia="Arial" w:hAnsi="Arial"/>
          <w:sz w:val="22"/>
          <w:szCs w:val="22"/>
          <w:color w:val="auto"/>
        </w:rPr>
      </w:pPr>
    </w:p>
    <w:p>
      <w:pPr>
        <w:jc w:val="both"/>
        <w:ind w:left="1740" w:hanging="870"/>
        <w:spacing w:after="0" w:line="258" w:lineRule="auto"/>
        <w:tabs>
          <w:tab w:leader="none" w:pos="1740" w:val="left"/>
        </w:tabs>
        <w:numPr>
          <w:ilvl w:val="0"/>
          <w:numId w:val="22"/>
        </w:numPr>
        <w:rPr>
          <w:rFonts w:ascii="Arial" w:cs="Arial" w:eastAsia="Arial" w:hAnsi="Arial"/>
          <w:sz w:val="21"/>
          <w:szCs w:val="21"/>
          <w:color w:val="auto"/>
        </w:rPr>
      </w:pPr>
      <w:r>
        <w:rPr>
          <w:rFonts w:ascii="Arial" w:cs="Arial" w:eastAsia="Arial" w:hAnsi="Arial"/>
          <w:sz w:val="21"/>
          <w:szCs w:val="21"/>
          <w:color w:val="auto"/>
        </w:rPr>
        <w:t>No covenant or condition contained in the Indentures has been waived by the Issuers party thereto or, to the best of each such Issuer’s knowledge, by Holders of the percentage in aggregate principal amount of the Securities required to effect any such waiver.</w:t>
      </w:r>
    </w:p>
    <w:p>
      <w:pPr>
        <w:spacing w:after="0" w:line="58" w:lineRule="exact"/>
        <w:rPr>
          <w:rFonts w:ascii="Arial" w:cs="Arial" w:eastAsia="Arial" w:hAnsi="Arial"/>
          <w:sz w:val="21"/>
          <w:szCs w:val="21"/>
          <w:color w:val="auto"/>
        </w:rPr>
      </w:pPr>
    </w:p>
    <w:p>
      <w:pPr>
        <w:jc w:val="both"/>
        <w:ind w:left="1740" w:hanging="870"/>
        <w:spacing w:after="0" w:line="258" w:lineRule="auto"/>
        <w:tabs>
          <w:tab w:leader="none" w:pos="1740" w:val="left"/>
        </w:tabs>
        <w:numPr>
          <w:ilvl w:val="0"/>
          <w:numId w:val="22"/>
        </w:numPr>
        <w:rPr>
          <w:rFonts w:ascii="Arial" w:cs="Arial" w:eastAsia="Arial" w:hAnsi="Arial"/>
          <w:sz w:val="21"/>
          <w:szCs w:val="21"/>
          <w:color w:val="auto"/>
        </w:rPr>
      </w:pPr>
      <w:r>
        <w:rPr>
          <w:rFonts w:ascii="Arial" w:cs="Arial" w:eastAsia="Arial" w:hAnsi="Arial"/>
          <w:sz w:val="21"/>
          <w:szCs w:val="21"/>
          <w:color w:val="auto"/>
        </w:rPr>
        <w:t>There is no action, suit or proceeding pending or, to the best of the each Issuer’s knowledge, threatened against such Issuer before any court or any governmental authority arising out of any act or omission of such Issuer under the Indenture(s) to which it is a party.</w:t>
      </w:r>
    </w:p>
    <w:p>
      <w:pPr>
        <w:spacing w:after="0" w:line="58" w:lineRule="exact"/>
        <w:rPr>
          <w:rFonts w:ascii="Arial" w:cs="Arial" w:eastAsia="Arial" w:hAnsi="Arial"/>
          <w:sz w:val="21"/>
          <w:szCs w:val="21"/>
          <w:color w:val="auto"/>
        </w:rPr>
      </w:pPr>
    </w:p>
    <w:p>
      <w:pPr>
        <w:ind w:left="1740" w:hanging="870"/>
        <w:spacing w:after="0" w:line="274" w:lineRule="auto"/>
        <w:tabs>
          <w:tab w:leader="none" w:pos="1740" w:val="left"/>
        </w:tabs>
        <w:numPr>
          <w:ilvl w:val="0"/>
          <w:numId w:val="22"/>
        </w:numPr>
        <w:rPr>
          <w:rFonts w:ascii="Arial" w:cs="Arial" w:eastAsia="Arial" w:hAnsi="Arial"/>
          <w:sz w:val="21"/>
          <w:szCs w:val="21"/>
          <w:color w:val="auto"/>
        </w:rPr>
      </w:pPr>
      <w:r>
        <w:rPr>
          <w:rFonts w:ascii="Arial" w:cs="Arial" w:eastAsia="Arial" w:hAnsi="Arial"/>
          <w:sz w:val="21"/>
          <w:szCs w:val="21"/>
          <w:color w:val="auto"/>
        </w:rPr>
        <w:t>This Agreement has been duly authorized, executed and delivered on behalf of each Issuer and constitutes its legal, valid and binding obligation, enforceable in accordance with its terms.</w:t>
      </w:r>
    </w:p>
    <w:p>
      <w:pPr>
        <w:spacing w:after="0" w:line="42" w:lineRule="exact"/>
        <w:rPr>
          <w:rFonts w:ascii="Arial" w:cs="Arial" w:eastAsia="Arial" w:hAnsi="Arial"/>
          <w:sz w:val="21"/>
          <w:szCs w:val="21"/>
          <w:color w:val="auto"/>
        </w:rPr>
      </w:pPr>
    </w:p>
    <w:p>
      <w:pPr>
        <w:jc w:val="both"/>
        <w:ind w:left="1740" w:hanging="870"/>
        <w:spacing w:after="0"/>
        <w:tabs>
          <w:tab w:leader="none" w:pos="17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All conditions precedent relating to the appointment of Deutsche Bank Trust Company Americas as successor Trustee and Collateral Agent, as applicable, under the Indentures have been complied with by the applicable Issuers.</w:t>
      </w:r>
    </w:p>
    <w:p>
      <w:pPr>
        <w:spacing w:after="0" w:line="78" w:lineRule="exact"/>
        <w:rPr>
          <w:rFonts w:ascii="Arial" w:cs="Arial" w:eastAsia="Arial" w:hAnsi="Arial"/>
          <w:sz w:val="22"/>
          <w:szCs w:val="22"/>
          <w:color w:val="auto"/>
        </w:rPr>
      </w:pPr>
    </w:p>
    <w:p>
      <w:pPr>
        <w:ind w:left="1740" w:hanging="870"/>
        <w:spacing w:after="0" w:line="251" w:lineRule="auto"/>
        <w:tabs>
          <w:tab w:leader="none" w:pos="17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No Issuer has appointed any paying agents under the Indenture(s) to which it is a party other than the Resigning Trustee.</w:t>
      </w:r>
    </w:p>
    <w:p>
      <w:pPr>
        <w:spacing w:after="0" w:line="173" w:lineRule="exact"/>
        <w:rPr>
          <w:sz w:val="20"/>
          <w:szCs w:val="20"/>
          <w:color w:val="auto"/>
        </w:rPr>
      </w:pPr>
    </w:p>
    <w:p>
      <w:pPr>
        <w:jc w:val="center"/>
        <w:ind w:right="880"/>
        <w:spacing w:after="0"/>
        <w:rPr>
          <w:sz w:val="20"/>
          <w:szCs w:val="20"/>
          <w:color w:val="auto"/>
        </w:rPr>
      </w:pPr>
      <w:r>
        <w:rPr>
          <w:rFonts w:ascii="Arial" w:cs="Arial" w:eastAsia="Arial" w:hAnsi="Arial"/>
          <w:sz w:val="22"/>
          <w:szCs w:val="22"/>
          <w:color w:val="auto"/>
        </w:rPr>
        <w:t>3</w:t>
      </w:r>
    </w:p>
    <w:p>
      <w:pPr>
        <w:spacing w:after="0" w:line="233" w:lineRule="exact"/>
        <w:rPr>
          <w:sz w:val="20"/>
          <w:szCs w:val="20"/>
          <w:color w:val="auto"/>
        </w:rPr>
      </w:pPr>
    </w:p>
    <w:p>
      <w:pPr>
        <w:ind w:left="3480"/>
        <w:spacing w:after="0"/>
        <w:rPr>
          <w:sz w:val="20"/>
          <w:szCs w:val="20"/>
          <w:color w:val="auto"/>
        </w:rPr>
      </w:pPr>
      <w:r>
        <w:rPr>
          <w:rFonts w:ascii="Arial" w:cs="Arial" w:eastAsia="Arial" w:hAnsi="Arial"/>
          <w:sz w:val="22"/>
          <w:szCs w:val="22"/>
          <w:u w:val="single" w:color="auto"/>
          <w:color w:val="auto"/>
        </w:rPr>
        <w:t>THE SUCCESSOR TRUSTEE</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Successor Trustee hereby represents and warrants to Resigning Trustee and to the Issuers that:</w:t>
      </w:r>
    </w:p>
    <w:p>
      <w:pPr>
        <w:spacing w:after="0" w:line="98" w:lineRule="exact"/>
        <w:rPr>
          <w:sz w:val="20"/>
          <w:szCs w:val="20"/>
          <w:color w:val="auto"/>
        </w:rPr>
      </w:pPr>
    </w:p>
    <w:p>
      <w:pPr>
        <w:ind w:left="1740" w:hanging="870"/>
        <w:spacing w:after="0"/>
        <w:tabs>
          <w:tab w:leader="none" w:pos="1740" w:val="left"/>
        </w:tabs>
        <w:numPr>
          <w:ilvl w:val="0"/>
          <w:numId w:val="23"/>
        </w:numPr>
        <w:rPr>
          <w:rFonts w:ascii="Arial" w:cs="Arial" w:eastAsia="Arial" w:hAnsi="Arial"/>
          <w:sz w:val="22"/>
          <w:szCs w:val="22"/>
          <w:color w:val="auto"/>
        </w:rPr>
      </w:pPr>
      <w:r>
        <w:rPr>
          <w:rFonts w:ascii="Arial" w:cs="Arial" w:eastAsia="Arial" w:hAnsi="Arial"/>
          <w:sz w:val="22"/>
          <w:szCs w:val="22"/>
          <w:color w:val="auto"/>
        </w:rPr>
        <w:t>Successor Trustee is eligible to act as Trustee under the provisions of the Indentures.</w:t>
      </w:r>
    </w:p>
    <w:p>
      <w:pPr>
        <w:spacing w:after="0" w:line="98" w:lineRule="exact"/>
        <w:rPr>
          <w:rFonts w:ascii="Arial" w:cs="Arial" w:eastAsia="Arial" w:hAnsi="Arial"/>
          <w:sz w:val="22"/>
          <w:szCs w:val="22"/>
          <w:color w:val="auto"/>
        </w:rPr>
      </w:pPr>
    </w:p>
    <w:p>
      <w:pPr>
        <w:ind w:left="1740" w:right="20" w:hanging="870"/>
        <w:spacing w:after="0" w:line="251" w:lineRule="auto"/>
        <w:tabs>
          <w:tab w:leader="none" w:pos="1740" w:val="left"/>
        </w:tabs>
        <w:numPr>
          <w:ilvl w:val="0"/>
          <w:numId w:val="23"/>
        </w:numPr>
        <w:rPr>
          <w:rFonts w:ascii="Arial" w:cs="Arial" w:eastAsia="Arial" w:hAnsi="Arial"/>
          <w:sz w:val="22"/>
          <w:szCs w:val="22"/>
          <w:color w:val="auto"/>
        </w:rPr>
      </w:pPr>
      <w:r>
        <w:rPr>
          <w:rFonts w:ascii="Arial" w:cs="Arial" w:eastAsia="Arial" w:hAnsi="Arial"/>
          <w:sz w:val="22"/>
          <w:szCs w:val="22"/>
          <w:color w:val="auto"/>
        </w:rPr>
        <w:t>Successor Trustee is eligible to act as Collateral Agent under the provisions of the Secured Notes Indenture.</w:t>
      </w:r>
    </w:p>
    <w:p>
      <w:pPr>
        <w:spacing w:after="0" w:line="281"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191770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34" w:right="239" w:bottom="1440" w:gutter="0" w:footer="0" w:header="0"/>
        </w:sectPr>
      </w:pPr>
    </w:p>
    <w:bookmarkStart w:id="70" w:name="page71"/>
    <w:bookmarkEnd w:id="70"/>
    <w:p>
      <w:pPr>
        <w:ind w:left="2620" w:hanging="870"/>
        <w:spacing w:after="0" w:line="326" w:lineRule="auto"/>
        <w:tabs>
          <w:tab w:leader="none" w:pos="26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This Agreement has been duly authorized, executed and delivered on behalf of Successor Trustee and constitutes its legal, valid and binding obligation, enforceable in accordance with its terms.</w:t>
      </w:r>
    </w:p>
    <w:p>
      <w:pPr>
        <w:spacing w:after="0" w:line="1"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3.2 Successor Trustee hereby accepts its appointment as successor Trustee, Registrar, Paying Agent and Collateral Agent, as applicable, under the Indentures and accepts the rights, powers, trusts, privileges, immunities, duties and obligations of Resigning Trustee as Trustee, Registrar, Paying Agent and Collateral Agent, as applicable, under the Indentures, upon the terms and conditions set forth therein, with like effect as if originally named as Trustee, Registrar, Paying Agent and Collateral Agent, as applicable, under the Indentures.</w:t>
      </w:r>
    </w:p>
    <w:p>
      <w:pPr>
        <w:spacing w:after="0" w:line="80"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3.3 References in the Indentures to “Principal Office,” “Corporate Trust Office of the Trustee” or other similar terms shall be deemed to refer to the designated corporate trust office of Successor Trustee, which is presently located at 60 Wall Street, 16</w:t>
      </w:r>
      <w:r>
        <w:rPr>
          <w:rFonts w:ascii="Arial" w:cs="Arial" w:eastAsia="Arial" w:hAnsi="Arial"/>
          <w:sz w:val="18"/>
          <w:szCs w:val="18"/>
          <w:color w:val="auto"/>
        </w:rPr>
        <w:t>th</w:t>
      </w:r>
      <w:r>
        <w:rPr>
          <w:rFonts w:ascii="Arial" w:cs="Arial" w:eastAsia="Arial" w:hAnsi="Arial"/>
          <w:sz w:val="22"/>
          <w:szCs w:val="22"/>
          <w:color w:val="auto"/>
        </w:rPr>
        <w:t xml:space="preserve"> Floor, MS NYC60-1630, New York, New York 10005.</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NOTICES</w:t>
      </w:r>
    </w:p>
    <w:p>
      <w:pPr>
        <w:spacing w:after="0" w:line="206"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4.1 Promptly after the effective date of this Agreement, the Successor Trustee, in the Issuers’ names and at their expense, shall transmit notices of the Successor’s Trustee’s succession to the Holders of the Securities, in the forms of Exhibit B annexed hereto, in accordance with the provisions of Section 7.08 of the Indentures.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MISCELLANEOUS</w:t>
      </w:r>
    </w:p>
    <w:p>
      <w:pPr>
        <w:spacing w:after="0" w:line="206"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5.1 Except as otherwise expressly provided herein or unless the context otherwise requires, all terms used herein which are defined in the Indentures shall have the meanings assigned to them in the Indentures.</w:t>
      </w:r>
    </w:p>
    <w:p>
      <w:pPr>
        <w:spacing w:after="0" w:line="65"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This Agreement and the resignation, appointment and acceptance effected hereby shall be effective as of July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8, 2019.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1" w:name="page72"/>
    <w:bookmarkEnd w:id="71"/>
    <w:p>
      <w:pPr>
        <w:jc w:val="both"/>
        <w:ind w:firstLine="877"/>
        <w:spacing w:after="0" w:line="252" w:lineRule="auto"/>
        <w:rPr>
          <w:sz w:val="20"/>
          <w:szCs w:val="20"/>
          <w:color w:val="auto"/>
        </w:rPr>
      </w:pPr>
      <w:r>
        <w:rPr>
          <w:rFonts w:ascii="Arial" w:cs="Arial" w:eastAsia="Arial" w:hAnsi="Arial"/>
          <w:sz w:val="21"/>
          <w:szCs w:val="21"/>
          <w:color w:val="auto"/>
        </w:rPr>
        <w:t>5.3 This Agreement does not constitute a waiver by any of the parties hereto of any obligation or liability which Resigning Trustee may have incurred in connection with its serving as Trustee, Paying Agent, Registrar or Collateral Agent, as applicable, under the Indentures or an assumption by Successor Trustee of any liability of Resigning Trustee arising out of a breach by Resigning Trustee prior to its resignation of its duties under the Indentures.</w:t>
      </w:r>
    </w:p>
    <w:p>
      <w:pPr>
        <w:spacing w:after="0" w:line="66"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9"/>
          <w:szCs w:val="19"/>
          <w:color w:val="auto"/>
        </w:rPr>
        <w:t>5.4 Resigning Trustee hereby acknowledges payment or provision for payment in full by the Issuers of compensation for all services rendered by Resigning Trustee in its capacity as Trustee, Registrar, Paying Agent and Collateral Agent, as applicable, under Section 7.07 of the Indentures and reimbursement in full by the Issuers of the expenses, disbursements and advances incurred or made by Resigning Trustee in its capacity as Trustee, Registrar, Paying Agent and Collateral Agent, as applicable, in accordance with the provisions of the Indentures. Resigning Trustee acknowledges that it relinquishes any lien it may have upon all property or funds held or collected by it to secure any amounts due it pursuant to the provisions of Section 7.07 of the Indentures. This Agreement does not constitute a waiver or assignment by the Resigning Trustee of any compensation, reimbursement, expenses or indemnity to which it is or may be entitled pursuant to the Indentures. Each Issuer acknowledges its obligation set forth in Section 7.07 of the Indenture(s) to which it is a party to indemnify Resigning Trustee for, and to hold Resigning Trustee harmless against, any loss, liability or expense incurred without willful misconduct or negligence on the part of Resigning Trustee and arising out of or in connection with the acceptance or administration of the trust evidenced by the Indentures (which obligation shall survive the execution hereof).</w:t>
      </w:r>
    </w:p>
    <w:p>
      <w:pPr>
        <w:spacing w:after="0" w:line="301"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5.5 The parties hereto agree to take reasonable action to confirm, evidence and perfect Successor Trustee’s rights in, or with respect to, the collateral, if any, pursuant to the transaction documents.</w:t>
      </w:r>
    </w:p>
    <w:p>
      <w:pPr>
        <w:spacing w:after="0" w:line="65" w:lineRule="exact"/>
        <w:rPr>
          <w:sz w:val="20"/>
          <w:szCs w:val="20"/>
          <w:color w:val="auto"/>
        </w:rPr>
      </w:pPr>
    </w:p>
    <w:p>
      <w:pPr>
        <w:jc w:val="both"/>
        <w:ind w:right="20" w:firstLine="877"/>
        <w:spacing w:after="0" w:line="251" w:lineRule="auto"/>
        <w:rPr>
          <w:sz w:val="20"/>
          <w:szCs w:val="20"/>
          <w:color w:val="auto"/>
        </w:rPr>
      </w:pPr>
      <w:r>
        <w:rPr>
          <w:rFonts w:ascii="Arial" w:cs="Arial" w:eastAsia="Arial" w:hAnsi="Arial"/>
          <w:sz w:val="22"/>
          <w:szCs w:val="22"/>
          <w:color w:val="auto"/>
        </w:rPr>
        <w:t>5.6 This Agreement shall be governed by and construed in accordance with the laws of the State of New York, without regard to conflicts of laws principles thereof.</w:t>
      </w:r>
    </w:p>
    <w:p>
      <w:pPr>
        <w:spacing w:after="0" w:line="65"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5.7 This Agreement may be executed in two or more counterparts, each of which shall be deemed to be an original and all of which together shall constitute one and the same agreement. The exchange of copies of this Agreement and of signature pages by facsimile or PDF transmission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2" w:name="page73"/>
    <w:bookmarkEnd w:id="72"/>
    <w:p>
      <w:pPr>
        <w:jc w:val="both"/>
        <w:spacing w:after="0" w:line="251" w:lineRule="auto"/>
        <w:rPr>
          <w:sz w:val="20"/>
          <w:szCs w:val="20"/>
          <w:color w:val="auto"/>
        </w:rPr>
      </w:pPr>
      <w:r>
        <w:rPr>
          <w:rFonts w:ascii="Arial" w:cs="Arial" w:eastAsia="Arial" w:hAnsi="Arial"/>
          <w:sz w:val="22"/>
          <w:szCs w:val="22"/>
          <w:color w:val="auto"/>
        </w:rPr>
        <w:t>shall constitute effective execution and delivery of this Agreement as to the parties hereto and may be used in lieu of the original Agreement and signature pages for all purposes.</w:t>
      </w:r>
    </w:p>
    <w:p>
      <w:pPr>
        <w:spacing w:after="0" w:line="65"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5.8 The Issuers acknowledge that, in accordance with Section 326 of the USA Patriot Act, Successor Trustee, in order to help fight the funding of terrorism and prevent money laundering, is required to obtain, verify and record information that identifies each person or legal entity that establishes a relationship or opens an account with Successor Trustee. The Issuers agree that it will provide Successor Trustee with such information as it may request in order for Successor Trustee to satisfy the requirements of the USA Patriot Act.</w:t>
      </w:r>
    </w:p>
    <w:p>
      <w:pPr>
        <w:spacing w:after="0" w:line="80"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5.9 This Agreement sets forth the entire agreement of the parties with respect to its subject matter, and supersedes and replaces any and all prior contemporaneous warranties, representations or agreements, whether oral or written, with respect to the subject matter of this Agreement other than those contained in this Agreement.</w:t>
      </w:r>
    </w:p>
    <w:p>
      <w:pPr>
        <w:spacing w:after="0" w:line="78"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color w:val="auto"/>
        </w:rPr>
        <w:t>5.10 Neither the Resigning Trustee, nor the Successor Trustee shall incur any liability for not performing any act or fulfilling any duty, obligation or responsibility hereunder by reason of any occurrence beyond the control of the Resigning Trustee or the Successor Trustee (including but not limited to any act or provision of any present or future law or regulation or governmental authority, any act of God or war, civil unrest, local or national disturbance or disaster, any act of terrorism, or the unavailability of the Federal Reserve Bank wire or facsimile or other wire or communication facility).</w:t>
      </w:r>
    </w:p>
    <w:p>
      <w:pPr>
        <w:spacing w:after="0" w:line="71" w:lineRule="exact"/>
        <w:rPr>
          <w:sz w:val="20"/>
          <w:szCs w:val="20"/>
          <w:color w:val="auto"/>
        </w:rPr>
      </w:pPr>
    </w:p>
    <w:p>
      <w:pPr>
        <w:jc w:val="both"/>
        <w:ind w:right="20" w:firstLine="877"/>
        <w:spacing w:after="0" w:line="251" w:lineRule="auto"/>
        <w:rPr>
          <w:sz w:val="20"/>
          <w:szCs w:val="20"/>
          <w:color w:val="auto"/>
        </w:rPr>
      </w:pPr>
      <w:r>
        <w:rPr>
          <w:rFonts w:ascii="Arial" w:cs="Arial" w:eastAsia="Arial" w:hAnsi="Arial"/>
          <w:sz w:val="22"/>
          <w:szCs w:val="22"/>
          <w:color w:val="auto"/>
        </w:rPr>
        <w:t>5.11 The Issuers, Resigning Trustee and Successor Trustee hereby acknowledge receipt of an executed counterpart of this Agreement and the effectiveness thereof.</w:t>
      </w:r>
    </w:p>
    <w:p>
      <w:pPr>
        <w:spacing w:after="0" w:line="65" w:lineRule="exact"/>
        <w:rPr>
          <w:sz w:val="20"/>
          <w:szCs w:val="20"/>
          <w:color w:val="auto"/>
        </w:rPr>
      </w:pPr>
    </w:p>
    <w:p>
      <w:pPr>
        <w:ind w:right="80" w:firstLine="877"/>
        <w:spacing w:after="0"/>
        <w:rPr>
          <w:sz w:val="20"/>
          <w:szCs w:val="20"/>
          <w:color w:val="auto"/>
        </w:rPr>
      </w:pPr>
      <w:r>
        <w:rPr>
          <w:rFonts w:ascii="Arial" w:cs="Arial" w:eastAsia="Arial" w:hAnsi="Arial"/>
          <w:sz w:val="22"/>
          <w:szCs w:val="22"/>
          <w:color w:val="auto"/>
        </w:rPr>
        <w:t>5.12 Unless otherwise provided herein, all notices, requests and other communications to any party hereunder shall be in writing (including facsimile and electronic transmission in PDF format) and shall be given to such party, addressed to it, as set forth below:</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If to the Issuers:</w:t>
      </w:r>
    </w:p>
    <w:p>
      <w:pPr>
        <w:ind w:left="2420"/>
        <w:spacing w:after="0" w:line="238" w:lineRule="auto"/>
        <w:rPr>
          <w:sz w:val="20"/>
          <w:szCs w:val="20"/>
          <w:color w:val="auto"/>
        </w:rPr>
      </w:pPr>
      <w:r>
        <w:rPr>
          <w:rFonts w:ascii="Arial" w:cs="Arial" w:eastAsia="Arial" w:hAnsi="Arial"/>
          <w:sz w:val="22"/>
          <w:szCs w:val="22"/>
          <w:color w:val="auto"/>
        </w:rPr>
        <w:t>c/o Uniti Group Inc.</w:t>
      </w:r>
    </w:p>
    <w:p>
      <w:pPr>
        <w:ind w:left="2420"/>
        <w:spacing w:after="0" w:line="230" w:lineRule="auto"/>
        <w:rPr>
          <w:sz w:val="20"/>
          <w:szCs w:val="20"/>
          <w:color w:val="auto"/>
        </w:rPr>
      </w:pPr>
      <w:r>
        <w:rPr>
          <w:rFonts w:ascii="Arial" w:cs="Arial" w:eastAsia="Arial" w:hAnsi="Arial"/>
          <w:sz w:val="22"/>
          <w:szCs w:val="22"/>
          <w:color w:val="auto"/>
        </w:rPr>
        <w:t>10802 Executive Center Drive,</w:t>
      </w:r>
    </w:p>
    <w:p>
      <w:pPr>
        <w:ind w:left="2420"/>
        <w:spacing w:after="0" w:line="231" w:lineRule="auto"/>
        <w:rPr>
          <w:sz w:val="20"/>
          <w:szCs w:val="20"/>
          <w:color w:val="auto"/>
        </w:rPr>
      </w:pPr>
      <w:r>
        <w:rPr>
          <w:rFonts w:ascii="Arial" w:cs="Arial" w:eastAsia="Arial" w:hAnsi="Arial"/>
          <w:sz w:val="22"/>
          <w:szCs w:val="22"/>
          <w:color w:val="auto"/>
        </w:rPr>
        <w:t>Benton Building Suite 300,</w:t>
      </w:r>
    </w:p>
    <w:p>
      <w:pPr>
        <w:ind w:left="2420"/>
        <w:spacing w:after="0" w:line="231" w:lineRule="auto"/>
        <w:rPr>
          <w:sz w:val="20"/>
          <w:szCs w:val="20"/>
          <w:color w:val="auto"/>
        </w:rPr>
      </w:pPr>
      <w:r>
        <w:rPr>
          <w:rFonts w:ascii="Arial" w:cs="Arial" w:eastAsia="Arial" w:hAnsi="Arial"/>
          <w:sz w:val="22"/>
          <w:szCs w:val="22"/>
          <w:color w:val="auto"/>
        </w:rPr>
        <w:t>Little Rock, AR 72211</w:t>
      </w:r>
    </w:p>
    <w:p>
      <w:pPr>
        <w:ind w:left="2420"/>
        <w:spacing w:after="0" w:line="230" w:lineRule="auto"/>
        <w:rPr>
          <w:sz w:val="20"/>
          <w:szCs w:val="20"/>
          <w:color w:val="auto"/>
        </w:rPr>
      </w:pPr>
      <w:r>
        <w:rPr>
          <w:rFonts w:ascii="Arial" w:cs="Arial" w:eastAsia="Arial" w:hAnsi="Arial"/>
          <w:sz w:val="22"/>
          <w:szCs w:val="22"/>
          <w:color w:val="auto"/>
        </w:rPr>
        <w:t>Attention: General Counsel</w:t>
      </w:r>
    </w:p>
    <w:p>
      <w:pPr>
        <w:spacing w:after="0" w:line="1"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Fax No.: (501) 537-0769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3" w:name="page74"/>
    <w:bookmarkEnd w:id="73"/>
    <w:p>
      <w:pPr>
        <w:spacing w:after="0"/>
        <w:rPr>
          <w:sz w:val="20"/>
          <w:szCs w:val="20"/>
          <w:color w:val="auto"/>
        </w:rPr>
      </w:pPr>
      <w:r>
        <w:rPr>
          <w:rFonts w:ascii="Arial" w:cs="Arial" w:eastAsia="Arial" w:hAnsi="Arial"/>
          <w:sz w:val="22"/>
          <w:szCs w:val="22"/>
          <w:color w:val="auto"/>
        </w:rPr>
        <w:t>If to Resigning Trustee:</w:t>
      </w:r>
    </w:p>
    <w:p>
      <w:pPr>
        <w:ind w:left="1540"/>
        <w:spacing w:after="0" w:line="238" w:lineRule="auto"/>
        <w:rPr>
          <w:sz w:val="20"/>
          <w:szCs w:val="20"/>
          <w:color w:val="auto"/>
        </w:rPr>
      </w:pPr>
      <w:r>
        <w:rPr>
          <w:rFonts w:ascii="Arial" w:cs="Arial" w:eastAsia="Arial" w:hAnsi="Arial"/>
          <w:sz w:val="22"/>
          <w:szCs w:val="22"/>
          <w:color w:val="auto"/>
        </w:rPr>
        <w:t>Wells Fargo Bank, N.A.</w:t>
      </w:r>
    </w:p>
    <w:p>
      <w:pPr>
        <w:ind w:left="1540"/>
        <w:spacing w:after="0" w:line="230" w:lineRule="auto"/>
        <w:rPr>
          <w:sz w:val="20"/>
          <w:szCs w:val="20"/>
          <w:color w:val="auto"/>
        </w:rPr>
      </w:pPr>
      <w:r>
        <w:rPr>
          <w:rFonts w:ascii="Arial" w:cs="Arial" w:eastAsia="Arial" w:hAnsi="Arial"/>
          <w:sz w:val="22"/>
          <w:szCs w:val="22"/>
          <w:color w:val="auto"/>
        </w:rPr>
        <w:t>150 East 42nd Street, 40th Floor</w:t>
      </w:r>
    </w:p>
    <w:p>
      <w:pPr>
        <w:ind w:left="1540"/>
        <w:spacing w:after="0" w:line="231" w:lineRule="auto"/>
        <w:rPr>
          <w:sz w:val="20"/>
          <w:szCs w:val="20"/>
          <w:color w:val="auto"/>
        </w:rPr>
      </w:pPr>
      <w:r>
        <w:rPr>
          <w:rFonts w:ascii="Arial" w:cs="Arial" w:eastAsia="Arial" w:hAnsi="Arial"/>
          <w:sz w:val="22"/>
          <w:szCs w:val="22"/>
          <w:color w:val="auto"/>
        </w:rPr>
        <w:t>New York, New York 10017</w:t>
      </w:r>
    </w:p>
    <w:p>
      <w:pPr>
        <w:ind w:left="1540"/>
        <w:spacing w:after="0" w:line="231" w:lineRule="auto"/>
        <w:rPr>
          <w:sz w:val="20"/>
          <w:szCs w:val="20"/>
          <w:color w:val="auto"/>
        </w:rPr>
      </w:pPr>
      <w:r>
        <w:rPr>
          <w:rFonts w:ascii="Arial" w:cs="Arial" w:eastAsia="Arial" w:hAnsi="Arial"/>
          <w:sz w:val="22"/>
          <w:szCs w:val="22"/>
          <w:color w:val="auto"/>
        </w:rPr>
        <w:t>Attention: Raymond Delli Colli</w:t>
      </w:r>
    </w:p>
    <w:p>
      <w:pPr>
        <w:ind w:left="1540"/>
        <w:spacing w:after="0" w:line="230" w:lineRule="auto"/>
        <w:rPr>
          <w:sz w:val="20"/>
          <w:szCs w:val="20"/>
          <w:color w:val="auto"/>
        </w:rPr>
      </w:pPr>
      <w:r>
        <w:rPr>
          <w:rFonts w:ascii="Arial" w:cs="Arial" w:eastAsia="Arial" w:hAnsi="Arial"/>
          <w:sz w:val="22"/>
          <w:szCs w:val="22"/>
          <w:color w:val="auto"/>
        </w:rPr>
        <w:t>Facsimile: (917) 260-1593</w:t>
      </w:r>
    </w:p>
    <w:p>
      <w:pPr>
        <w:spacing w:after="0" w:line="1" w:lineRule="exact"/>
        <w:rPr>
          <w:sz w:val="20"/>
          <w:szCs w:val="20"/>
          <w:color w:val="auto"/>
        </w:rPr>
      </w:pPr>
    </w:p>
    <w:p>
      <w:pPr>
        <w:ind w:right="3979" w:firstLine="1536"/>
        <w:spacing w:after="0" w:line="494" w:lineRule="auto"/>
        <w:rPr>
          <w:sz w:val="20"/>
          <w:szCs w:val="20"/>
          <w:color w:val="auto"/>
        </w:rPr>
      </w:pPr>
      <w:r>
        <w:rPr>
          <w:rFonts w:ascii="Arial" w:cs="Arial" w:eastAsia="Arial" w:hAnsi="Arial"/>
          <w:sz w:val="19"/>
          <w:szCs w:val="19"/>
          <w:color w:val="auto"/>
        </w:rPr>
        <w:t>Email: Raymond.dellicolli@wellsfargo.com If to Successor Trustee:</w:t>
      </w:r>
    </w:p>
    <w:p>
      <w:pPr>
        <w:spacing w:after="0" w:line="1" w:lineRule="exact"/>
        <w:rPr>
          <w:sz w:val="20"/>
          <w:szCs w:val="20"/>
          <w:color w:val="auto"/>
        </w:rPr>
      </w:pPr>
    </w:p>
    <w:p>
      <w:pPr>
        <w:ind w:left="1680"/>
        <w:spacing w:after="0"/>
        <w:rPr>
          <w:sz w:val="20"/>
          <w:szCs w:val="20"/>
          <w:color w:val="auto"/>
        </w:rPr>
      </w:pPr>
      <w:r>
        <w:rPr>
          <w:rFonts w:ascii="Arial" w:cs="Arial" w:eastAsia="Arial" w:hAnsi="Arial"/>
          <w:sz w:val="22"/>
          <w:szCs w:val="22"/>
          <w:color w:val="auto"/>
        </w:rPr>
        <w:t>Deutsche Trust Company Americas</w:t>
      </w:r>
    </w:p>
    <w:p>
      <w:pPr>
        <w:ind w:left="1640"/>
        <w:spacing w:after="0" w:line="238" w:lineRule="auto"/>
        <w:rPr>
          <w:sz w:val="20"/>
          <w:szCs w:val="20"/>
          <w:color w:val="auto"/>
        </w:rPr>
      </w:pPr>
      <w:r>
        <w:rPr>
          <w:rFonts w:ascii="Arial" w:cs="Arial" w:eastAsia="Arial" w:hAnsi="Arial"/>
          <w:sz w:val="22"/>
          <w:szCs w:val="22"/>
          <w:color w:val="auto"/>
        </w:rPr>
        <w:t>60 Wall Street, 16th Floor</w:t>
      </w:r>
    </w:p>
    <w:p>
      <w:pPr>
        <w:ind w:left="1640"/>
        <w:spacing w:after="0" w:line="230" w:lineRule="auto"/>
        <w:rPr>
          <w:sz w:val="20"/>
          <w:szCs w:val="20"/>
          <w:color w:val="auto"/>
        </w:rPr>
      </w:pPr>
      <w:r>
        <w:rPr>
          <w:rFonts w:ascii="Arial" w:cs="Arial" w:eastAsia="Arial" w:hAnsi="Arial"/>
          <w:sz w:val="22"/>
          <w:szCs w:val="22"/>
          <w:color w:val="auto"/>
        </w:rPr>
        <w:t>MS NYC60-1630</w:t>
      </w:r>
    </w:p>
    <w:p>
      <w:pPr>
        <w:ind w:left="1680"/>
        <w:spacing w:after="0" w:line="231" w:lineRule="auto"/>
        <w:rPr>
          <w:sz w:val="20"/>
          <w:szCs w:val="20"/>
          <w:color w:val="auto"/>
        </w:rPr>
      </w:pPr>
      <w:r>
        <w:rPr>
          <w:rFonts w:ascii="Arial" w:cs="Arial" w:eastAsia="Arial" w:hAnsi="Arial"/>
          <w:sz w:val="22"/>
          <w:szCs w:val="22"/>
          <w:color w:val="auto"/>
        </w:rPr>
        <w:t>New York, New York 10005</w:t>
      </w:r>
    </w:p>
    <w:p>
      <w:pPr>
        <w:spacing w:after="0" w:line="1" w:lineRule="exact"/>
        <w:rPr>
          <w:sz w:val="20"/>
          <w:szCs w:val="20"/>
          <w:color w:val="auto"/>
        </w:rPr>
      </w:pPr>
    </w:p>
    <w:p>
      <w:pPr>
        <w:ind w:left="1680"/>
        <w:spacing w:after="0"/>
        <w:rPr>
          <w:sz w:val="20"/>
          <w:szCs w:val="20"/>
          <w:color w:val="auto"/>
        </w:rPr>
      </w:pPr>
      <w:r>
        <w:rPr>
          <w:rFonts w:ascii="Arial" w:cs="Arial" w:eastAsia="Arial" w:hAnsi="Arial"/>
          <w:sz w:val="19"/>
          <w:szCs w:val="19"/>
          <w:color w:val="auto"/>
        </w:rPr>
        <w:t>Attn: Corporates Team, Uniti Group and CSL Capital</w:t>
      </w:r>
    </w:p>
    <w:p>
      <w:pPr>
        <w:spacing w:after="0" w:line="25" w:lineRule="exact"/>
        <w:rPr>
          <w:sz w:val="20"/>
          <w:szCs w:val="20"/>
          <w:color w:val="auto"/>
        </w:rPr>
      </w:pPr>
    </w:p>
    <w:p>
      <w:pPr>
        <w:ind w:left="1680"/>
        <w:spacing w:after="0"/>
        <w:rPr>
          <w:sz w:val="20"/>
          <w:szCs w:val="20"/>
          <w:color w:val="auto"/>
        </w:rPr>
      </w:pPr>
      <w:r>
        <w:rPr>
          <w:rFonts w:ascii="Arial" w:cs="Arial" w:eastAsia="Arial" w:hAnsi="Arial"/>
          <w:sz w:val="22"/>
          <w:szCs w:val="22"/>
          <w:color w:val="auto"/>
        </w:rPr>
        <w:t>Facsimile: (732) 578-4635</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[Signature pages to follow]</w:t>
      </w:r>
    </w:p>
    <w:p>
      <w:pPr>
        <w:spacing w:after="0" w:line="206"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191770</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339"/>
          </w:cols>
          <w:pgMar w:left="1120" w:top="550" w:right="1440" w:bottom="1440" w:gutter="0" w:footer="0" w:header="0"/>
        </w:sectPr>
      </w:pPr>
    </w:p>
    <w:bookmarkStart w:id="74" w:name="page75"/>
    <w:bookmarkEnd w:id="74"/>
    <w:p>
      <w:pPr>
        <w:jc w:val="right"/>
        <w:spacing w:after="0"/>
        <w:rPr>
          <w:sz w:val="20"/>
          <w:szCs w:val="20"/>
          <w:color w:val="auto"/>
        </w:rPr>
      </w:pPr>
      <w:r>
        <w:rPr>
          <w:rFonts w:ascii="Arial" w:cs="Arial" w:eastAsia="Arial" w:hAnsi="Arial"/>
          <w:sz w:val="22"/>
          <w:szCs w:val="22"/>
          <w:b w:val="1"/>
          <w:bCs w:val="1"/>
          <w:color w:val="auto"/>
        </w:rPr>
        <w:t>Exhibit 10.4</w:t>
      </w:r>
    </w:p>
    <w:p>
      <w:pPr>
        <w:spacing w:after="0" w:line="200" w:lineRule="exact"/>
        <w:rPr>
          <w:sz w:val="20"/>
          <w:szCs w:val="20"/>
          <w:color w:val="auto"/>
        </w:rPr>
      </w:pPr>
    </w:p>
    <w:p>
      <w:pPr>
        <w:spacing w:after="0" w:line="229"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IN WITNESS WHEREOF, the parties hereto have caused this Agreement of Resignation, Appointment and Acceptance to be duly executed, all as of the day and year first above written.</w:t>
      </w:r>
    </w:p>
    <w:p>
      <w:pPr>
        <w:spacing w:after="0" w:line="65"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Uniti Group LP</w:t>
      </w:r>
    </w:p>
    <w:p>
      <w:pPr>
        <w:spacing w:after="0" w:line="8"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By: Uniti Group Inc., as its general partner</w:t>
      </w:r>
    </w:p>
    <w:p>
      <w:pPr>
        <w:spacing w:after="0" w:line="188"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By: /s/ Daniel 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7620</wp:posOffset>
            </wp:positionV>
            <wp:extent cx="385889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3858895" cy="889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22"/>
          <w:szCs w:val="22"/>
          <w:color w:val="auto"/>
        </w:rPr>
        <w:t>Name: Daniel L. Heard</w:t>
      </w:r>
    </w:p>
    <w:p>
      <w:pPr>
        <w:ind w:left="5340"/>
        <w:spacing w:after="0"/>
        <w:rPr>
          <w:sz w:val="20"/>
          <w:szCs w:val="20"/>
          <w:color w:val="auto"/>
        </w:rPr>
      </w:pPr>
      <w:r>
        <w:rPr>
          <w:rFonts w:ascii="Arial" w:cs="Arial" w:eastAsia="Arial" w:hAnsi="Arial"/>
          <w:sz w:val="21"/>
          <w:szCs w:val="21"/>
          <w:color w:val="auto"/>
        </w:rPr>
        <w:t>Title: Executive Vice President – General Counsel and Secretary</w:t>
      </w:r>
    </w:p>
    <w:p>
      <w:pPr>
        <w:spacing w:after="0" w:line="200" w:lineRule="exact"/>
        <w:rPr>
          <w:sz w:val="20"/>
          <w:szCs w:val="20"/>
          <w:color w:val="auto"/>
        </w:rPr>
      </w:pPr>
    </w:p>
    <w:p>
      <w:pPr>
        <w:spacing w:after="0" w:line="216"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CSL Capital, LLC</w:t>
      </w:r>
    </w:p>
    <w:p>
      <w:pPr>
        <w:spacing w:after="0" w:line="206"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By: /s/ Daniel 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7620</wp:posOffset>
            </wp:positionV>
            <wp:extent cx="385889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3858895" cy="889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22"/>
          <w:szCs w:val="22"/>
          <w:color w:val="auto"/>
        </w:rPr>
        <w:t>Name: Daniel L. Heard</w:t>
      </w:r>
    </w:p>
    <w:p>
      <w:pPr>
        <w:ind w:left="5340"/>
        <w:spacing w:after="0"/>
        <w:rPr>
          <w:sz w:val="20"/>
          <w:szCs w:val="20"/>
          <w:color w:val="auto"/>
        </w:rPr>
      </w:pPr>
      <w:r>
        <w:rPr>
          <w:rFonts w:ascii="Arial" w:cs="Arial" w:eastAsia="Arial" w:hAnsi="Arial"/>
          <w:sz w:val="21"/>
          <w:szCs w:val="21"/>
          <w:color w:val="auto"/>
        </w:rPr>
        <w:t>Title: Executive Vice President – General Counsel and Secretary</w:t>
      </w:r>
    </w:p>
    <w:p>
      <w:pPr>
        <w:spacing w:after="0" w:line="200" w:lineRule="exact"/>
        <w:rPr>
          <w:sz w:val="20"/>
          <w:szCs w:val="20"/>
          <w:color w:val="auto"/>
        </w:rPr>
      </w:pPr>
    </w:p>
    <w:p>
      <w:pPr>
        <w:spacing w:after="0" w:line="216"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Uniti Group Finance Inc.</w:t>
      </w:r>
    </w:p>
    <w:p>
      <w:pPr>
        <w:spacing w:after="0" w:line="206"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By: /s/ Daniel 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7620</wp:posOffset>
            </wp:positionV>
            <wp:extent cx="38588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3858895" cy="889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22"/>
          <w:szCs w:val="22"/>
          <w:color w:val="auto"/>
        </w:rPr>
        <w:t>Name: Daniel L. Heard</w:t>
      </w:r>
    </w:p>
    <w:p>
      <w:pPr>
        <w:ind w:left="5340"/>
        <w:spacing w:after="0"/>
        <w:rPr>
          <w:sz w:val="20"/>
          <w:szCs w:val="20"/>
          <w:color w:val="auto"/>
        </w:rPr>
      </w:pPr>
      <w:r>
        <w:rPr>
          <w:rFonts w:ascii="Arial" w:cs="Arial" w:eastAsia="Arial" w:hAnsi="Arial"/>
          <w:sz w:val="21"/>
          <w:szCs w:val="21"/>
          <w:color w:val="auto"/>
        </w:rPr>
        <w:t>Title: Executive Vice President – General Counsel and Secretary</w:t>
      </w:r>
    </w:p>
    <w:p>
      <w:pPr>
        <w:spacing w:after="0" w:line="200" w:lineRule="exact"/>
        <w:rPr>
          <w:sz w:val="20"/>
          <w:szCs w:val="20"/>
          <w:color w:val="auto"/>
        </w:rPr>
      </w:pPr>
    </w:p>
    <w:p>
      <w:pPr>
        <w:spacing w:after="0" w:line="216"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Uniti Fiber Holdings Inc.</w:t>
      </w:r>
    </w:p>
    <w:p>
      <w:pPr>
        <w:spacing w:after="0" w:line="206"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By: /s/ Daniel 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7620</wp:posOffset>
            </wp:positionV>
            <wp:extent cx="38588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3858895" cy="889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22"/>
          <w:szCs w:val="22"/>
          <w:color w:val="auto"/>
        </w:rPr>
        <w:t>Name: Daniel L. Heard</w:t>
      </w:r>
    </w:p>
    <w:p>
      <w:pPr>
        <w:ind w:left="5340"/>
        <w:spacing w:after="0"/>
        <w:rPr>
          <w:sz w:val="20"/>
          <w:szCs w:val="20"/>
          <w:color w:val="auto"/>
        </w:rPr>
      </w:pPr>
      <w:r>
        <w:rPr>
          <w:rFonts w:ascii="Arial" w:cs="Arial" w:eastAsia="Arial" w:hAnsi="Arial"/>
          <w:sz w:val="21"/>
          <w:szCs w:val="21"/>
          <w:color w:val="auto"/>
        </w:rPr>
        <w:t>Title: Executive Vice President – General Counsel and Secretary</w:t>
      </w:r>
    </w:p>
    <w:p>
      <w:pPr>
        <w:spacing w:after="0" w:line="200" w:lineRule="exact"/>
        <w:rPr>
          <w:sz w:val="20"/>
          <w:szCs w:val="20"/>
          <w:color w:val="auto"/>
        </w:rPr>
      </w:pPr>
    </w:p>
    <w:p>
      <w:pPr>
        <w:spacing w:after="0" w:line="216"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Wells Fargo Bank, N.A.</w:t>
      </w:r>
    </w:p>
    <w:p>
      <w:pPr>
        <w:spacing w:after="0" w:line="8"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as Resigning Trustee</w:t>
      </w:r>
    </w:p>
    <w:p>
      <w:pPr>
        <w:spacing w:after="0" w:line="188"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By: /s/ Raymond Delli Colli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7620</wp:posOffset>
            </wp:positionV>
            <wp:extent cx="385889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3858895" cy="889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22"/>
          <w:szCs w:val="22"/>
          <w:color w:val="auto"/>
        </w:rPr>
        <w:t>Name: Raymond Delli Colli</w:t>
      </w:r>
    </w:p>
    <w:p>
      <w:pPr>
        <w:ind w:left="53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Agreement of Resignation, Appointment and Acceptance]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5" w:name="page76"/>
    <w:bookmarkEnd w:id="75"/>
    <w:p>
      <w:pPr>
        <w:ind w:left="4140"/>
        <w:spacing w:after="0"/>
        <w:rPr>
          <w:sz w:val="20"/>
          <w:szCs w:val="20"/>
          <w:color w:val="auto"/>
        </w:rPr>
      </w:pPr>
      <w:r>
        <w:rPr>
          <w:rFonts w:ascii="Arial" w:cs="Arial" w:eastAsia="Arial" w:hAnsi="Arial"/>
          <w:sz w:val="19"/>
          <w:szCs w:val="19"/>
          <w:color w:val="auto"/>
        </w:rPr>
        <w:t>Deutsche Bank Trust Company Americas,</w:t>
      </w:r>
    </w:p>
    <w:p>
      <w:pPr>
        <w:spacing w:after="0" w:line="43"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as Successor Trustee</w:t>
      </w:r>
    </w:p>
    <w:p>
      <w:pPr>
        <w:spacing w:after="0" w:line="200" w:lineRule="exact"/>
        <w:rPr>
          <w:sz w:val="20"/>
          <w:szCs w:val="20"/>
          <w:color w:val="auto"/>
        </w:rPr>
      </w:pPr>
    </w:p>
    <w:p>
      <w:pPr>
        <w:spacing w:after="0" w:line="20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Robert S. Peschler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2630805</wp:posOffset>
            </wp:positionH>
            <wp:positionV relativeFrom="paragraph">
              <wp:posOffset>7620</wp:posOffset>
            </wp:positionV>
            <wp:extent cx="38588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3858895" cy="8890"/>
                    </a:xfrm>
                    <a:prstGeom prst="rect">
                      <a:avLst/>
                    </a:prstGeom>
                    <a:noFill/>
                  </pic:spPr>
                </pic:pic>
              </a:graphicData>
            </a:graphic>
          </wp:anchor>
        </w:drawing>
      </w:r>
    </w:p>
    <w:p>
      <w:pPr>
        <w:ind w:left="4140"/>
        <w:spacing w:after="0"/>
        <w:rPr>
          <w:sz w:val="20"/>
          <w:szCs w:val="20"/>
          <w:color w:val="auto"/>
        </w:rPr>
      </w:pPr>
      <w:r>
        <w:rPr>
          <w:rFonts w:ascii="Arial" w:cs="Arial" w:eastAsia="Arial" w:hAnsi="Arial"/>
          <w:sz w:val="22"/>
          <w:szCs w:val="22"/>
          <w:color w:val="auto"/>
        </w:rPr>
        <w:t>Name: Robert S. Peschler</w:t>
      </w:r>
    </w:p>
    <w:p>
      <w:pPr>
        <w:ind w:left="4140"/>
        <w:spacing w:after="0"/>
        <w:rPr>
          <w:sz w:val="20"/>
          <w:szCs w:val="20"/>
          <w:color w:val="auto"/>
        </w:rPr>
      </w:pPr>
      <w:r>
        <w:rPr>
          <w:rFonts w:ascii="Arial" w:cs="Arial" w:eastAsia="Arial" w:hAnsi="Arial"/>
          <w:sz w:val="22"/>
          <w:szCs w:val="22"/>
          <w:color w:val="auto"/>
        </w:rPr>
        <w:t>Title:  Vice President</w:t>
      </w:r>
    </w:p>
    <w:p>
      <w:pPr>
        <w:spacing w:after="0" w:line="188"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Bridgette Casasnovas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2630805</wp:posOffset>
            </wp:positionH>
            <wp:positionV relativeFrom="paragraph">
              <wp:posOffset>7620</wp:posOffset>
            </wp:positionV>
            <wp:extent cx="38588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3858895" cy="8890"/>
                    </a:xfrm>
                    <a:prstGeom prst="rect">
                      <a:avLst/>
                    </a:prstGeom>
                    <a:noFill/>
                  </pic:spPr>
                </pic:pic>
              </a:graphicData>
            </a:graphic>
          </wp:anchor>
        </w:drawing>
      </w:r>
    </w:p>
    <w:p>
      <w:pPr>
        <w:ind w:left="4140"/>
        <w:spacing w:after="0"/>
        <w:rPr>
          <w:sz w:val="20"/>
          <w:szCs w:val="20"/>
          <w:color w:val="auto"/>
        </w:rPr>
      </w:pPr>
      <w:r>
        <w:rPr>
          <w:rFonts w:ascii="Arial" w:cs="Arial" w:eastAsia="Arial" w:hAnsi="Arial"/>
          <w:sz w:val="22"/>
          <w:szCs w:val="22"/>
          <w:color w:val="auto"/>
        </w:rPr>
        <w:t>Name: Bridgette Casasnovas</w:t>
      </w:r>
    </w:p>
    <w:p>
      <w:pPr>
        <w:ind w:left="41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[Signature Page to Agreement of Resignation, Appointment and Acceptance]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85090</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090" w:right="1440" w:bottom="1440" w:gutter="0" w:footer="0" w:header="0"/>
        </w:sectPr>
      </w:pPr>
    </w:p>
    <w:bookmarkStart w:id="76" w:name="page77"/>
    <w:bookmarkEnd w:id="76"/>
    <w:p>
      <w:pPr>
        <w:jc w:val="center"/>
        <w:ind w:right="-11"/>
        <w:spacing w:after="0"/>
        <w:rPr>
          <w:sz w:val="20"/>
          <w:szCs w:val="20"/>
          <w:color w:val="auto"/>
        </w:rPr>
      </w:pPr>
      <w:r>
        <w:rPr>
          <w:rFonts w:ascii="Arial" w:cs="Arial" w:eastAsia="Arial" w:hAnsi="Arial"/>
          <w:sz w:val="22"/>
          <w:szCs w:val="22"/>
          <w:color w:val="auto"/>
        </w:rPr>
        <w:t>EXHIBIT A</w:t>
      </w:r>
    </w:p>
    <w:p>
      <w:pPr>
        <w:spacing w:after="0" w:line="206"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Documents to be delivered to Successor Trustee</w:t>
      </w:r>
    </w:p>
    <w:p>
      <w:pPr>
        <w:spacing w:after="0" w:line="206" w:lineRule="exact"/>
        <w:rPr>
          <w:sz w:val="20"/>
          <w:szCs w:val="20"/>
          <w:color w:val="auto"/>
        </w:rPr>
      </w:pPr>
    </w:p>
    <w:p>
      <w:pPr>
        <w:ind w:left="872" w:hanging="872"/>
        <w:spacing w:after="0"/>
        <w:tabs>
          <w:tab w:leader="none" w:pos="872" w:val="left"/>
        </w:tabs>
        <w:numPr>
          <w:ilvl w:val="0"/>
          <w:numId w:val="25"/>
        </w:numPr>
        <w:rPr>
          <w:rFonts w:ascii="Arial" w:cs="Arial" w:eastAsia="Arial" w:hAnsi="Arial"/>
          <w:sz w:val="22"/>
          <w:szCs w:val="22"/>
          <w:color w:val="auto"/>
        </w:rPr>
      </w:pPr>
      <w:r>
        <w:rPr>
          <w:rFonts w:ascii="Arial" w:cs="Arial" w:eastAsia="Arial" w:hAnsi="Arial"/>
          <w:sz w:val="22"/>
          <w:szCs w:val="22"/>
          <w:color w:val="auto"/>
        </w:rPr>
        <w:t>Executed copy of each Indenture and each amendment and supplemental indenture thereto.</w:t>
      </w:r>
    </w:p>
    <w:p>
      <w:pPr>
        <w:spacing w:after="0" w:line="206" w:lineRule="exact"/>
        <w:rPr>
          <w:rFonts w:ascii="Arial" w:cs="Arial" w:eastAsia="Arial" w:hAnsi="Arial"/>
          <w:sz w:val="22"/>
          <w:szCs w:val="22"/>
          <w:color w:val="auto"/>
        </w:rPr>
      </w:pPr>
    </w:p>
    <w:p>
      <w:pPr>
        <w:ind w:left="872" w:hanging="872"/>
        <w:spacing w:after="0"/>
        <w:tabs>
          <w:tab w:leader="none" w:pos="872" w:val="left"/>
        </w:tabs>
        <w:numPr>
          <w:ilvl w:val="0"/>
          <w:numId w:val="25"/>
        </w:numPr>
        <w:rPr>
          <w:rFonts w:ascii="Arial" w:cs="Arial" w:eastAsia="Arial" w:hAnsi="Arial"/>
          <w:sz w:val="22"/>
          <w:szCs w:val="22"/>
          <w:color w:val="auto"/>
        </w:rPr>
      </w:pPr>
      <w:r>
        <w:rPr>
          <w:rFonts w:ascii="Arial" w:cs="Arial" w:eastAsia="Arial" w:hAnsi="Arial"/>
          <w:sz w:val="22"/>
          <w:szCs w:val="22"/>
          <w:color w:val="auto"/>
        </w:rPr>
        <w:t>File of closing documents from initial issuance.</w:t>
      </w:r>
    </w:p>
    <w:p>
      <w:pPr>
        <w:spacing w:after="0" w:line="206" w:lineRule="exact"/>
        <w:rPr>
          <w:rFonts w:ascii="Arial" w:cs="Arial" w:eastAsia="Arial" w:hAnsi="Arial"/>
          <w:sz w:val="22"/>
          <w:szCs w:val="22"/>
          <w:color w:val="auto"/>
        </w:rPr>
      </w:pPr>
    </w:p>
    <w:p>
      <w:pPr>
        <w:ind w:left="872" w:hanging="872"/>
        <w:spacing w:after="0"/>
        <w:tabs>
          <w:tab w:leader="none" w:pos="872" w:val="left"/>
        </w:tabs>
        <w:numPr>
          <w:ilvl w:val="0"/>
          <w:numId w:val="25"/>
        </w:numPr>
        <w:rPr>
          <w:rFonts w:ascii="Arial" w:cs="Arial" w:eastAsia="Arial" w:hAnsi="Arial"/>
          <w:sz w:val="22"/>
          <w:szCs w:val="22"/>
          <w:color w:val="auto"/>
        </w:rPr>
      </w:pPr>
      <w:r>
        <w:rPr>
          <w:rFonts w:ascii="Arial" w:cs="Arial" w:eastAsia="Arial" w:hAnsi="Arial"/>
          <w:sz w:val="22"/>
          <w:szCs w:val="22"/>
          <w:color w:val="auto"/>
        </w:rPr>
        <w:t>Collateral, if any, and related documents.</w:t>
      </w:r>
    </w:p>
    <w:p>
      <w:pPr>
        <w:spacing w:after="0" w:line="206" w:lineRule="exact"/>
        <w:rPr>
          <w:rFonts w:ascii="Arial" w:cs="Arial" w:eastAsia="Arial" w:hAnsi="Arial"/>
          <w:sz w:val="22"/>
          <w:szCs w:val="22"/>
          <w:color w:val="auto"/>
        </w:rPr>
      </w:pPr>
    </w:p>
    <w:p>
      <w:pPr>
        <w:ind w:left="872" w:hanging="872"/>
        <w:spacing w:after="0"/>
        <w:tabs>
          <w:tab w:leader="none" w:pos="872" w:val="left"/>
        </w:tabs>
        <w:numPr>
          <w:ilvl w:val="0"/>
          <w:numId w:val="25"/>
        </w:numPr>
        <w:rPr>
          <w:rFonts w:ascii="Arial" w:cs="Arial" w:eastAsia="Arial" w:hAnsi="Arial"/>
          <w:sz w:val="22"/>
          <w:szCs w:val="22"/>
          <w:color w:val="auto"/>
        </w:rPr>
      </w:pPr>
      <w:r>
        <w:rPr>
          <w:rFonts w:ascii="Arial" w:cs="Arial" w:eastAsia="Arial" w:hAnsi="Arial"/>
          <w:sz w:val="22"/>
          <w:szCs w:val="22"/>
          <w:color w:val="auto"/>
        </w:rPr>
        <w:t>Originals of all global notes required to be held by it as custodian for the Depository Trust Company.</w:t>
      </w:r>
    </w:p>
    <w:p>
      <w:pPr>
        <w:spacing w:after="0" w:line="206" w:lineRule="exact"/>
        <w:rPr>
          <w:rFonts w:ascii="Arial" w:cs="Arial" w:eastAsia="Arial" w:hAnsi="Arial"/>
          <w:sz w:val="22"/>
          <w:szCs w:val="22"/>
          <w:color w:val="auto"/>
        </w:rPr>
      </w:pPr>
    </w:p>
    <w:p>
      <w:pPr>
        <w:ind w:left="872" w:hanging="872"/>
        <w:spacing w:after="0"/>
        <w:tabs>
          <w:tab w:leader="none" w:pos="872" w:val="left"/>
        </w:tabs>
        <w:numPr>
          <w:ilvl w:val="0"/>
          <w:numId w:val="25"/>
        </w:numPr>
        <w:rPr>
          <w:rFonts w:ascii="Arial" w:cs="Arial" w:eastAsia="Arial" w:hAnsi="Arial"/>
          <w:sz w:val="22"/>
          <w:szCs w:val="22"/>
          <w:color w:val="auto"/>
        </w:rPr>
      </w:pPr>
      <w:r>
        <w:rPr>
          <w:rFonts w:ascii="Arial" w:cs="Arial" w:eastAsia="Arial" w:hAnsi="Arial"/>
          <w:sz w:val="22"/>
          <w:szCs w:val="22"/>
          <w:color w:val="auto"/>
        </w:rPr>
        <w:t>A copy of the most recent compliance certificate delivered pursuant to Section 4.04 of the Indentures.</w:t>
      </w:r>
    </w:p>
    <w:p>
      <w:pPr>
        <w:spacing w:after="0" w:line="206" w:lineRule="exact"/>
        <w:rPr>
          <w:rFonts w:ascii="Arial" w:cs="Arial" w:eastAsia="Arial" w:hAnsi="Arial"/>
          <w:sz w:val="22"/>
          <w:szCs w:val="22"/>
          <w:color w:val="auto"/>
        </w:rPr>
      </w:pPr>
    </w:p>
    <w:p>
      <w:pPr>
        <w:jc w:val="both"/>
        <w:ind w:left="872" w:hanging="872"/>
        <w:spacing w:after="0"/>
        <w:tabs>
          <w:tab w:leader="none" w:pos="872" w:val="left"/>
        </w:tabs>
        <w:numPr>
          <w:ilvl w:val="0"/>
          <w:numId w:val="25"/>
        </w:numPr>
        <w:rPr>
          <w:rFonts w:ascii="Arial" w:cs="Arial" w:eastAsia="Arial" w:hAnsi="Arial"/>
          <w:sz w:val="22"/>
          <w:szCs w:val="22"/>
          <w:color w:val="auto"/>
        </w:rPr>
      </w:pPr>
      <w:r>
        <w:rPr>
          <w:rFonts w:ascii="Arial" w:cs="Arial" w:eastAsia="Arial" w:hAnsi="Arial"/>
          <w:sz w:val="22"/>
          <w:szCs w:val="22"/>
          <w:color w:val="auto"/>
        </w:rPr>
        <w:t>Certified list of Holders, including certificate detail and all “stop transfers” and the reason for such “stop transfers” (or, alternatively, if there are a substantial number of registered Holders, the computer tape reflecting the identity of such Holders).</w:t>
      </w:r>
    </w:p>
    <w:p>
      <w:pPr>
        <w:spacing w:after="0" w:line="186" w:lineRule="exact"/>
        <w:rPr>
          <w:rFonts w:ascii="Arial" w:cs="Arial" w:eastAsia="Arial" w:hAnsi="Arial"/>
          <w:sz w:val="22"/>
          <w:szCs w:val="22"/>
          <w:color w:val="auto"/>
        </w:rPr>
      </w:pPr>
    </w:p>
    <w:p>
      <w:pPr>
        <w:ind w:left="872" w:hanging="872"/>
        <w:spacing w:after="0"/>
        <w:tabs>
          <w:tab w:leader="none" w:pos="872" w:val="left"/>
        </w:tabs>
        <w:numPr>
          <w:ilvl w:val="0"/>
          <w:numId w:val="25"/>
        </w:numPr>
        <w:rPr>
          <w:rFonts w:ascii="Arial" w:cs="Arial" w:eastAsia="Arial" w:hAnsi="Arial"/>
          <w:sz w:val="22"/>
          <w:szCs w:val="22"/>
          <w:color w:val="auto"/>
        </w:rPr>
      </w:pPr>
      <w:r>
        <w:rPr>
          <w:rFonts w:ascii="Arial" w:cs="Arial" w:eastAsia="Arial" w:hAnsi="Arial"/>
          <w:sz w:val="22"/>
          <w:szCs w:val="22"/>
          <w:color w:val="auto"/>
        </w:rPr>
        <w:t>Filed, stamped copies of all existing financing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269240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34"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22"/>
          <w:szCs w:val="22"/>
          <w:color w:val="auto"/>
        </w:rPr>
        <w:t>EXHIBIT B</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Uniti Group LP, Uniti Group Finance Inc. and CSL Capital, LLC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NOTICE</w:t>
      </w:r>
    </w:p>
    <w:p>
      <w:pPr>
        <w:spacing w:after="0" w:line="206" w:lineRule="exact"/>
        <w:rPr>
          <w:sz w:val="20"/>
          <w:szCs w:val="20"/>
          <w:color w:val="auto"/>
        </w:rPr>
      </w:pPr>
    </w:p>
    <w:p>
      <w:pPr>
        <w:ind w:left="3280"/>
        <w:spacing w:after="0"/>
        <w:rPr>
          <w:sz w:val="20"/>
          <w:szCs w:val="20"/>
          <w:color w:val="auto"/>
        </w:rPr>
      </w:pPr>
      <w:r>
        <w:rPr>
          <w:rFonts w:ascii="Arial" w:cs="Arial" w:eastAsia="Arial" w:hAnsi="Arial"/>
          <w:sz w:val="22"/>
          <w:szCs w:val="22"/>
          <w:color w:val="auto"/>
        </w:rPr>
        <w:t>To the Holders of the 8.250% Senior Notes due 2023 of</w:t>
      </w:r>
    </w:p>
    <w:p>
      <w:pPr>
        <w:ind w:left="2900"/>
        <w:spacing w:after="0" w:line="238" w:lineRule="auto"/>
        <w:rPr>
          <w:sz w:val="20"/>
          <w:szCs w:val="20"/>
          <w:color w:val="auto"/>
        </w:rPr>
      </w:pPr>
      <w:r>
        <w:rPr>
          <w:rFonts w:ascii="Arial" w:cs="Arial" w:eastAsia="Arial" w:hAnsi="Arial"/>
          <w:sz w:val="22"/>
          <w:szCs w:val="22"/>
          <w:color w:val="auto"/>
        </w:rPr>
        <w:t>Uniti Group LP, Uniti Group Finance Inc. and CSL Capital, LLC</w:t>
      </w:r>
    </w:p>
    <w:p>
      <w:pPr>
        <w:jc w:val="center"/>
        <w:spacing w:after="0"/>
        <w:rPr>
          <w:sz w:val="20"/>
          <w:szCs w:val="20"/>
          <w:color w:val="auto"/>
        </w:rPr>
      </w:pPr>
      <w:r>
        <w:rPr>
          <w:rFonts w:ascii="Arial" w:cs="Arial" w:eastAsia="Arial" w:hAnsi="Arial"/>
          <w:sz w:val="22"/>
          <w:szCs w:val="22"/>
          <w:color w:val="auto"/>
        </w:rPr>
        <w:t>(CUSIP No. 20341W AD7)*</w:t>
      </w:r>
    </w:p>
    <w:p>
      <w:pPr>
        <w:spacing w:after="0" w:line="18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NOTICE IS HEREBY GIVEN, pursuant to Section 7.08 of the Indenture, dated as of April 24, 2015 (as amended and supplemented through the date hereof, the “Indenture”), by and among Uniti Group LP, a Delaware limited partnership (“Uniti”), Uniti Group Finance Inc., a Delaware corporation (“Uniti Finance”), and CSL Capital, LLC, a Delaware limited liability company (“CSL Capital” and, together with Uniti and Uniti Finance, the “Issuers”), the guarantors party thereto and Wells Fargo Bank, National Association, as Trustee, that Wells Fargo Bank, National Association has resigned as trustee, registrar and paying agent under the Indenture.</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Pursuant to Section 7.08 of the Indenture, Deutsche Bank Trust Company Americas, a New York State banking institution, has accepted appointment as trustee, registrar and paying agent under the Indenture. The address of the designated corporate trust office of the successor Trustee (including for purposes of Section 12.01 of the Indenture) is 60 Wall Street, 16th Floor, MS NYC60-1630, New York, New York 10005, Attn: Corporates Team, Uniti Group and CSL Capital, Facsimile: (732) 578-4635.</w:t>
      </w:r>
    </w:p>
    <w:p>
      <w:pPr>
        <w:spacing w:after="0" w:line="14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Wells Fargo Bank, National Association’s resignation as trustee, registrar and paying agent and Deutsche Bank Trust Company Americas’ appointment as successor trustee, registrar and paying agent were effective as of July 8, 2019.</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206" w:lineRule="exact"/>
        <w:rPr>
          <w:sz w:val="20"/>
          <w:szCs w:val="20"/>
          <w:color w:val="auto"/>
        </w:rPr>
      </w:pPr>
    </w:p>
    <w:p>
      <w:pPr>
        <w:spacing w:after="0"/>
        <w:tabs>
          <w:tab w:leader="none" w:pos="376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July __, 2019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No representation is made as to the accuracy or correctness of CUSIP 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423545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22"/>
          <w:szCs w:val="22"/>
          <w:b w:val="1"/>
          <w:bCs w:val="1"/>
          <w:color w:val="auto"/>
        </w:rPr>
        <w:t>Uniti Group LP, Uniti Group Finance Inc. and CSL Capital, LLC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NOTICE</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To the Holders of the 6.000% Senior Secured Notes due 2023 of</w:t>
      </w:r>
    </w:p>
    <w:p>
      <w:pPr>
        <w:jc w:val="center"/>
        <w:spacing w:after="0" w:line="238" w:lineRule="auto"/>
        <w:rPr>
          <w:sz w:val="20"/>
          <w:szCs w:val="20"/>
          <w:color w:val="auto"/>
        </w:rPr>
      </w:pPr>
      <w:r>
        <w:rPr>
          <w:rFonts w:ascii="Arial" w:cs="Arial" w:eastAsia="Arial" w:hAnsi="Arial"/>
          <w:sz w:val="22"/>
          <w:szCs w:val="22"/>
          <w:color w:val="auto"/>
        </w:rPr>
        <w:t>Uniti Group LP, Uniti Group Finance Inc. and CSL Capital, LLC</w:t>
      </w:r>
    </w:p>
    <w:p>
      <w:pPr>
        <w:jc w:val="center"/>
        <w:spacing w:after="0"/>
        <w:rPr>
          <w:sz w:val="20"/>
          <w:szCs w:val="20"/>
          <w:color w:val="auto"/>
        </w:rPr>
      </w:pPr>
      <w:r>
        <w:rPr>
          <w:rFonts w:ascii="Arial" w:cs="Arial" w:eastAsia="Arial" w:hAnsi="Arial"/>
          <w:sz w:val="22"/>
          <w:szCs w:val="22"/>
          <w:color w:val="auto"/>
        </w:rPr>
        <w:t>(CUSIP Nos. 20341W AA3, U20316 AA0 and U20316 AC6)*</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NOTICE IS HEREBY GIVEN, pursuant to Sections 7.08 and 10.03 of the Indenture, dated as of April 24, 2015 (as amended and supplemented through the date hereof, the “Indenture”), by and among Uniti Group LP, a Delaware limited partnership (“Uniti”), Uniti Group Finance Inc., a Delaware corporation (“Uniti Finance”), and CSL Capital, LLC, a Delaware limited liability company (“CSL Capital” and, together with Uniti and Uniti Finance, the “Issuers”), the guarantors party thereto and Wells Fargo Bank, National Association, as Trustee and Collateral Agent, that Wells Fargo Bank, National Association has resigned as trustee, registrar, paying agent and collateral agent under the Indenture.</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Pursuant to Sections 7.08 and 10.03 of the Indenture, Deutsche Bank Trust Company Americas, a New York State banking institution, has accepted appointment as trustee, registrar, paying agent and collateral agent under the Indenture. The address of the designated corporate trust office of the successor Trustee and the successor Collateral Agent (including for purposes of Section 13.01 of the Indenture) is 60 Wall Street, 16th Floor, MS NYC60-1630, New York, New York 10005, Attn: Corporates Team, Uniti Group and CSL Capital, Facsimile: (732) 578-4635.</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Wells Fargo Bank, National Association’s resignation as trustee, registrar, paying agent and collateral agent and Deutsche Bank Trust Company Americas’ appointment as successor trustee, registrar, paying agent and collateral agent were effective as of July 8, 2019.</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206" w:lineRule="exact"/>
        <w:rPr>
          <w:sz w:val="20"/>
          <w:szCs w:val="20"/>
          <w:color w:val="auto"/>
        </w:rPr>
      </w:pPr>
    </w:p>
    <w:p>
      <w:pPr>
        <w:spacing w:after="0"/>
        <w:tabs>
          <w:tab w:leader="none" w:pos="376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July __, 2019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No representation is made as to the accuracy or correctness of CUSIP 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423545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22"/>
          <w:szCs w:val="22"/>
          <w:b w:val="1"/>
          <w:bCs w:val="1"/>
          <w:color w:val="auto"/>
        </w:rPr>
        <w:t>Uniti Group LP, Uniti Fiber Holdings Inc. and CSL Capital, LLC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NOTICE</w:t>
      </w:r>
    </w:p>
    <w:p>
      <w:pPr>
        <w:spacing w:after="0" w:line="206" w:lineRule="exact"/>
        <w:rPr>
          <w:sz w:val="20"/>
          <w:szCs w:val="20"/>
          <w:color w:val="auto"/>
        </w:rPr>
      </w:pPr>
    </w:p>
    <w:p>
      <w:pPr>
        <w:ind w:left="3280"/>
        <w:spacing w:after="0"/>
        <w:rPr>
          <w:sz w:val="20"/>
          <w:szCs w:val="20"/>
          <w:color w:val="auto"/>
        </w:rPr>
      </w:pPr>
      <w:r>
        <w:rPr>
          <w:rFonts w:ascii="Arial" w:cs="Arial" w:eastAsia="Arial" w:hAnsi="Arial"/>
          <w:sz w:val="22"/>
          <w:szCs w:val="22"/>
          <w:color w:val="auto"/>
        </w:rPr>
        <w:t>To the Holders of the 7.125% Senior Notes due 2024 of</w:t>
      </w:r>
    </w:p>
    <w:p>
      <w:pPr>
        <w:ind w:left="2900"/>
        <w:spacing w:after="0" w:line="238" w:lineRule="auto"/>
        <w:rPr>
          <w:sz w:val="20"/>
          <w:szCs w:val="20"/>
          <w:color w:val="auto"/>
        </w:rPr>
      </w:pPr>
      <w:r>
        <w:rPr>
          <w:rFonts w:ascii="Arial" w:cs="Arial" w:eastAsia="Arial" w:hAnsi="Arial"/>
          <w:sz w:val="22"/>
          <w:szCs w:val="22"/>
          <w:color w:val="auto"/>
        </w:rPr>
        <w:t>Uniti Group LP, Uniti Fiber Holdings Inc. and CSL Capital, LLC</w:t>
      </w:r>
    </w:p>
    <w:p>
      <w:pPr>
        <w:jc w:val="center"/>
        <w:spacing w:after="0"/>
        <w:rPr>
          <w:sz w:val="20"/>
          <w:szCs w:val="20"/>
          <w:color w:val="auto"/>
        </w:rPr>
      </w:pPr>
      <w:r>
        <w:rPr>
          <w:rFonts w:ascii="Arial" w:cs="Arial" w:eastAsia="Arial" w:hAnsi="Arial"/>
          <w:sz w:val="22"/>
          <w:szCs w:val="22"/>
          <w:color w:val="auto"/>
        </w:rPr>
        <w:t>(CUSIP Nos. 20341W AE5 and U20316 AD4)*</w:t>
      </w:r>
    </w:p>
    <w:p>
      <w:pPr>
        <w:spacing w:after="0" w:line="18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NOTICE IS HEREBY GIVEN, pursuant to Section 7.08 of the Indenture, dated as of December 15, 2016 (as amended and supplemented through the date hereof, the “Indenture”), by and among Uniti Group LP, a Delaware limited partnership (“Uniti”), Uniti Fiber Holdings Inc., a Delaware corporation (“Uniti Fiber”), and CSL Capital, LLC, a Delaware limited liability company (“CSL Capital” and, together with Uniti and Uniti Fiber, the “Issuers”), the guarantors party thereto and Wells Fargo Bank, National Association, as Trustee, that Wells Fargo Bank, National Association has resigned as trustee, registrar and paying agent under the Indenture.</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Pursuant to Section 7.08 of the Indenture, Deutsche Bank Trust Company Americas, a New York State banking institution, has accepted appointment as trustee, registrar and paying agent under the Indenture. The address of the designated corporate trust office of the successor Trustee (including for purposes of Section 12.01 of the Indenture) is 60 Wall Street, 16th Floor, MS NYC60-1630, New York, New York 10005, Attn: Corporates Team, Uniti Group and CSL Capital, Facsimile: (732) 578-4635.</w:t>
      </w:r>
    </w:p>
    <w:p>
      <w:pPr>
        <w:spacing w:after="0" w:line="14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Wells Fargo Bank, National Association’s resignation as trustee, registrar and paying agent and Deutsche Bank Trust Company Americas’ appointment as successor trustee, registrar and paying agent were effective as of July 8, 2019.</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206" w:lineRule="exact"/>
        <w:rPr>
          <w:sz w:val="20"/>
          <w:szCs w:val="20"/>
          <w:color w:val="auto"/>
        </w:rPr>
      </w:pPr>
    </w:p>
    <w:p>
      <w:pPr>
        <w:spacing w:after="0"/>
        <w:tabs>
          <w:tab w:leader="none" w:pos="376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July __, 2019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No representation is made as to the accuracy or correctness of CUSIP Nos.</w:t>
      </w:r>
    </w:p>
    <w:p>
      <w:pPr>
        <w:sectPr>
          <w:pgSz w:w="11900" w:h="16838" w:orient="portrait"/>
          <w:cols w:equalWidth="0" w:num="1">
            <w:col w:w="11420"/>
          </w:cols>
          <w:pgMar w:left="240" w:top="760"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Kenneth A. Gunderman, certify that:</w:t>
      </w:r>
    </w:p>
    <w:p>
      <w:pPr>
        <w:spacing w:after="0" w:line="117" w:lineRule="exact"/>
        <w:rPr>
          <w:sz w:val="20"/>
          <w:szCs w:val="20"/>
          <w:color w:val="auto"/>
        </w:rPr>
      </w:pPr>
    </w:p>
    <w:p>
      <w:pPr>
        <w:ind w:left="800" w:hanging="792"/>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Uniti Group Inc.;</w:t>
      </w:r>
    </w:p>
    <w:p>
      <w:pPr>
        <w:spacing w:after="0" w:line="225" w:lineRule="exact"/>
        <w:rPr>
          <w:rFonts w:ascii="Arial" w:cs="Arial" w:eastAsia="Arial" w:hAnsi="Arial"/>
          <w:sz w:val="18"/>
          <w:szCs w:val="18"/>
          <w:color w:val="auto"/>
        </w:rPr>
      </w:pPr>
    </w:p>
    <w:p>
      <w:pPr>
        <w:jc w:val="both"/>
        <w:ind w:left="760" w:right="180" w:hanging="752"/>
        <w:spacing w:after="0" w:line="264"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60" w:right="140" w:hanging="752"/>
        <w:spacing w:after="0" w:line="308" w:lineRule="auto"/>
        <w:tabs>
          <w:tab w:leader="none" w:pos="7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180" w:hanging="752"/>
        <w:spacing w:after="0" w:line="264"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520" w:right="80" w:hanging="756"/>
        <w:spacing w:after="0" w:line="264" w:lineRule="auto"/>
        <w:tabs>
          <w:tab w:leader="none" w:pos="15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520" w:hanging="756"/>
        <w:spacing w:after="0" w:line="264" w:lineRule="auto"/>
        <w:tabs>
          <w:tab w:leader="none" w:pos="15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20" w:right="180" w:hanging="756"/>
        <w:spacing w:after="0" w:line="342" w:lineRule="auto"/>
        <w:tabs>
          <w:tab w:leader="none" w:pos="15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20" w:right="160" w:hanging="756"/>
        <w:spacing w:after="0" w:line="264" w:lineRule="auto"/>
        <w:tabs>
          <w:tab w:leader="none" w:pos="15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60" w:right="140" w:hanging="752"/>
        <w:spacing w:after="0" w:line="342"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20" w:right="420" w:hanging="756"/>
        <w:spacing w:after="0" w:line="342" w:lineRule="auto"/>
        <w:tabs>
          <w:tab w:leader="none" w:pos="15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20" w:right="100" w:hanging="756"/>
        <w:spacing w:after="0" w:line="277" w:lineRule="auto"/>
        <w:tabs>
          <w:tab w:leader="none" w:pos="15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4860" w:val="left"/>
          <w:tab w:leader="none" w:pos="7320" w:val="left"/>
        </w:tabs>
        <w:rPr>
          <w:sz w:val="20"/>
          <w:szCs w:val="20"/>
          <w:color w:val="auto"/>
        </w:rPr>
      </w:pPr>
      <w:r>
        <w:rPr>
          <w:rFonts w:ascii="Arial" w:cs="Arial" w:eastAsia="Arial" w:hAnsi="Arial"/>
          <w:sz w:val="18"/>
          <w:szCs w:val="18"/>
          <w:color w:val="auto"/>
        </w:rPr>
        <w:t>Date: August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/s/Kenneth A. Gunderman</w:t>
      </w:r>
    </w:p>
    <w:p>
      <w:pPr>
        <w:spacing w:after="0" w:line="2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397891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35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A. Wallace, certify that:</w:t>
      </w:r>
    </w:p>
    <w:p>
      <w:pPr>
        <w:spacing w:after="0" w:line="225" w:lineRule="exact"/>
        <w:rPr>
          <w:sz w:val="20"/>
          <w:szCs w:val="20"/>
          <w:color w:val="auto"/>
        </w:rPr>
      </w:pPr>
    </w:p>
    <w:p>
      <w:pPr>
        <w:ind w:left="760" w:hanging="752"/>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Uniti Group Inc.;</w:t>
      </w:r>
    </w:p>
    <w:p>
      <w:pPr>
        <w:spacing w:after="0" w:line="225" w:lineRule="exact"/>
        <w:rPr>
          <w:rFonts w:ascii="Arial" w:cs="Arial" w:eastAsia="Arial" w:hAnsi="Arial"/>
          <w:sz w:val="18"/>
          <w:szCs w:val="18"/>
          <w:color w:val="auto"/>
        </w:rPr>
      </w:pPr>
    </w:p>
    <w:p>
      <w:pPr>
        <w:jc w:val="both"/>
        <w:ind w:left="760" w:right="180" w:hanging="752"/>
        <w:spacing w:after="0" w:line="264"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60" w:right="140" w:hanging="752"/>
        <w:spacing w:after="0" w:line="308" w:lineRule="auto"/>
        <w:tabs>
          <w:tab w:leader="none" w:pos="7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180" w:hanging="752"/>
        <w:spacing w:after="0" w:line="264"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520" w:right="80" w:hanging="756"/>
        <w:spacing w:after="0" w:line="264" w:lineRule="auto"/>
        <w:tabs>
          <w:tab w:leader="none" w:pos="15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520" w:hanging="756"/>
        <w:spacing w:after="0" w:line="264" w:lineRule="auto"/>
        <w:tabs>
          <w:tab w:leader="none" w:pos="15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20" w:right="180" w:hanging="756"/>
        <w:spacing w:after="0" w:line="342" w:lineRule="auto"/>
        <w:tabs>
          <w:tab w:leader="none" w:pos="15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20" w:right="160" w:hanging="756"/>
        <w:spacing w:after="0" w:line="264" w:lineRule="auto"/>
        <w:tabs>
          <w:tab w:leader="none" w:pos="15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60" w:right="140" w:hanging="752"/>
        <w:spacing w:after="0" w:line="342" w:lineRule="auto"/>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20" w:right="420" w:hanging="756"/>
        <w:spacing w:after="0" w:line="342" w:lineRule="auto"/>
        <w:tabs>
          <w:tab w:leader="none" w:pos="15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2" w:lineRule="exact"/>
        <w:rPr>
          <w:sz w:val="20"/>
          <w:szCs w:val="20"/>
          <w:color w:val="auto"/>
        </w:rPr>
      </w:pPr>
    </w:p>
    <w:p>
      <w:pPr>
        <w:ind w:left="1040" w:right="4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860" w:val="left"/>
          <w:tab w:leader="none" w:pos="7540" w:val="left"/>
        </w:tabs>
        <w:rPr>
          <w:sz w:val="20"/>
          <w:szCs w:val="20"/>
          <w:color w:val="auto"/>
        </w:rPr>
      </w:pPr>
      <w:r>
        <w:rPr>
          <w:rFonts w:ascii="Arial" w:cs="Arial" w:eastAsia="Arial" w:hAnsi="Arial"/>
          <w:sz w:val="18"/>
          <w:szCs w:val="18"/>
          <w:color w:val="auto"/>
        </w:rPr>
        <w:t>Date: August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Wallace</w:t>
      </w:r>
    </w:p>
    <w:p>
      <w:pPr>
        <w:spacing w:after="0" w:line="2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397891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Executive Vice President – Chief Financial Officer</w:t>
      </w:r>
    </w:p>
    <w:p>
      <w:pPr>
        <w:spacing w:after="0" w:line="9"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and Treasurer</w:t>
      </w:r>
    </w:p>
    <w:p>
      <w:pPr>
        <w:sectPr>
          <w:pgSz w:w="11900" w:h="16838" w:orient="portrait"/>
          <w:cols w:equalWidth="0" w:num="1">
            <w:col w:w="11420"/>
          </w:cols>
          <w:pgMar w:left="240" w:top="35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connection with the Quarterly Report on Form 10-Q of Uniti Group Inc. (the “Company”) for the period ending June 30, 2019 as filed with the Securities and Exchange Commission on the date hereof (the “Report”), I certify, pursuant to 18 U.S.C. § 1350, as adopted pursuant to § 906 of the Sarbanes-Oxley Act of 2002, to my knowledge, that:</w:t>
      </w:r>
    </w:p>
    <w:p>
      <w:pPr>
        <w:spacing w:after="0" w:line="73"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4860" w:val="left"/>
          <w:tab w:leader="none" w:pos="7300" w:val="left"/>
        </w:tabs>
        <w:rPr>
          <w:sz w:val="20"/>
          <w:szCs w:val="20"/>
          <w:color w:val="auto"/>
        </w:rPr>
      </w:pPr>
      <w:r>
        <w:rPr>
          <w:rFonts w:ascii="Arial" w:cs="Arial" w:eastAsia="Arial" w:hAnsi="Arial"/>
          <w:sz w:val="18"/>
          <w:szCs w:val="18"/>
          <w:color w:val="auto"/>
        </w:rPr>
        <w:t>Date: August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A. Gunderman</w:t>
      </w:r>
    </w:p>
    <w:p>
      <w:pPr>
        <w:spacing w:after="0" w:line="2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397891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35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connection with the Quarterly Report on Form 10-Q of Uniti Group Inc. (the “Company”) for the period ending June 30, 2019 as filed with the Securities and Exchange Commission on the date hereof (the “Report”), I certify, pursuant to 18 U.S.C. § 1350, as adopted pursuant to § 906 of the Sarbanes-Oxley Act of 2002, to my knowledge, that:</w:t>
      </w:r>
    </w:p>
    <w:p>
      <w:pPr>
        <w:spacing w:after="0" w:line="73"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4860" w:val="left"/>
          <w:tab w:leader="none" w:pos="7540" w:val="left"/>
        </w:tabs>
        <w:rPr>
          <w:sz w:val="20"/>
          <w:szCs w:val="20"/>
          <w:color w:val="auto"/>
        </w:rPr>
      </w:pPr>
      <w:r>
        <w:rPr>
          <w:rFonts w:ascii="Arial" w:cs="Arial" w:eastAsia="Arial" w:hAnsi="Arial"/>
          <w:sz w:val="18"/>
          <w:szCs w:val="18"/>
          <w:color w:val="auto"/>
        </w:rPr>
        <w:t>Date: August 8, 2019</w:t>
      </w:r>
      <w:r>
        <w:rPr>
          <w:sz w:val="20"/>
          <w:szCs w:val="20"/>
          <w:color w:val="auto"/>
        </w:rPr>
        <w:tab/>
      </w:r>
      <w:r>
        <w:rPr>
          <w:rFonts w:ascii="Arial" w:cs="Arial" w:eastAsia="Arial" w:hAnsi="Arial"/>
          <w:sz w:val="18"/>
          <w:szCs w:val="18"/>
          <w:color w:val="auto"/>
        </w:rPr>
        <w:t>By</w:t>
      </w:r>
      <w:r>
        <w:rPr>
          <w:rFonts w:ascii="Arial" w:cs="Arial" w:eastAsia="Arial" w:hAnsi="Arial"/>
          <w:sz w:val="18"/>
          <w:szCs w:val="18"/>
          <w:color w:val="222222"/>
        </w:rPr>
        <w:t>:</w:t>
      </w:r>
      <w:r>
        <w:rPr>
          <w:sz w:val="20"/>
          <w:szCs w:val="20"/>
          <w:color w:val="auto"/>
        </w:rPr>
        <w:tab/>
      </w:r>
      <w:r>
        <w:rPr>
          <w:rFonts w:ascii="Arial" w:cs="Arial" w:eastAsia="Arial" w:hAnsi="Arial"/>
          <w:sz w:val="16"/>
          <w:szCs w:val="16"/>
          <w:color w:val="auto"/>
        </w:rPr>
        <w:t>/s/ Mark A. Wallace</w:t>
      </w:r>
    </w:p>
    <w:p>
      <w:pPr>
        <w:spacing w:after="0" w:line="32"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-127635</wp:posOffset>
            </wp:positionV>
            <wp:extent cx="397891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7"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Executive Vice President – Chief Financial Officer</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and Treasurer</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lowerRoman"/>
      <w:start w:val="4"/>
    </w:lvl>
  </w:abstractNum>
  <w:abstractNum w:abstractNumId="5">
    <w:nsid w:val="431BD7B7"/>
    <w:multiLevelType w:val="hybridMultilevel"/>
    <w:lvl w:ilvl="0">
      <w:lvlJc w:val="left"/>
      <w:lvlText w:val="%1."/>
      <w:numFmt w:val="lowerRoman"/>
      <w:start w:val="1"/>
    </w:lvl>
  </w:abstractNum>
  <w:abstractNum w:abstractNumId="6">
    <w:nsid w:val="3F2DBA31"/>
    <w:multiLevelType w:val="hybridMultilevel"/>
    <w:lvl w:ilvl="0">
      <w:lvlJc w:val="left"/>
      <w:lvlText w:val="%1."/>
      <w:numFmt w:val="lowerRoman"/>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90"/>
    </w:lvl>
  </w:abstractNum>
  <w:abstractNum w:abstractNumId="13">
    <w:nsid w:val="721DA317"/>
    <w:multiLevelType w:val="hybridMultilevel"/>
    <w:lvl w:ilvl="0">
      <w:lvlJc w:val="left"/>
      <w:lvlText w:val="(%1)"/>
      <w:numFmt w:val="lowerRoman"/>
      <w:start w:val="1"/>
    </w:lvl>
  </w:abstractNum>
  <w:abstractNum w:abstractNumId="14">
    <w:nsid w:val="2443A858"/>
    <w:multiLevelType w:val="hybridMultilevel"/>
    <w:lvl w:ilvl="0">
      <w:lvlJc w:val="left"/>
      <w:lvlText w:val="(%1)"/>
      <w:numFmt w:val="lowerRoman"/>
      <w:start w:val="4"/>
    </w:lvl>
  </w:abstractNum>
  <w:abstractNum w:abstractNumId="15">
    <w:nsid w:val="2D1D5AE9"/>
    <w:multiLevelType w:val="hybridMultilevel"/>
    <w:lvl w:ilvl="0">
      <w:lvlJc w:val="left"/>
      <w:lvlText w:val="%1."/>
      <w:numFmt w:val="lowerRoman"/>
      <w:start w:val="4"/>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
      <w:numFmt w:val="bullet"/>
      <w:start w:val="1"/>
    </w:lvl>
    <w:lvl w:ilvl="1">
      <w:lvlJc w:val="left"/>
      <w:lvlText w:val="%2"/>
      <w:numFmt w:val="decimal"/>
      <w:start w:val="104"/>
    </w:lvl>
  </w:abstractNum>
  <w:abstractNum w:abstractNumId="18">
    <w:nsid w:val="8EDBDAB"/>
    <w:multiLevelType w:val="hybridMultilevel"/>
    <w:lvl w:ilvl="0">
      <w:lvlJc w:val="left"/>
      <w:lvlText w:val="(%1)"/>
      <w:numFmt w:val="lowerLetter"/>
      <w:start w:val="1"/>
    </w:lvl>
  </w:abstractNum>
  <w:abstractNum w:abstractNumId="19">
    <w:nsid w:val="79838CB2"/>
    <w:multiLevelType w:val="hybridMultilevel"/>
    <w:lvl w:ilvl="0">
      <w:lvlJc w:val="left"/>
      <w:lvlText w:val="(%1)"/>
      <w:numFmt w:val="lowerLetter"/>
      <w:start w:val="6"/>
    </w:lvl>
  </w:abstractNum>
  <w:abstractNum w:abstractNumId="20">
    <w:nsid w:val="4353D0CD"/>
    <w:multiLevelType w:val="hybridMultilevel"/>
    <w:lvl w:ilvl="0">
      <w:lvlJc w:val="left"/>
      <w:lvlText w:val="(%1)"/>
      <w:numFmt w:val="lowerLetter"/>
      <w:start w:val="1"/>
    </w:lvl>
  </w:abstractNum>
  <w:abstractNum w:abstractNumId="21">
    <w:nsid w:val="B03E0C6"/>
    <w:multiLevelType w:val="hybridMultilevel"/>
    <w:lvl w:ilvl="0">
      <w:lvlJc w:val="left"/>
      <w:lvlText w:val="(%1)"/>
      <w:numFmt w:val="lowerLetter"/>
      <w:start w:val="4"/>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lowerLetter"/>
      <w:start w:val="2"/>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
    </w:lvl>
    <w:lvl w:ilvl="1">
      <w:lvlJc w:val="left"/>
      <w:lvlText w:val="(%2)"/>
      <w:numFmt w:val="lowerLetter"/>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lowerLetter"/>
      <w:start w:val="2"/>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03" Type="http://schemas.openxmlformats.org/officeDocument/2006/relationships/hyperlink" Target="http://www.sec.gov/Archives/edgar/data/1620280/000095010319008752/dp109169_ex0401.htm" TargetMode="External"/><Relationship Id="rId104" Type="http://schemas.openxmlformats.org/officeDocument/2006/relationships/hyperlink" Target="http://www.sec.gov/Archives/edgar/data/1620280/000095010319008295/dp108693_ex1001.htm" TargetMode="External"/><Relationship Id="rId105" Type="http://schemas.openxmlformats.org/officeDocument/2006/relationships/hyperlink" Target="http://www.sec.gov/Archives/edgar/data/1620280/000095010319008752/dp109169_ex1001.htm" TargetMode="External"/><Relationship Id="rId106" Type="http://schemas.openxmlformats.org/officeDocument/2006/relationships/hyperlink" Target="http://www.sec.gov/Archives/edgar/data/1620280/000095010319008752/dp109169_ex10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2019-12-28T07:48:01Z</dcterms:created>
  <dcterms:modified xsi:type="dcterms:W3CDTF">2019-12-28T07:48:01Z</dcterms:modified>
</cp:coreProperties>
</file>